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WARSOC Frontend Project Documentation</w:t>
      </w:r>
    </w:p>
    <w:p>
      <w:pPr>
        <w:spacing w:after="360"/>
      </w:pPr>
      <w:r>
        <w:rPr>
          <w:rFonts w:ascii="Aptos" w:hAnsi="Aptos"/>
          <w:i/>
          <w:color w:val="5B6B82"/>
          <w:sz w:val="23"/>
        </w:rPr>
        <w:t>Development history, design upgrades, temporary development tooling, and production cleanup</w:t>
      </w:r>
    </w:p>
    <w:p>
      <w:pPr>
        <w:spacing w:after="140" w:line="269" w:lineRule="auto"/>
      </w:pPr>
      <w:r>
        <w:rPr>
          <w:rFonts w:ascii="Aptos" w:hAnsi="Aptos"/>
          <w:color w:val="172033"/>
          <w:sz w:val="21"/>
        </w:rPr>
        <w:t>This document records the work completed on the WARSOC security dashboard from the initial sidebar navigation regression through the final production cleanup. It covers navigation restoration, local design-review tooling, page and theme polish, dashboard header redesign, widget customization behavior, accessibility improvements, and the final removal of temporary bypass code. The current codebase is configured to use real authentication and real backend responses.</w:t>
      </w:r>
    </w:p>
    <w:p>
      <w:pPr>
        <w:spacing w:after="120"/>
        <w:ind w:left="259"/>
      </w:pPr>
      <w:r>
        <w:rPr>
          <w:rFonts w:ascii="Aptos" w:hAnsi="Aptos"/>
          <w:b/>
          <w:color w:val="17365D"/>
          <w:sz w:val="20"/>
        </w:rPr>
        <w:t xml:space="preserve">Project location: </w:t>
      </w:r>
      <w:r>
        <w:rPr>
          <w:rFonts w:ascii="Aptos" w:hAnsi="Aptos"/>
          <w:color w:val="172033"/>
          <w:sz w:val="20"/>
        </w:rPr>
        <w:t>D:\updated frpntend\Startup-main (1)\Startup-main</w:t>
      </w:r>
    </w:p>
    <w:p>
      <w:pPr>
        <w:spacing w:after="120"/>
        <w:ind w:left="259"/>
      </w:pPr>
      <w:r>
        <w:rPr>
          <w:rFonts w:ascii="Aptos" w:hAnsi="Aptos"/>
          <w:b/>
          <w:color w:val="17365D"/>
          <w:sz w:val="20"/>
        </w:rPr>
        <w:t xml:space="preserve">Documentation date: </w:t>
      </w:r>
      <w:r>
        <w:rPr>
          <w:rFonts w:ascii="Aptos" w:hAnsi="Aptos"/>
          <w:color w:val="172033"/>
          <w:sz w:val="20"/>
        </w:rPr>
        <w:t>23 September 2026</w:t>
      </w:r>
    </w:p>
    <w:p>
      <w:pPr>
        <w:pStyle w:val="Heading1"/>
      </w:pPr>
      <w:r>
        <w:t>Executive Summary</w:t>
      </w:r>
    </w:p>
    <w:p>
      <w:pPr>
        <w:spacing w:after="140" w:line="269" w:lineRule="auto"/>
      </w:pPr>
      <w:r>
        <w:rPr>
          <w:rFonts w:ascii="Aptos" w:hAnsi="Aptos"/>
          <w:color w:val="172033"/>
          <w:sz w:val="21"/>
        </w:rPr>
        <w:t>The dashboard navigation and workspace shell were progressively redesigned into a cleaner SOC/SIEM-style interface. The left sidebar now preserves the complete operational navigation, while less frequently used tools were relocated into a responsive workspace action area above the endpoint context. The dashboard header was subsequently refined to reduce visual clutter, improve spacing, and keep actions associated with the page context.</w:t>
      </w:r>
    </w:p>
    <w:p>
      <w:pPr>
        <w:spacing w:after="140" w:line="269" w:lineRule="auto"/>
      </w:pPr>
      <w:r>
        <w:rPr>
          <w:rFonts w:ascii="Aptos" w:hAnsi="Aptos"/>
          <w:color w:val="172033"/>
          <w:sz w:val="21"/>
        </w:rPr>
        <w:t>Temporary local authentication bypass and mock data were introduced for design review while no backend was available. These were later removed before production deployment. The final authentication path calls the real /auth/me endpoint, protected routes require an authenticated session, and no bypass markers or bypass environment references remain in the codebase.</w:t>
      </w:r>
    </w:p>
    <w:p>
      <w:pPr>
        <w:pStyle w:val="Heading1"/>
      </w:pPr>
      <w:r>
        <w:t>Scope and Constraints</w:t>
      </w:r>
    </w:p>
    <w:p>
      <w:pPr>
        <w:pStyle w:val="ListBullet"/>
        <w:spacing w:after="60" w:line="259" w:lineRule="auto"/>
      </w:pPr>
      <w:r>
        <w:rPr>
          <w:rFonts w:ascii="Aptos" w:hAnsi="Aptos"/>
          <w:color w:val="172033"/>
          <w:sz w:val="20"/>
        </w:rPr>
        <w:t>Preserved the existing left sidebar navigation and operational routes.</w:t>
      </w:r>
    </w:p>
    <w:p>
      <w:pPr>
        <w:pStyle w:val="ListBullet"/>
        <w:spacing w:after="60" w:line="259" w:lineRule="auto"/>
      </w:pPr>
      <w:r>
        <w:rPr>
          <w:rFonts w:ascii="Aptos" w:hAnsi="Aptos"/>
          <w:color w:val="172033"/>
          <w:sz w:val="20"/>
        </w:rPr>
        <w:t>Kept API endpoints, real data-fetching functions, route destinations, and widget data logic unchanged unless a request specifically required a presentation-state change.</w:t>
      </w:r>
    </w:p>
    <w:p>
      <w:pPr>
        <w:pStyle w:val="ListBullet"/>
        <w:spacing w:after="60" w:line="259" w:lineRule="auto"/>
      </w:pPr>
      <w:r>
        <w:rPr>
          <w:rFonts w:ascii="Aptos" w:hAnsi="Aptos"/>
          <w:color w:val="172033"/>
          <w:sz w:val="20"/>
        </w:rPr>
        <w:t>Used the existing Lucide icon library, CSS variables, theme attributes, and dashboard component patterns.</w:t>
      </w:r>
    </w:p>
    <w:p>
      <w:pPr>
        <w:pStyle w:val="ListBullet"/>
        <w:spacing w:after="60" w:line="259" w:lineRule="auto"/>
      </w:pPr>
      <w:r>
        <w:rPr>
          <w:rFonts w:ascii="Aptos" w:hAnsi="Aptos"/>
          <w:color w:val="172033"/>
          <w:sz w:val="20"/>
        </w:rPr>
        <w:t>Kept design changes localized primarily to Dashboard.jsx and Dashboard.css, with authentication and temporary-data changes limited to their owning files.</w:t>
      </w:r>
    </w:p>
    <w:p>
      <w:pPr>
        <w:pStyle w:val="Heading1"/>
      </w:pPr>
      <w:r>
        <w:t>Change History</w:t>
      </w:r>
    </w:p>
    <w:tbl>
      <w:tblPr>
        <w:tblW w:type="auto" w:w="0"/>
        <w:jc w:val="center"/>
        <w:tblLayout w:type="fixed"/>
        <w:tblLook w:firstColumn="1" w:firstRow="1" w:lastColumn="0" w:lastRow="0" w:noHBand="0" w:noVBand="1" w:val="04A0"/>
      </w:tblPr>
      <w:tblGrid>
        <w:gridCol w:w="3331"/>
        <w:gridCol w:w="3331"/>
        <w:gridCol w:w="3331"/>
      </w:tblGrid>
      <w:tr>
        <w:tc>
          <w:tcPr>
            <w:tcW w:type="dxa" w:w="1656"/>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Stage</w:t>
            </w:r>
          </w:p>
        </w:tc>
        <w:tc>
          <w:tcPr>
            <w:tcW w:type="dxa" w:w="6408"/>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Work completed</w:t>
            </w:r>
          </w:p>
        </w:tc>
        <w:tc>
          <w:tcPr>
            <w:tcW w:type="dxa" w:w="2088"/>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Result</w:t>
            </w:r>
          </w:p>
        </w:tc>
      </w:tr>
      <w:tr>
        <w:tc>
          <w:tcPr>
            <w:tcW w:type="dxa" w:w="165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1. Navigation recovery</w:t>
            </w:r>
          </w:p>
        </w:tc>
        <w:tc>
          <w:tcPr>
            <w:tcW w:type="dxa" w:w="640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Restored Firewall Relays, Archive Requests, and Configuration in the complete sidebar sequence. Verified the required 12-item order before later navigation consolidation.</w:t>
            </w:r>
          </w:p>
        </w:tc>
        <w:tc>
          <w:tcPr>
            <w:tcW w:type="dxa" w:w="208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All required operational tabs were present without duplicates.</w:t>
            </w:r>
          </w:p>
        </w:tc>
      </w:tr>
      <w:tr>
        <w:tc>
          <w:tcPr>
            <w:tcW w:type="dxa" w:w="165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2. Design-review data</w:t>
            </w:r>
          </w:p>
        </w:tc>
        <w:tc>
          <w:tcPr>
            <w:tcW w:type="dxa" w:w="640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Added temporary local bypass and realistic mock data for evidence, holds, archive requests, relays, configuration assessment, dashboard widgets, endpoints, and related operational views.</w:t>
            </w:r>
          </w:p>
        </w:tc>
        <w:tc>
          <w:tcPr>
            <w:tcW w:type="dxa" w:w="208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Pages could be reviewed locally without a running backend.</w:t>
            </w:r>
          </w:p>
        </w:tc>
      </w:tr>
      <w:tr>
        <w:tc>
          <w:tcPr>
            <w:tcW w:type="dxa" w:w="165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3. Page polish</w:t>
            </w:r>
          </w:p>
        </w:tc>
        <w:tc>
          <w:tcPr>
            <w:tcW w:type="dxa" w:w="640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Aligned Configuration Assessment metrics, endpoint selector, failed-control hierarchy, badges, tables, buttons, arrows, and theme contrast. Corrected selector mismatches across the redesigned operational pages.</w:t>
            </w:r>
          </w:p>
        </w:tc>
        <w:tc>
          <w:tcPr>
            <w:tcW w:type="dxa" w:w="208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Light and dark theme presentation became consistent across the affected pages.</w:t>
            </w:r>
          </w:p>
        </w:tc>
      </w:tr>
      <w:tr>
        <w:tc>
          <w:tcPr>
            <w:tcW w:type="dxa" w:w="165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4. Interaction fixes</w:t>
            </w:r>
          </w:p>
        </w:tc>
        <w:tc>
          <w:tcPr>
            <w:tcW w:type="dxa" w:w="640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Corrected select arrows, table-action buttons, secondary-button hover states, Compliance retry styling, telemetry overlay stacking, and portal mounting for expanded content.</w:t>
            </w:r>
          </w:p>
        </w:tc>
        <w:tc>
          <w:tcPr>
            <w:tcW w:type="dxa" w:w="208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Controls remained readable and overlays rendered above the sidebar and cards.</w:t>
            </w:r>
          </w:p>
        </w:tc>
      </w:tr>
      <w:tr>
        <w:tc>
          <w:tcPr>
            <w:tcW w:type="dxa" w:w="165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5. Workspace navigation</w:t>
            </w:r>
          </w:p>
        </w:tc>
        <w:tc>
          <w:tcPr>
            <w:tcW w:type="dxa" w:w="640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Moved Compliance &amp; Audit, Configuration, Team &amp; Access, and Download Agent out of the sidebar into visible top-level workspace navigation, without changing their routes.</w:t>
            </w:r>
          </w:p>
        </w:tc>
        <w:tc>
          <w:tcPr>
            <w:tcW w:type="dxa" w:w="208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Sidebar remained operationally focused while administrative actions stayed reachable.</w:t>
            </w:r>
          </w:p>
        </w:tc>
      </w:tr>
      <w:tr>
        <w:tc>
          <w:tcPr>
            <w:tcW w:type="dxa" w:w="165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6. Header redesign</w:t>
            </w:r>
          </w:p>
        </w:tc>
        <w:tc>
          <w:tcPr>
            <w:tcW w:type="dxa" w:w="640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Replaced the floating tab row and Dashboard Layout strip with a page-header action area, responsive Manage behavior, segmented module actions, Download Agent state styling, and a Customize control.</w:t>
            </w:r>
          </w:p>
        </w:tc>
        <w:tc>
          <w:tcPr>
            <w:tcW w:type="dxa" w:w="208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The main dashboard shell became more compact and enterprise-oriented.</w:t>
            </w:r>
          </w:p>
        </w:tc>
      </w:tr>
      <w:tr>
        <w:tc>
          <w:tcPr>
            <w:tcW w:type="dxa" w:w="165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7. Widget customization</w:t>
            </w:r>
          </w:p>
        </w:tc>
        <w:tc>
          <w:tcPr>
            <w:tcW w:type="dxa" w:w="640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Moved the widget panel through a themed portal, added outside/Escape handling, corrected icon and label contrast, and separated panel visibility from edit-mode behavior during the final interaction pass.</w:t>
            </w:r>
          </w:p>
        </w:tc>
        <w:tc>
          <w:tcPr>
            <w:tcW w:type="dxa" w:w="2088"/>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The panel and widget controls remained usable above cards and in both themes.</w:t>
            </w:r>
          </w:p>
        </w:tc>
      </w:tr>
      <w:tr>
        <w:tc>
          <w:tcPr>
            <w:tcW w:type="dxa" w:w="165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8. Production cleanup</w:t>
            </w:r>
          </w:p>
        </w:tc>
        <w:tc>
          <w:tcPr>
            <w:tcW w:type="dxa" w:w="640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Removed the local authentication bypass, removed the VITE_LOCAL_AUTH_BYPASS environment entry, and restored the normal protected-route flow.</w:t>
            </w:r>
          </w:p>
        </w:tc>
        <w:tc>
          <w:tcPr>
            <w:tcW w:type="dxa" w:w="2088"/>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Production now requires real authentication and backend data.</w:t>
            </w:r>
          </w:p>
        </w:tc>
      </w:tr>
    </w:tbl>
    <w:p>
      <w:pPr>
        <w:spacing w:after="40"/>
      </w:pPr>
    </w:p>
    <w:p>
      <w:pPr>
        <w:pStyle w:val="Heading1"/>
      </w:pPr>
      <w:r>
        <w:t>Navigation and Layout Work</w:t>
      </w:r>
    </w:p>
    <w:p>
      <w:pPr>
        <w:pStyle w:val="Heading2"/>
      </w:pPr>
      <w:r>
        <w:t>Sidebar restoration and preservation</w:t>
      </w:r>
    </w:p>
    <w:p>
      <w:pPr>
        <w:spacing w:after="140" w:line="269" w:lineRule="auto"/>
      </w:pPr>
      <w:r>
        <w:rPr>
          <w:rFonts w:ascii="Aptos" w:hAnsi="Aptos"/>
          <w:color w:val="172033"/>
          <w:sz w:val="21"/>
        </w:rPr>
        <w:t>The initial regression removed Firewall Relays and Archive Requests from the sidebar during a navigation reorder. Configuration was also missing from the current screenshot. The navigation list was restored to the requested full order, with Dashboard, Observed Activity Map, Endpoints, Firewall Relays, Offline Log Analysis, Evidence Cases, Legal Holds, Archive Requests, Download Agent, Compliance &amp; Audit, Configuration, and Team &amp; Access present during the verification phase.</w:t>
      </w:r>
    </w:p>
    <w:p>
      <w:pPr>
        <w:spacing w:after="140" w:line="269" w:lineRule="auto"/>
      </w:pPr>
      <w:r>
        <w:rPr>
          <w:rFonts w:ascii="Aptos" w:hAnsi="Aptos"/>
          <w:color w:val="172033"/>
          <w:sz w:val="21"/>
        </w:rPr>
        <w:t>The sidebar itself was explicitly preserved during the later workspace-header redesign. No sidebar navigation component was moved, renamed, or deleted as part of the final header work.</w:t>
      </w:r>
    </w:p>
    <w:p>
      <w:pPr>
        <w:pStyle w:val="Heading2"/>
      </w:pPr>
      <w:r>
        <w:t>Workspace action area</w:t>
      </w:r>
    </w:p>
    <w:p>
      <w:pPr>
        <w:spacing w:after="140" w:line="269" w:lineRule="auto"/>
      </w:pPr>
      <w:r>
        <w:rPr>
          <w:rFonts w:ascii="Aptos" w:hAnsi="Aptos"/>
          <w:color w:val="172033"/>
          <w:sz w:val="21"/>
        </w:rPr>
        <w:t>The four less frequently used actions were first placed in a visible top navigation row, then consolidated into the page header. The final arrangement groups Compliance &amp; Audit, Configuration, and Team &amp; Access as secondary module actions, separates Download Agent as a context-sensitive primary or outline action, and keeps Customize as an icon control. On smaller screens, module actions collapse into a Manage menu and Download Agent becomes icon-only with an accessible label and tooltip.</w:t>
      </w:r>
    </w:p>
    <w:p>
      <w:pPr>
        <w:spacing w:after="140" w:line="269" w:lineRule="auto"/>
      </w:pPr>
      <w:r>
        <w:rPr>
          <w:rFonts w:ascii="Aptos" w:hAnsi="Aptos"/>
          <w:color w:val="172033"/>
          <w:sz w:val="21"/>
        </w:rPr>
        <w:t>The top header retains search, time range, Search, theme toggle, status pill, and avatar behavior. Its visual treatment was normalized to approximately 64px with a subtle border rather than a heavy shadow.</w:t>
      </w:r>
    </w:p>
    <w:p>
      <w:pPr>
        <w:pStyle w:val="Heading1"/>
      </w:pPr>
      <w:r>
        <w:t>Temporary Local Review Tooling</w:t>
      </w:r>
    </w:p>
    <w:p>
      <w:pPr>
        <w:pStyle w:val="Heading2"/>
      </w:pPr>
      <w:r>
        <w:t>Local authentication bypass</w:t>
      </w:r>
    </w:p>
    <w:p>
      <w:pPr>
        <w:spacing w:after="140" w:line="269" w:lineRule="auto"/>
      </w:pPr>
      <w:r>
        <w:rPr>
          <w:rFonts w:ascii="Aptos" w:hAnsi="Aptos"/>
          <w:color w:val="172033"/>
          <w:sz w:val="21"/>
        </w:rPr>
        <w:t>A temporary local authentication condition was introduced for design review using VITE_LOCAL_AUTH_BYPASS=true, non-production mode, and localhost. The bypass created a local design-review user with admin permissions and relay entitlement so protected dashboard views could be opened while the backend was unavailable.</w:t>
      </w:r>
    </w:p>
    <w:p>
      <w:pPr>
        <w:spacing w:after="140" w:line="269" w:lineRule="auto"/>
      </w:pPr>
      <w:r>
        <w:rPr>
          <w:rFonts w:ascii="Aptos" w:hAnsi="Aptos"/>
          <w:color w:val="172033"/>
          <w:sz w:val="21"/>
        </w:rPr>
        <w:t>Before production cleanup, the bypass was removed from src/store/authStore.js and src/components/ProtectedRoute.jsx. The VITE_LOCAL_AUTH_BYPASS entry was removed from .env.local. The normal flow now requests /auth/me and redirects unauthenticated users to /login.</w:t>
      </w:r>
    </w:p>
    <w:p>
      <w:pPr>
        <w:pStyle w:val="Heading2"/>
      </w:pPr>
      <w:r>
        <w:t>Temporary mock data</w:t>
      </w:r>
    </w:p>
    <w:p>
      <w:pPr>
        <w:spacing w:after="140" w:line="269" w:lineRule="auto"/>
      </w:pPr>
      <w:r>
        <w:rPr>
          <w:rFonts w:ascii="Aptos" w:hAnsi="Aptos"/>
          <w:color w:val="172033"/>
          <w:sz w:val="21"/>
        </w:rPr>
        <w:t>The design-review mock layer supplied clearly fake cases, legal holds, archive requests, firewall relays, endpoints, configuration-assessment summaries and findings, dashboard incident/event samples, blocked addresses, and related operational status data only when the local bypass condition was active and real API calls failed.</w:t>
      </w:r>
    </w:p>
    <w:p>
      <w:pPr>
        <w:spacing w:after="140" w:line="269" w:lineRule="auto"/>
      </w:pPr>
      <w:r>
        <w:rPr>
          <w:rFonts w:ascii="Aptos" w:hAnsi="Aptos"/>
          <w:color w:val="172033"/>
          <w:sz w:val="21"/>
        </w:rPr>
        <w:t>The mock utility and all TEMP MOCK DATA sections were removed before production deployment. Original error, degraded, unavailable, and empty-state branches remain in the page components. No mock-data marker or local mock reference remains in the final source search.</w:t>
      </w:r>
    </w:p>
    <w:p>
      <w:pPr>
        <w:pStyle w:val="Heading1"/>
      </w:pPr>
      <w:r>
        <w:t>Page and Theme Improvements</w:t>
      </w:r>
    </w:p>
    <w:tbl>
      <w:tblPr>
        <w:tblW w:type="auto" w:w="0"/>
        <w:jc w:val="center"/>
        <w:tblLayout w:type="fixed"/>
        <w:tblLook w:firstColumn="1" w:firstRow="1" w:lastColumn="0" w:lastRow="0" w:noHBand="0" w:noVBand="1" w:val="04A0"/>
      </w:tblPr>
      <w:tblGrid>
        <w:gridCol w:w="4997"/>
        <w:gridCol w:w="4997"/>
      </w:tblGrid>
      <w:tr>
        <w:tc>
          <w:tcPr>
            <w:tcW w:type="dxa" w:w="2520"/>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Area</w:t>
            </w:r>
          </w:p>
        </w:tc>
        <w:tc>
          <w:tcPr>
            <w:tcW w:type="dxa" w:w="7632"/>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Final improvements</w:t>
            </w:r>
          </w:p>
        </w:tc>
      </w:tr>
      <w:tr>
        <w:tc>
          <w:tcPr>
            <w:tcW w:type="dxa" w:w="2520"/>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Configuration Assessment</w:t>
            </w:r>
          </w:p>
        </w:tc>
        <w:tc>
          <w:tcPr>
            <w:tcW w:type="dxa" w:w="7632"/>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Even metric alignment, readable endpoint selector, theme-aware arrow, polished score and failed-control sections, severity badges, scan rows, spacing, and refresh-button alignment.</w:t>
            </w:r>
          </w:p>
        </w:tc>
      </w:tr>
      <w:tr>
        <w:tc>
          <w:tcPr>
            <w:tcW w:type="dxa" w:w="2520"/>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Evidence Cases and Legal Holds</w:t>
            </w:r>
          </w:p>
        </w:tc>
        <w:tc>
          <w:tcPr>
            <w:tcW w:type="dxa" w:w="7632"/>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Corrected component/CSS selector mismatches and aligned forms, tables, status badges, modal styling, spacing, and hover states.</w:t>
            </w:r>
          </w:p>
        </w:tc>
      </w:tr>
      <w:tr>
        <w:tc>
          <w:tcPr>
            <w:tcW w:type="dxa" w:w="2520"/>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Archive Requests and Firewall Relays</w:t>
            </w:r>
          </w:p>
        </w:tc>
        <w:tc>
          <w:tcPr>
            <w:tcW w:type="dxa" w:w="7632"/>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Applied consistent table action buttons, dropdown arrow positioning, relay health/status presentation, form styling, and theme contrast.</w:t>
            </w:r>
          </w:p>
        </w:tc>
      </w:tr>
      <w:tr>
        <w:tc>
          <w:tcPr>
            <w:tcW w:type="dxa" w:w="2520"/>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Offline Log Analysis</w:t>
            </w:r>
          </w:p>
        </w:tc>
        <w:tc>
          <w:tcPr>
            <w:tcW w:type="dxa" w:w="7632"/>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Included the page in the shared workspace polish and corrected the selectors needed for the intended visual treatment.</w:t>
            </w:r>
          </w:p>
        </w:tc>
      </w:tr>
      <w:tr>
        <w:tc>
          <w:tcPr>
            <w:tcW w:type="dxa" w:w="2520"/>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Shared controls</w:t>
            </w:r>
          </w:p>
        </w:tc>
        <w:tc>
          <w:tcPr>
            <w:tcW w:type="dxa" w:w="7632"/>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Unified primary button contrast, secondary retry states, table action buttons, select arrows, focus states, and light/dark theme colors.</w:t>
            </w:r>
          </w:p>
        </w:tc>
      </w:tr>
      <w:tr>
        <w:tc>
          <w:tcPr>
            <w:tcW w:type="dxa" w:w="2520"/>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Telemetry expansion</w:t>
            </w:r>
          </w:p>
        </w:tc>
        <w:tc>
          <w:tcPr>
            <w:tcW w:type="dxa" w:w="7632"/>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Moved maximized telemetry content into a viewport-level overlay/portal pattern with a z-index above the sidebar.</w:t>
            </w:r>
          </w:p>
        </w:tc>
      </w:tr>
    </w:tbl>
    <w:p>
      <w:pPr>
        <w:spacing w:after="40"/>
      </w:pPr>
    </w:p>
    <w:p>
      <w:pPr>
        <w:pStyle w:val="Heading1"/>
      </w:pPr>
      <w:r>
        <w:t>Dashboard Widget Customization</w:t>
      </w:r>
    </w:p>
    <w:p>
      <w:pPr>
        <w:spacing w:after="140" w:line="269" w:lineRule="auto"/>
      </w:pPr>
      <w:r>
        <w:rPr>
          <w:rFonts w:ascii="Aptos" w:hAnsi="Aptos"/>
          <w:color w:val="172033"/>
          <w:sz w:val="21"/>
        </w:rPr>
        <w:t>The Dashboard widgets panel was moved into a portal so it can render above endpoint, KPI, and chart cards. The panel uses the themed dashboard root, fixed viewport positioning, an opaque surface, neutral border, soft shadow, a bounded height, and internal scrolling. Its Customize trigger exposes aria-expanded, aria-controls, aria-haspopup, and aria-pressed state information.</w:t>
      </w:r>
    </w:p>
    <w:p>
      <w:pPr>
        <w:spacing w:after="140" w:line="269" w:lineRule="auto"/>
      </w:pPr>
      <w:r>
        <w:rPr>
          <w:rFonts w:ascii="Aptos" w:hAnsi="Aptos"/>
          <w:color w:val="172033"/>
          <w:sz w:val="21"/>
        </w:rPr>
        <w:t>The panel closes on its X control, outside click, or Escape. Widget checkboxes continue to control visibility. Drag handles and widget close controls are shown only during customization/edit interaction, and the final cleanup removed the visible Done controls at the user's request so the panel consists of the widget list and close control.</w:t>
      </w:r>
    </w:p>
    <w:p>
      <w:pPr>
        <w:pStyle w:val="Heading1"/>
      </w:pPr>
      <w:r>
        <w:t>Final Production State</w:t>
      </w:r>
    </w:p>
    <w:tbl>
      <w:tblPr>
        <w:tblW w:type="auto" w:w="0"/>
        <w:jc w:val="center"/>
        <w:tblLayout w:type="fixed"/>
        <w:tblLook w:firstColumn="1" w:firstRow="1" w:lastColumn="0" w:lastRow="0" w:noHBand="0" w:noVBand="1" w:val="04A0"/>
      </w:tblPr>
      <w:tblGrid>
        <w:gridCol w:w="4997"/>
        <w:gridCol w:w="4997"/>
      </w:tblGrid>
      <w:tr>
        <w:tc>
          <w:tcPr>
            <w:tcW w:type="dxa" w:w="2880"/>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Check</w:t>
            </w:r>
          </w:p>
        </w:tc>
        <w:tc>
          <w:tcPr>
            <w:tcW w:type="dxa" w:w="7272"/>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Final status</w:t>
            </w:r>
          </w:p>
        </w:tc>
      </w:tr>
      <w:tr>
        <w:tc>
          <w:tcPr>
            <w:tcW w:type="dxa" w:w="2880"/>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Authentication</w:t>
            </w:r>
          </w:p>
        </w:tc>
        <w:tc>
          <w:tcPr>
            <w:tcW w:type="dxa" w:w="7272"/>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Real /auth/me flow restored; unauthenticated protected routes redirect to /login.</w:t>
            </w:r>
          </w:p>
        </w:tc>
      </w:tr>
      <w:tr>
        <w:tc>
          <w:tcPr>
            <w:tcW w:type="dxa" w:w="2880"/>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bypass marker search</w:t>
            </w:r>
          </w:p>
        </w:tc>
        <w:tc>
          <w:tcPr>
            <w:tcW w:type="dxa" w:w="7272"/>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Zero TEMP LOCAL BYPASS markers and zero VITE_LOCAL_AUTH_BYPASS / LOCAL_AUTH_BYPASS references.</w:t>
            </w:r>
          </w:p>
        </w:tc>
      </w:tr>
      <w:tr>
        <w:tc>
          <w:tcPr>
            <w:tcW w:type="dxa" w:w="2880"/>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mock marker search</w:t>
            </w:r>
          </w:p>
        </w:tc>
        <w:tc>
          <w:tcPr>
            <w:tcW w:type="dxa" w:w="7272"/>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Zero TEMP MOCK DATA markers or local mock utility references.</w:t>
            </w:r>
          </w:p>
        </w:tc>
      </w:tr>
      <w:tr>
        <w:tc>
          <w:tcPr>
            <w:tcW w:type="dxa" w:w="2880"/>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Design work</w:t>
            </w:r>
          </w:p>
        </w:tc>
        <w:tc>
          <w:tcPr>
            <w:tcW w:type="dxa" w:w="7272"/>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Sidebar, routes, page styles, responsive workspace header, theme work, controls, and dashboard polish retained.</w:t>
            </w:r>
          </w:p>
        </w:tc>
      </w:tr>
      <w:tr>
        <w:tc>
          <w:tcPr>
            <w:tcW w:type="dxa" w:w="2880"/>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Lint</w:t>
            </w:r>
          </w:p>
        </w:tc>
        <w:tc>
          <w:tcPr>
            <w:tcW w:type="dxa" w:w="7272"/>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npm run lint passed.</w:t>
            </w:r>
          </w:p>
        </w:tc>
      </w:tr>
      <w:tr>
        <w:tc>
          <w:tcPr>
            <w:tcW w:type="dxa" w:w="2880"/>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Build</w:t>
            </w:r>
          </w:p>
        </w:tc>
        <w:tc>
          <w:tcPr>
            <w:tcW w:type="dxa" w:w="7272"/>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Production Vite build passed using an isolated verification output directory.</w:t>
            </w:r>
          </w:p>
        </w:tc>
      </w:tr>
    </w:tbl>
    <w:p>
      <w:pPr>
        <w:spacing w:after="40"/>
      </w:pPr>
    </w:p>
    <w:p>
      <w:pPr>
        <w:pStyle w:val="Heading1"/>
      </w:pPr>
      <w:r>
        <w:t>Files Central to the Completed Work</w:t>
      </w:r>
    </w:p>
    <w:tbl>
      <w:tblPr>
        <w:tblW w:type="auto" w:w="0"/>
        <w:jc w:val="center"/>
        <w:tblLayout w:type="fixed"/>
        <w:tblLook w:firstColumn="1" w:firstRow="1" w:lastColumn="0" w:lastRow="0" w:noHBand="0" w:noVBand="1" w:val="04A0"/>
      </w:tblPr>
      <w:tblGrid>
        <w:gridCol w:w="4997"/>
        <w:gridCol w:w="4997"/>
      </w:tblGrid>
      <w:tr>
        <w:tc>
          <w:tcPr>
            <w:tcW w:type="dxa" w:w="3816"/>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File</w:t>
            </w:r>
          </w:p>
        </w:tc>
        <w:tc>
          <w:tcPr>
            <w:tcW w:type="dxa" w:w="6336"/>
            <w:vAlign w:val="center"/>
            <w:tcMar>
              <w:top w:w="100" w:type="dxa"/>
              <w:start w:w="120" w:type="dxa"/>
              <w:bottom w:w="100" w:type="dxa"/>
              <w:end w:w="120" w:type="dxa"/>
            </w:tcMar>
            <w:shd w:fill="17365D"/>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color w:val="FFFFFF"/>
                <w:sz w:val="18"/>
              </w:rPr>
              <w:t>Purpose in the completed work</w:t>
            </w:r>
          </w:p>
        </w:tc>
      </w:tr>
      <w:tr>
        <w:tc>
          <w:tcPr>
            <w:tcW w:type="dxa" w:w="381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src/assets/Pages/Dashboard/Dashboard.jsx</w:t>
            </w:r>
          </w:p>
        </w:tc>
        <w:tc>
          <w:tcPr>
            <w:tcW w:type="dxa" w:w="633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Dashboard shell, header action area, workspace navigation, endpoint context, widget customization panel, and widget edit controls.</w:t>
            </w:r>
          </w:p>
        </w:tc>
      </w:tr>
      <w:tr>
        <w:tc>
          <w:tcPr>
            <w:tcW w:type="dxa" w:w="381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src/assets/Pages/Dashboard/Dashboard.css</w:t>
            </w:r>
          </w:p>
        </w:tc>
        <w:tc>
          <w:tcPr>
            <w:tcW w:type="dxa" w:w="633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Header, workspace actions, responsive states, theme contrast, panel layering, icon inheritance, and dashboard spacing.</w:t>
            </w:r>
          </w:p>
        </w:tc>
      </w:tr>
      <w:tr>
        <w:tc>
          <w:tcPr>
            <w:tcW w:type="dxa" w:w="381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src/store/authStore.js</w:t>
            </w:r>
          </w:p>
        </w:tc>
        <w:tc>
          <w:tcPr>
            <w:tcW w:type="dxa" w:w="633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bypass added and later removed; final file uses real authentication.</w:t>
            </w:r>
          </w:p>
        </w:tc>
      </w:tr>
      <w:tr>
        <w:tc>
          <w:tcPr>
            <w:tcW w:type="dxa" w:w="381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src/components/ProtectedRoute.jsx</w:t>
            </w:r>
          </w:p>
        </w:tc>
        <w:tc>
          <w:tcPr>
            <w:tcW w:type="dxa" w:w="633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route bypass added and later removed; final file requires authentication.</w:t>
            </w:r>
          </w:p>
        </w:tc>
      </w:tr>
      <w:tr>
        <w:tc>
          <w:tcPr>
            <w:tcW w:type="dxa" w:w="381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.env.local</w:t>
            </w:r>
          </w:p>
        </w:tc>
        <w:tc>
          <w:tcPr>
            <w:tcW w:type="dxa" w:w="633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bypass flag removed; API and feature flags remain.</w:t>
            </w:r>
          </w:p>
        </w:tc>
      </w:tr>
      <w:tr>
        <w:tc>
          <w:tcPr>
            <w:tcW w:type="dxa" w:w="381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src/assets/Pages/Compliance/ConfigurationAssessment.jsx</w:t>
            </w:r>
          </w:p>
        </w:tc>
        <w:tc>
          <w:tcPr>
            <w:tcW w:type="dxa" w:w="633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Configuration assessment mock fallback added and later removed; real error behavior retained.</w:t>
            </w:r>
          </w:p>
        </w:tc>
      </w:tr>
      <w:tr>
        <w:tc>
          <w:tcPr>
            <w:tcW w:type="dxa" w:w="381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src/assets/Pages/Evidence/EvidenceCases.jsx</w:t>
            </w:r>
          </w:p>
        </w:tc>
        <w:tc>
          <w:tcPr>
            <w:tcW w:type="dxa" w:w="633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Evidence-case mock fallback added and later removed; real error behavior retained.</w:t>
            </w:r>
          </w:p>
        </w:tc>
      </w:tr>
      <w:tr>
        <w:tc>
          <w:tcPr>
            <w:tcW w:type="dxa" w:w="381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src/assets/Pages/Evidence/LegalHolds.jsx</w:t>
            </w:r>
          </w:p>
        </w:tc>
        <w:tc>
          <w:tcPr>
            <w:tcW w:type="dxa" w:w="633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Legal-hold mock fallback added and later removed; real error behavior retained.</w:t>
            </w:r>
          </w:p>
        </w:tc>
      </w:tr>
      <w:tr>
        <w:tc>
          <w:tcPr>
            <w:tcW w:type="dxa" w:w="381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src/assets/Components/OperationsViews/OperationsViews.jsx</w:t>
            </w:r>
          </w:p>
        </w:tc>
        <w:tc>
          <w:tcPr>
            <w:tcW w:type="dxa" w:w="6336"/>
            <w:vAlign w:val="center"/>
            <w:tcMar>
              <w:top w:w="100" w:type="dxa"/>
              <w:start w:w="120" w:type="dxa"/>
              <w:bottom w:w="100" w:type="dxa"/>
              <w:end w:w="120" w:type="dxa"/>
            </w:tcMar>
            <w:shd w:fill="FFFFFF"/>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endpoint, relay, and archive mock fallbacks added and later removed.</w:t>
            </w:r>
          </w:p>
        </w:tc>
      </w:tr>
      <w:tr>
        <w:tc>
          <w:tcPr>
            <w:tcW w:type="dxa" w:w="381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src/utils/localDesignMockData.js</w:t>
            </w:r>
          </w:p>
        </w:tc>
        <w:tc>
          <w:tcPr>
            <w:tcW w:type="dxa" w:w="6336"/>
            <w:vAlign w:val="center"/>
            <w:tcMar>
              <w:top w:w="100" w:type="dxa"/>
              <w:start w:w="120" w:type="dxa"/>
              <w:bottom w:w="100" w:type="dxa"/>
              <w:end w:w="120" w:type="dxa"/>
            </w:tcMar>
            <w:shd w:fill="F3F6F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Pr>
          <w:p>
            <w:pPr>
              <w:spacing w:after="0" w:line="259" w:lineRule="auto"/>
            </w:pPr>
            <w:r/>
            <w:r>
              <w:rPr>
                <w:rFonts w:ascii="Aptos" w:hAnsi="Aptos"/>
                <w:b w:val="0"/>
                <w:color w:val="172033"/>
                <w:sz w:val="18"/>
              </w:rPr>
              <w:t>Temporary mock utility created for design review and deleted during production cleanup.</w:t>
            </w:r>
          </w:p>
        </w:tc>
      </w:tr>
    </w:tbl>
    <w:p>
      <w:pPr>
        <w:spacing w:after="40"/>
      </w:pPr>
    </w:p>
    <w:p>
      <w:pPr>
        <w:pStyle w:val="Heading1"/>
      </w:pPr>
      <w:r>
        <w:t>Assumptions and Handover Notes</w:t>
      </w:r>
    </w:p>
    <w:p>
      <w:pPr>
        <w:spacing w:after="140" w:line="269" w:lineRule="auto"/>
      </w:pPr>
      <w:r>
        <w:rPr>
          <w:rFonts w:ascii="Aptos" w:hAnsi="Aptos"/>
          <w:color w:val="172033"/>
          <w:sz w:val="21"/>
        </w:rPr>
        <w:t>The documentation describes the implementation sequence and final code state reflected in the shared workspace. The design-review bypass and mock layer were intentionally temporary and are not part of the production handover. A live backend and valid authentication session are required to verify real data rendering after deployment.</w:t>
      </w:r>
    </w:p>
    <w:p>
      <w:pPr>
        <w:spacing w:after="120"/>
        <w:ind w:left="259"/>
      </w:pPr>
      <w:r>
        <w:rPr>
          <w:rFonts w:ascii="Aptos" w:hAnsi="Aptos"/>
          <w:b/>
          <w:color w:val="17365D"/>
          <w:sz w:val="20"/>
        </w:rPr>
        <w:t xml:space="preserve">Recommended deployment check: </w:t>
      </w:r>
      <w:r>
        <w:rPr>
          <w:rFonts w:ascii="Aptos" w:hAnsi="Aptos"/>
          <w:color w:val="172033"/>
          <w:sz w:val="20"/>
        </w:rPr>
        <w:t>Confirm the production environment does not inject VITE_LOCAL_AUTH_BYPASS and verify login, protected-route redirects, /auth/me, and the primary dashboard data endpoints against the deployed backend.</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B82"/>
        <w:sz w:val="16"/>
      </w:rPr>
      <w:t>WARSOC Frontend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WARSOC Frontend Project Documentation</dc:title>
  <dc:subject>WARSOC dashboard development history and production cleanup</dc:subject>
  <dc:creator>WARSOC Frontend Team</dc:creator>
  <cp:keywords>WARSOC, dashboard, SIEM, frontend,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