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p>
    <w:p>
      <w:pPr>
        <w:jc w:val="center"/>
      </w:pPr>
      <w:r>
        <w:rPr>
          <w:rFonts w:ascii="Arial" w:hAnsi="Arial"/>
          <w:b/>
          <w:color w:val="1A7E8F"/>
          <w:sz w:val="22"/>
          <w:spacing w:val="160"/>
        </w:rPr>
        <w:t>SUPERHOST HOSPITALITY</w:t>
      </w:r>
    </w:p>
    <w:p>
      <w:pPr>
        <w:spacing w:after="160"/>
        <w:jc w:val="center"/>
      </w:pPr>
      <w:r>
        <w:rPr>
          <w:rFonts w:ascii="Arial" w:hAnsi="Arial"/>
          <w:b/>
          <w:color w:val="0D2137"/>
          <w:sz w:val="56"/>
        </w:rPr>
        <w:t>Executive Operations Hub</w:t>
      </w:r>
    </w:p>
    <w:p>
      <w:pPr>
        <w:spacing w:before="80" w:after="240"/>
        <w:jc w:val="center"/>
        <w:pBdr>
          <w:bottom w:val="single" w:sz="8" w:space="1" w:color="C8963F"/>
        </w:pBdr>
      </w:pPr>
      <w:r>
        <w:rPr>
          <w:sz w:val="4"/>
        </w:rPr>
        <w:t xml:space="preserve">                                                                         </w:t>
      </w:r>
    </w:p>
    <w:p>
      <w:pPr>
        <w:jc w:val="center"/>
      </w:pPr>
      <w:r>
        <w:rPr>
          <w:rFonts w:ascii="Arial" w:hAnsi="Arial"/>
          <w:color w:val="4A5568"/>
          <w:sz w:val="28"/>
        </w:rPr>
        <w:t>User Guide &amp; Section Reference</w:t>
      </w:r>
    </w:p>
    <w:p>
      <w:pPr>
        <w:jc w:val="center"/>
      </w:pPr>
      <w:r>
        <w:rPr>
          <w:rFonts w:ascii="Arial" w:hAnsi="Arial"/>
          <w:color w:val="8899AA"/>
          <w:sz w:val="22"/>
        </w:rPr>
        <w:t>Version 3.0  |  April 2026</w:t>
      </w:r>
    </w:p>
    <w:p>
      <w:pPr>
        <w:spacing w:before="2800" w:after="0"/>
      </w:pPr>
    </w:p>
    <w:p>
      <w:pPr>
        <w:jc w:val="center"/>
      </w:pPr>
      <w:r>
        <w:rPr>
          <w:rFonts w:ascii="Arial" w:hAnsi="Arial"/>
          <w:i/>
          <w:color w:val="8899AA"/>
          <w:sz w:val="18"/>
        </w:rPr>
        <w:t>Confidential — Internal Use Only</w:t>
      </w:r>
    </w:p>
    <w:p>
      <w:r>
        <w:br w:type="page"/>
      </w:r>
    </w:p>
    <w:p>
      <w:pPr>
        <w:pStyle w:val="Heading1"/>
      </w:pPr>
      <w:r>
        <w:t>Overview</w:t>
      </w:r>
    </w:p>
    <w:p>
      <w:pPr/>
      <w:r>
        <w:t>The Superhost Executive Operations Hub is a centralized command center for portfolio-level hotel performance management. It consolidates live ProfitSword data, manual KPI entry, AI-powered analysis, brand compliance, and ownership reporting into a single browser-based interface.</w:t>
      </w:r>
    </w:p>
    <w:p>
      <w:pPr/>
      <w:r>
        <w:t>This guide walks through every section of the Hub, explains what each view is designed to do, and provides practical tips for getting the most value from each feature.</w:t>
      </w:r>
    </w:p>
    <w:p>
      <w:pPr>
        <w:pStyle w:val="Heading2"/>
      </w:pPr>
      <w:r>
        <w:t>Getting Started</w:t>
      </w:r>
    </w:p>
    <w:p>
      <w:pPr/>
      <w:r>
        <w:t>The Hub runs locally on your machine (localhost:3000). On launch, you’ll see the PIN screen if a HUB_PIN is configured in your .env file. Enter the 4-digit PIN to proceed. If no PIN is set, the Hub loads directly to the AI Command view.</w:t>
      </w:r>
    </w:p>
    <w:p>
      <w:pPr/>
      <w:r>
        <w:t>The header bar shows the current data source status (Live or Demo mode), active period selector, and a Refresh button to pull the latest data from ProfitSword. The sidebar on the left provides navigation to all sections.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Set your active period in the header dropdown before running any analysis. All KPI cards, leaderboard rankings, and AI responses reference the selected period.</w:t>
            </w:r>
          </w:p>
        </w:tc>
      </w:tr>
    </w:tbl>
    <w:p/>
    <w:p>
      <w:pPr>
        <w:pStyle w:val="Heading1"/>
      </w:pPr>
      <w:r>
        <w:t>1. AI Command</w:t>
      </w:r>
    </w:p>
    <w:p>
      <w:pPr>
        <w:spacing w:after="200"/>
      </w:pPr>
      <w:r>
        <w:rPr>
          <w:i/>
          <w:color w:val="4A5568"/>
          <w:sz w:val="22"/>
        </w:rPr>
        <w:t>Your primary interface for asking questions, generating analysis, and drafting communications across the entire portfolio.</w:t>
      </w:r>
    </w:p>
    <w:p>
      <w:pPr/>
      <w:r>
        <w:t>The AI Command panel is a conversational interface powered by Claude. It has access to every property’s current KPIs, budget variances, compliance records, ownership groups, and RDO assignments. You can ask natural-language questions and receive structured, data-backed responses.</w:t>
      </w:r>
    </w:p>
    <w:p>
      <w:pPr>
        <w:pStyle w:val="Heading3"/>
      </w:pPr>
      <w:r>
        <w:t>Mode Buttons</w:t>
      </w:r>
    </w:p>
    <w:p>
      <w:pPr/>
      <w:r>
        <w:t>Five mode buttons at the bottom of the chat control the AI’s persona and response style:</w:t>
      </w:r>
    </w:p>
    <w:p>
      <w:pPr>
        <w:pStyle w:val="ListBullet"/>
        <w:spacing w:after="80"/>
      </w:pPr>
      <w:r>
        <w:t>Executive — Default mode. Portfolio-level analysis, NOI focus, strategic recommendations.</w:t>
      </w:r>
    </w:p>
    <w:p>
      <w:pPr>
        <w:pStyle w:val="ListBullet"/>
        <w:spacing w:after="80"/>
      </w:pPr>
      <w:r>
        <w:t>Owner Lens — Frames responses from an ownership/investor perspective. Emphasizes distributions, cap rate impact, and asset value.</w:t>
      </w:r>
    </w:p>
    <w:p>
      <w:pPr>
        <w:pStyle w:val="ListBullet"/>
        <w:spacing w:after="80"/>
      </w:pPr>
      <w:r>
        <w:t>GM Coach — Shifts tone to direct property-level coaching. Focuses on actionable steps a GM can execute this week.</w:t>
      </w:r>
    </w:p>
    <w:p>
      <w:pPr>
        <w:pStyle w:val="ListBullet"/>
        <w:spacing w:after="80"/>
      </w:pPr>
      <w:r>
        <w:t>Revenue — Revenue management focus. Rate strategy, comp set positioning, channel mix, demand analysis.</w:t>
      </w:r>
    </w:p>
    <w:p>
      <w:pPr>
        <w:pStyle w:val="ListBullet"/>
        <w:spacing w:after="80"/>
      </w:pPr>
      <w:r>
        <w:t>Drafting — Generates ready-to-send emails, memos, and narratives. Specify the audience and the AI adapts tone accordingly.</w:t>
      </w:r>
    </w:p>
    <w:p>
      <w:pPr>
        <w:pStyle w:val="Heading3"/>
      </w:pPr>
      <w:r>
        <w:t>Quick Prompts</w:t>
      </w:r>
    </w:p>
    <w:p>
      <w:pPr/>
      <w:r>
        <w:t>Pre-built prompt tiles appear on the welcome screen for common tasks: portfolio NOI vs. budget, negative flow-through flags, GM accountability emails, RDO territory diagnostics, ownership call prep, and forecast stress tests. Click any tile to instantly launch that query.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Use GM Coach mode before a property review call. Ask it to prep you on a specific property — it will surface the KPIs, variances, and talking points you need.</w:t>
            </w:r>
          </w:p>
        </w:tc>
      </w:tr>
    </w:tbl>
    <w:p/>
    <w:p>
      <w:pPr>
        <w:pStyle w:val="Heading1"/>
      </w:pPr>
      <w:r>
        <w:t>2. Dashboard</w:t>
      </w:r>
    </w:p>
    <w:p>
      <w:pPr>
        <w:spacing w:after="200"/>
      </w:pPr>
      <w:r>
        <w:rPr>
          <w:i/>
          <w:color w:val="4A5568"/>
          <w:sz w:val="22"/>
        </w:rPr>
        <w:t>The portfolio-level snapshot. Eight KPI cards, RDO territory summary, and active alerts in a single view.</w:t>
      </w:r>
    </w:p>
    <w:p>
      <w:pPr>
        <w:pStyle w:val="Heading3"/>
      </w:pPr>
      <w:r>
        <w:t>KPI Cards</w:t>
      </w:r>
    </w:p>
    <w:p>
      <w:pPr/>
      <w:r>
        <w:t>Eight cards display weighted portfolio averages for the active period:</w:t>
      </w:r>
    </w:p>
    <w:p>
      <w:pPr>
        <w:pStyle w:val="ListBullet"/>
        <w:spacing w:after="80"/>
      </w:pPr>
      <w:r>
        <w:t>Total Operating Revenue — Sum of all property revenues (TOTOPRV from ProfitSword).</w:t>
      </w:r>
    </w:p>
    <w:p>
      <w:pPr>
        <w:pStyle w:val="ListBullet"/>
        <w:spacing w:after="80"/>
      </w:pPr>
      <w:r>
        <w:t>Occupancy — Portfolio-wide occupied rooms ÷ available rooms.</w:t>
      </w:r>
    </w:p>
    <w:p>
      <w:pPr>
        <w:pStyle w:val="ListBullet"/>
        <w:spacing w:after="80"/>
      </w:pPr>
      <w:r>
        <w:t>ADR — Portfolio-wide room revenue ÷ occupied rooms.</w:t>
      </w:r>
    </w:p>
    <w:p>
      <w:pPr>
        <w:pStyle w:val="ListBullet"/>
        <w:spacing w:after="80"/>
      </w:pPr>
      <w:r>
        <w:t>RevPAR — Portfolio-wide room revenue ÷ available rooms.</w:t>
      </w:r>
    </w:p>
    <w:p>
      <w:pPr>
        <w:pStyle w:val="ListBullet"/>
        <w:spacing w:after="80"/>
      </w:pPr>
      <w:r>
        <w:t>GOP — Gross Operating Profit as a percentage of total revenue.</w:t>
      </w:r>
    </w:p>
    <w:p>
      <w:pPr>
        <w:pStyle w:val="ListBullet"/>
        <w:spacing w:after="80"/>
      </w:pPr>
      <w:r>
        <w:t>NOI — Net Operating Income, summed across properties.</w:t>
      </w:r>
    </w:p>
    <w:p>
      <w:pPr>
        <w:pStyle w:val="ListBullet"/>
        <w:spacing w:after="80"/>
      </w:pPr>
      <w:r>
        <w:t>Flow% — Adjusted flex/flow-through percentage using the Superhost 3-step formula.</w:t>
      </w:r>
    </w:p>
    <w:p>
      <w:pPr>
        <w:pStyle w:val="ListBullet"/>
        <w:spacing w:after="80"/>
      </w:pPr>
      <w:r>
        <w:t>Score — Average composite score across all properties.</w:t>
      </w:r>
    </w:p>
    <w:p>
      <w:pPr/>
      <w:r>
        <w:t>Each card is clickable. Clicking opens a detail modal showing the top 3 and bottom 3 performers for that metric, followed by a full property breakdown with horizontal bar charts for visual comparison.</w:t>
      </w:r>
    </w:p>
    <w:p>
      <w:pPr>
        <w:pStyle w:val="Heading3"/>
      </w:pPr>
      <w:r>
        <w:t>RDO Snapshot</w:t>
      </w:r>
    </w:p>
    <w:p>
      <w:pPr/>
      <w:r>
        <w:t>Below the KPI cards, the RDO Snapshot section shows territory-level rollups — one card per RDO with property count, average score, RevPAR, and top/bottom performers. This is a quick visual check on which territory is leading and which needs attention.</w:t>
      </w:r>
    </w:p>
    <w:p>
      <w:pPr>
        <w:pStyle w:val="Heading3"/>
      </w:pPr>
      <w:r>
        <w:t>Active Alerts</w:t>
      </w:r>
    </w:p>
    <w:p>
      <w:pPr/>
      <w:r>
        <w:t>The bottom section surfaces any alerts (critical, watch, or informational) that are currently active. Alerts are created on the Alerts tab and flow to both the Dashboard and the sidebar badge count.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Click on a KPI card to instantly see which properties are dragging the portfolio average down. This saves the trip to the Leaderboard for quick diagnostics.</w:t>
            </w:r>
          </w:p>
        </w:tc>
      </w:tr>
    </w:tbl>
    <w:p/>
    <w:p>
      <w:pPr>
        <w:pStyle w:val="Heading1"/>
      </w:pPr>
      <w:r>
        <w:t>3. Leaderboard</w:t>
      </w:r>
    </w:p>
    <w:p>
      <w:pPr>
        <w:spacing w:after="200"/>
      </w:pPr>
      <w:r>
        <w:rPr>
          <w:i/>
          <w:color w:val="4A5568"/>
          <w:sz w:val="22"/>
        </w:rPr>
        <w:t>Ranked property table with filtering by RDO territory, ownership group, and brand — sortable by any KPI.</w:t>
      </w:r>
    </w:p>
    <w:p>
      <w:pPr/>
      <w:r>
        <w:t>The Leaderboard is the primary property comparison view. Every active property appears in a sortable table with columns for Score, RevPAR, vs. Budget, Occ%, ADR, GOP%, Flow%, and RevPAR Index.</w:t>
      </w:r>
    </w:p>
    <w:p>
      <w:pPr>
        <w:pStyle w:val="Heading3"/>
      </w:pPr>
      <w:r>
        <w:t>Filters</w:t>
      </w:r>
    </w:p>
    <w:p>
      <w:pPr/>
      <w:r>
        <w:t>Two dropdown filters sit above the table:</w:t>
      </w:r>
    </w:p>
    <w:p>
      <w:pPr>
        <w:pStyle w:val="ListBullet"/>
        <w:spacing w:after="80"/>
      </w:pPr>
      <w:r>
        <w:t>Portfolio Filter — Narrow by RDO (Tim, Jennifer, Mark), ownership group (Lakhany, Capitol One, Gateway, Alpental, INDC, Gulfstream), or brand family (Hilton, Marriott, IHG, Choice).</w:t>
      </w:r>
    </w:p>
    <w:p>
      <w:pPr>
        <w:pStyle w:val="ListBullet"/>
        <w:spacing w:after="80"/>
      </w:pPr>
      <w:r>
        <w:t>Sort By — Choose the primary sort column: Score (default), RevPAR, GOP%, Flow%, Occ%, or RevPAR Index.</w:t>
      </w:r>
    </w:p>
    <w:p>
      <w:pPr/>
      <w:r>
        <w:t>Each row includes a color-coded Status badge (green/amber/red) and Pace indicator. The Updated column shows when data was last refreshed for that property.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Sort by Flow% to quickly identify which GMs are converting revenue variance into profit. A property with high revenue but low flow signals cost control issues worth investigating.</w:t>
            </w:r>
          </w:p>
        </w:tc>
      </w:tr>
    </w:tbl>
    <w:p/>
    <w:p>
      <w:pPr>
        <w:pStyle w:val="Heading1"/>
      </w:pPr>
      <w:r>
        <w:t>4. Compare</w:t>
      </w:r>
    </w:p>
    <w:p>
      <w:pPr>
        <w:spacing w:after="200"/>
      </w:pPr>
      <w:r>
        <w:rPr>
          <w:i/>
          <w:color w:val="4A5568"/>
          <w:sz w:val="22"/>
        </w:rPr>
        <w:t>Side-by-side period-over-period comparison. Select two months to see movement across every property.</w:t>
      </w:r>
    </w:p>
    <w:p>
      <w:pPr/>
      <w:r>
        <w:t>Choose Period A and Period B from the dropdowns, then click Compare. The view generates a summary KPI row showing the portfolio-level delta, followed by a property-by-property comparison table with variance columns for all key metrics.</w:t>
      </w:r>
    </w:p>
    <w:p>
      <w:pPr/>
      <w:r>
        <w:t>This is particularly useful for identifying trend breaks — a property that was improving in March but reversed in April, or a territory that is pulling ahead.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Use Compare before ownership calls to frame the narrative: “RevPAR moved from $X to $Y period-over-period, driven by [these properties].”</w:t>
            </w:r>
          </w:p>
        </w:tc>
      </w:tr>
    </w:tbl>
    <w:p/>
    <w:p>
      <w:pPr>
        <w:pStyle w:val="Heading1"/>
      </w:pPr>
      <w:r>
        <w:t>5. RDO Teams</w:t>
      </w:r>
    </w:p>
    <w:p>
      <w:pPr>
        <w:spacing w:after="200"/>
      </w:pPr>
      <w:r>
        <w:rPr>
          <w:i/>
          <w:color w:val="4A5568"/>
          <w:sz w:val="22"/>
        </w:rPr>
        <w:t>Territory-level performance view organized by Regional Director of Operations.</w:t>
      </w:r>
    </w:p>
    <w:p>
      <w:pPr/>
      <w:r>
        <w:t>The RDO Teams panel displays one card per RDO with aggregate KPIs across their assigned properties. Below the cards, an Action Items section lists flagged items for each territory, and a full Property Assignment table shows the complete RDO-to-property mapping.</w:t>
      </w:r>
    </w:p>
    <w:p>
      <w:pPr/>
      <w:r>
        <w:t>Use this view to prepare for RDO check-ins or to compare territory performance side-by-side. If one RDO’s portfolio consistently outperforms, that’s a coaching opportunity for the others.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Before your weekly ops call, pull up RDO Teams and ask the AI Command (in GM Coach mode): “What should I push [RDO name] on this week?”</w:t>
            </w:r>
          </w:p>
        </w:tc>
      </w:tr>
    </w:tbl>
    <w:p/>
    <w:p>
      <w:pPr>
        <w:pStyle w:val="Heading1"/>
      </w:pPr>
      <w:r>
        <w:t>6. Ownership</w:t>
      </w:r>
    </w:p>
    <w:p>
      <w:pPr>
        <w:spacing w:after="200"/>
      </w:pPr>
      <w:r>
        <w:rPr>
          <w:i/>
          <w:color w:val="4A5568"/>
          <w:sz w:val="22"/>
        </w:rPr>
        <w:t>Group properties by ownership entity for investor-facing analysis.</w:t>
      </w:r>
    </w:p>
    <w:p>
      <w:pPr/>
      <w:r>
        <w:t>The Ownership view organizes performance data by ownership group — Lakhany Group, Capitol One, Gateway, Alpental Capital, INDC, and Gulfstream. Each group gets a summary card with aggregate Score, RevPAR, GOP%, and property count.</w:t>
      </w:r>
    </w:p>
    <w:p>
      <w:pPr/>
      <w:r>
        <w:t>The Portfolio by Ownership table below provides the detail: each property sorted under its owner with Score, RevPAR, vs. Budget, GOP%, and Flow%.</w:t>
      </w:r>
    </w:p>
    <w:p>
      <w:pPr/>
      <w:r>
        <w:t>This is the view to reference when preparing ownership reports, asset management calls, or board presentations. It answers the question every owner asks: “How are my properties performing relative to budget?”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Use the Generate tab’s Owner Narrative feature after reviewing this data — it drafts the actual narrative you’d send to each ownership group.</w:t>
            </w:r>
          </w:p>
        </w:tc>
      </w:tr>
    </w:tbl>
    <w:p/>
    <w:p>
      <w:pPr>
        <w:pStyle w:val="Heading1"/>
      </w:pPr>
      <w:r>
        <w:t>7. Forecast</w:t>
      </w:r>
    </w:p>
    <w:p>
      <w:pPr>
        <w:spacing w:after="200"/>
      </w:pPr>
      <w:r>
        <w:rPr>
          <w:i/>
          <w:color w:val="4A5568"/>
          <w:sz w:val="22"/>
        </w:rPr>
        <w:t>Forward-looking pace analysis, GM forecast credibility scoring, and flow-through tracking.</w:t>
      </w:r>
    </w:p>
    <w:p>
      <w:pPr/>
      <w:r>
        <w:t>The Forecast panel opens with summary KPI cards showing forward-looking pace data. Below that, three distinct sections provide operational intelligence:</w:t>
      </w:r>
    </w:p>
    <w:p>
      <w:pPr>
        <w:pStyle w:val="ListBullet"/>
        <w:spacing w:after="80"/>
      </w:pPr>
      <w:r>
        <w:t>30-Day Forward Outlook — Weekly pace projections based on booking data and historical patterns.</w:t>
      </w:r>
    </w:p>
    <w:p>
      <w:pPr>
        <w:pStyle w:val="ListBullet"/>
        <w:spacing w:after="80"/>
      </w:pPr>
      <w:r>
        <w:t>GM Forecast Credibility — Compares each GM’s submitted forecast against actuals over time. Properties where GMs consistently over-forecast or under-forecast are flagged.</w:t>
      </w:r>
    </w:p>
    <w:p>
      <w:pPr>
        <w:pStyle w:val="ListBullet"/>
        <w:spacing w:after="80"/>
      </w:pPr>
      <w:r>
        <w:t>Flow-Through Tracker — The Superhost flex/flow calculation applied at the property level. Shows the 3-step adjusted flow percentage alongside revenue and GOP variance for each property.</w:t>
      </w:r>
    </w:p>
    <w:p>
      <w:pPr/>
      <w:r>
        <w:t>The flow-through formula follows Superhost’s standard: (1) Revenue Variance = Actual Revenue – Budget Revenue, (2) GOP Variance = Actual GOP – Budget GOP, (3) Adjusted = if GOP Variance &gt; 0 and Rev Variance &gt; 0, use GOP Variance; otherwise, GOP Variance – Rev Variance, (4) Flow% = Adjusted ÷ |Revenue Variance|.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A flow-through above 50% is strong. Between 30–50% is acceptable. Below 30% signals cost leakage that needs immediate GM attention.</w:t>
            </w:r>
          </w:p>
        </w:tc>
      </w:tr>
    </w:tbl>
    <w:p/>
    <w:p>
      <w:pPr>
        <w:pStyle w:val="Heading1"/>
      </w:pPr>
      <w:r>
        <w:t>8. Brand QA &amp; Compliance</w:t>
      </w:r>
    </w:p>
    <w:p>
      <w:pPr>
        <w:spacing w:after="200"/>
      </w:pPr>
      <w:r>
        <w:rPr>
          <w:i/>
          <w:color w:val="4A5568"/>
          <w:sz w:val="22"/>
        </w:rPr>
        <w:t>QA scores, inspection tracking, PIP management, and AI-powered brand audit PDF extraction.</w:t>
      </w:r>
    </w:p>
    <w:p>
      <w:pPr/>
      <w:r>
        <w:t>The Brand QA tab tracks compliance health across all brand families. Each property card shows QA score, last inspection date, next inspection window, open PIPs, status (Compliant, Watch, At-Risk, In PIP), and a deficiency list when available.</w:t>
      </w:r>
    </w:p>
    <w:p>
      <w:pPr>
        <w:pStyle w:val="Heading3"/>
      </w:pPr>
      <w:r>
        <w:t>Sorting &amp; Filtering</w:t>
      </w:r>
    </w:p>
    <w:p>
      <w:pPr/>
      <w:r>
        <w:t>Two dropdowns at the top allow you to sort (by Name, QA Score, Next Inspection, Open PIPs, or Status) and filter (All, Compliant, Watch, At Risk, In PIP). Use these to triage — sort by QA Score ascending to immediately see the weakest performers.</w:t>
      </w:r>
    </w:p>
    <w:p>
      <w:pPr>
        <w:pStyle w:val="Heading3"/>
      </w:pPr>
      <w:r>
        <w:t>Adding / Updating Records</w:t>
      </w:r>
    </w:p>
    <w:p>
      <w:pPr/>
      <w:r>
        <w:t>Click “+ Add / Update” to manually enter or edit QA data for any property. The modal captures score, dates, PIP count, and notes.</w:t>
      </w:r>
    </w:p>
    <w:p>
      <w:pPr>
        <w:pStyle w:val="Heading3"/>
      </w:pPr>
      <w:r>
        <w:t>PDF Brand Audit Upload</w:t>
      </w:r>
    </w:p>
    <w:p>
      <w:pPr/>
      <w:r>
        <w:t>Click “Upload Brand Audit PDF” to upload an inspection report directly from a brand’s portal. The system extracts the PDF text, sends it to Claude for structured analysis, and automatically populates the property’s compliance record with the extracted score, deficiencies, and inspection date.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Upload brand audit PDFs as soon as they arrive. The AI extraction captures deficiency details that are easy to miss in a manual review.</w:t>
            </w:r>
          </w:p>
        </w:tc>
      </w:tr>
    </w:tbl>
    <w:p/>
    <w:p>
      <w:pPr>
        <w:pStyle w:val="Heading1"/>
      </w:pPr>
      <w:r>
        <w:t>9. Pipeline</w:t>
      </w:r>
    </w:p>
    <w:p>
      <w:pPr>
        <w:spacing w:after="200"/>
      </w:pPr>
      <w:r>
        <w:rPr>
          <w:i/>
          <w:color w:val="4A5568"/>
          <w:sz w:val="22"/>
        </w:rPr>
        <w:t>Development property tracker for openings, pre-opening milestones, and brand status.</w:t>
      </w:r>
    </w:p>
    <w:p>
      <w:pPr/>
      <w:r>
        <w:t>The Pipeline tab manages properties that are not yet operating. Each entry tracks the property name, brand, location, target opening date, current phase (Planning, Construction, Pre-Opening, Soft Open), assigned RDO, and milestone notes.</w:t>
      </w:r>
    </w:p>
    <w:p>
      <w:pPr/>
      <w:r>
        <w:t>Sort by opening date to see what’s coming next, or filter by phase to focus on properties that need pre-opening attention. The pipeline count appears as a badge in the sidebar navigation.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Keep the Pipeline current — when a property reaches Soft Open, update it here and add it to your active property list with Data Entry so KPIs start flowing immediately.</w:t>
            </w:r>
          </w:p>
        </w:tc>
      </w:tr>
    </w:tbl>
    <w:p/>
    <w:p>
      <w:pPr>
        <w:pStyle w:val="Heading1"/>
      </w:pPr>
      <w:r>
        <w:t>10. Generate</w:t>
      </w:r>
    </w:p>
    <w:p>
      <w:pPr>
        <w:spacing w:after="200"/>
      </w:pPr>
      <w:r>
        <w:rPr>
          <w:i/>
          <w:color w:val="4A5568"/>
          <w:sz w:val="22"/>
        </w:rPr>
        <w:t>One-click AI document generation using live portfolio data.</w:t>
      </w:r>
    </w:p>
    <w:p>
      <w:pPr/>
      <w:r>
        <w:t>The Generate panel provides pre-built document templates that pull your current data and produce ready-to-send outputs:</w:t>
      </w:r>
    </w:p>
    <w:p>
      <w:pPr>
        <w:pStyle w:val="ListBullet"/>
        <w:spacing w:after="80"/>
      </w:pPr>
      <w:r>
        <w:t>RDO Recap — A structured weekly territory summary for each RDO with KPI highlights, variance flags, and action items.</w:t>
      </w:r>
    </w:p>
    <w:p>
      <w:pPr>
        <w:pStyle w:val="ListBullet"/>
        <w:spacing w:after="80"/>
      </w:pPr>
      <w:r>
        <w:t>GM Prep — A pre-meeting property briefing for a specific GM. Select the property from the dropdown and the AI generates a prep sheet with performance data, talking points, and questions to ask.</w:t>
      </w:r>
    </w:p>
    <w:p>
      <w:pPr>
        <w:pStyle w:val="ListBullet"/>
        <w:spacing w:after="80"/>
      </w:pPr>
      <w:r>
        <w:t>Portfolio Scorecard — A formatted, printable scorecard across all properties. Includes a Print/PDF button for generating a hard copy.</w:t>
      </w:r>
    </w:p>
    <w:p>
      <w:pPr/>
      <w:r>
        <w:t>Generated outputs appear inline with Copy, Email, and Print options. The scorecard can be printed directly from the browser or saved as a PDF.</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Generate a GM Prep before every 1:1. It takes 5 seconds and ensures you’re walking into the conversation with the right data and the right questions.</w:t>
            </w:r>
          </w:p>
        </w:tc>
      </w:tr>
    </w:tbl>
    <w:p/>
    <w:p>
      <w:pPr>
        <w:pStyle w:val="Heading1"/>
      </w:pPr>
      <w:r>
        <w:t>11. Alerts</w:t>
      </w:r>
    </w:p>
    <w:p>
      <w:pPr>
        <w:spacing w:after="200"/>
      </w:pPr>
      <w:r>
        <w:rPr>
          <w:i/>
          <w:color w:val="4A5568"/>
          <w:sz w:val="22"/>
        </w:rPr>
        <w:t>Active alert management with priority classification.</w:t>
      </w:r>
    </w:p>
    <w:p>
      <w:pPr/>
      <w:r>
        <w:t>The Alerts tab lets you create and manage portfolio-wide alerts. Each alert has a title, priority level (Critical, Watch, Info), and detail text.</w:t>
      </w:r>
    </w:p>
    <w:p>
      <w:pPr/>
      <w:r>
        <w:t>Critical alerts appear with a red badge in the sidebar and surface on the Dashboard. Use this for items that need immediate visibility: a failed brand inspection, a labor crisis at a property, a compliance deadline, or a revenue cliff.</w:t>
      </w:r>
    </w:p>
    <w:p>
      <w:pPr/>
      <w:r>
        <w:t>Click “+ New Alert” to create one. Alerts persist until manually dismissed.</w:t>
      </w:r>
    </w:p>
    <w:p>
      <w:pPr>
        <w:pStyle w:val="Heading1"/>
      </w:pPr>
      <w:r>
        <w:t>12. AI Toolkit</w:t>
      </w:r>
    </w:p>
    <w:p>
      <w:pPr>
        <w:spacing w:after="200"/>
      </w:pPr>
      <w:r>
        <w:rPr>
          <w:i/>
          <w:color w:val="4A5568"/>
          <w:sz w:val="22"/>
        </w:rPr>
        <w:t>Curated prompt library for common executive workflows.</w:t>
      </w:r>
    </w:p>
    <w:p>
      <w:pPr/>
      <w:r>
        <w:t>The AI Toolkit is a grid of pre-built prompt cards, each targeting a specific use case. Unlike the AI Command’s open-ended chat, these cards launch targeted conversations with the context pre-loaded.</w:t>
      </w:r>
    </w:p>
    <w:p>
      <w:pPr/>
      <w:r>
        <w:t>Examples include: expense deep-dive, STR analysis, labor efficiency review, capital planning discussion, rate strategy brainstorm, and more. Each card opens a focused AI conversation with relevant data already injected.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Browse the Toolkit before writing a prompt from scratch in AI Command. There may already be a card that covers exactly what you need.</w:t>
            </w:r>
          </w:p>
        </w:tc>
      </w:tr>
    </w:tbl>
    <w:p/>
    <w:p>
      <w:pPr>
        <w:pStyle w:val="Heading1"/>
      </w:pPr>
      <w:r>
        <w:t>13. Data Entry</w:t>
      </w:r>
    </w:p>
    <w:p>
      <w:pPr>
        <w:spacing w:after="200"/>
      </w:pPr>
      <w:r>
        <w:rPr>
          <w:i/>
          <w:color w:val="4A5568"/>
          <w:sz w:val="22"/>
        </w:rPr>
        <w:t>Manual KPI entry for properties not yet connected to ProfitSword or for supplemental data.</w:t>
      </w:r>
    </w:p>
    <w:p>
      <w:pPr/>
      <w:r>
        <w:t>The Data Entry view shows one card per property with fields for all key metrics: Revenue, Budget Revenue, GOP, Budget GOP, Occupied Rooms, Available Rooms, Room Revenue, Budget Room Revenue, Guest Score, NOI, Budget NOI, and more.</w:t>
      </w:r>
    </w:p>
    <w:p>
      <w:pPr/>
      <w:r>
        <w:t>Enter values and click “Save All” to commit. The Hub calculates Occ%, ADR, RevPAR, GOP%, and Flow% automatically from the raw inputs. Saved data flows into every other panel — Dashboard, Leaderboard, Forecast, Compare, and Generate.</w:t>
      </w:r>
    </w:p>
    <w:p>
      <w:pPr/>
      <w:r>
        <w:t>For properties connected to ProfitSword, you generally do not need to use Data Entry — the Refresh button in the header pulls live data. But Data Entry is useful for overrides, manual adjustments, or properties awaiting PS tag mapping.</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Always include both actual and budget figures for Revenue and GOP. Without budget data, Flow% cannot be calculated and will show as N/A.</w:t>
            </w:r>
          </w:p>
        </w:tc>
      </w:tr>
    </w:tbl>
    <w:p/>
    <w:p>
      <w:pPr>
        <w:pStyle w:val="Heading1"/>
      </w:pPr>
      <w:r>
        <w:t>14. Admin</w:t>
      </w:r>
    </w:p>
    <w:p>
      <w:pPr>
        <w:spacing w:after="200"/>
      </w:pPr>
      <w:r>
        <w:rPr>
          <w:i/>
          <w:color w:val="4A5568"/>
          <w:sz w:val="22"/>
        </w:rPr>
        <w:t>System configuration: ProfitSword connection, AI keys, site tag mapping, and data management.</w:t>
      </w:r>
    </w:p>
    <w:p>
      <w:pPr>
        <w:pStyle w:val="Heading3"/>
      </w:pPr>
      <w:r>
        <w:t>ProfitSword Configuration</w:t>
      </w:r>
    </w:p>
    <w:p>
      <w:pPr/>
      <w:r>
        <w:t>Enter your ProfitSword/ProfitSage API credentials (username, password, base URL) and the DataSet ID. The DataSet ID determines which data layer you pull — actuals, budget, forecast, or primary forecast. Click “Test” to verify connectivity before saving.</w:t>
      </w:r>
    </w:p>
    <w:p>
      <w:pPr>
        <w:pStyle w:val="Heading3"/>
      </w:pPr>
      <w:r>
        <w:t>AI (Claude) + Security</w:t>
      </w:r>
    </w:p>
    <w:p>
      <w:pPr/>
      <w:r>
        <w:t>Enter your Claude API key (from console.anthropic.com). Set the active period for the portfolio. The Hub PIN is controlled via the .env file for access security.</w:t>
      </w:r>
    </w:p>
    <w:p>
      <w:pPr>
        <w:pStyle w:val="Heading3"/>
      </w:pPr>
      <w:r>
        <w:t>Site Tag Mapping</w:t>
      </w:r>
    </w:p>
    <w:p>
      <w:pPr/>
      <w:r>
        <w:t>This is the critical link between your Hub properties and ProfitSword’s system. Each property must be mapped to its correct ProfitSword site tag. Click “Fetch Sites from PS” to auto-discover available sites and attempt name matching. Verify each mapping manually — unmapped properties (red border) will be skipped on refresh.</w:t>
      </w:r>
    </w:p>
    <w:p>
      <w:pPr/>
      <w:r>
        <w:t>After mapping, click “Save Mapping” to persist, then “Refresh All from PS” to pull data for the active period.</w:t>
      </w:r>
    </w:p>
    <w:p>
      <w:pPr>
        <w:pStyle w:val="Heading3"/>
      </w:pPr>
      <w:r>
        <w:t>Data Management</w:t>
      </w:r>
    </w:p>
    <w:p>
      <w:pPr/>
      <w:r>
        <w:t>Export Snapshot saves the current period’s data as a JSON file. Restore from JSON reloads a previous snapshot. Download Backup creates a full data dump. Clear Period Data wipes the active period — use with caution.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pct" w:w="5000"/>
      </w:tblPr>
      <w:tblGrid>
        <w:gridCol w:w="9360"/>
      </w:tblGrid>
      <w:tr>
        <w:tc>
          <w:tcPr>
            <w:tcW w:type="dxa" w:w="9360"/>
            <w:shd w:fill="EBF5F7" w:val="clear"/>
            <w:tcBorders>
              <w:left w:val="single" w:sz="18" w:space="0" w:color="1A7E8F"/>
              <w:top w:val="none" w:sz="0" w:space="0" w:color="auto"/>
              <w:bottom w:val="none" w:sz="0" w:space="0" w:color="auto"/>
              <w:right w:val="none" w:sz="0" w:space="0" w:color="auto"/>
            </w:tcBorders>
          </w:tcPr>
          <w:p>
            <w:r>
              <w:rPr>
                <w:rFonts w:ascii="Arial" w:hAnsi="Arial"/>
                <w:b/>
                <w:color w:val="1A7E8F"/>
                <w:sz w:val="20"/>
              </w:rPr>
              <w:t xml:space="preserve">PRO TIP: </w:t>
            </w:r>
            <w:r>
              <w:rPr>
                <w:rFonts w:ascii="Arial" w:hAnsi="Arial"/>
                <w:color w:val="4A5568"/>
                <w:sz w:val="20"/>
              </w:rPr>
              <w:t>After initial setup, verify your DataSet ID with your ProfitSword admin. Pulling from the wrong dataset is the #1 cause of numbers not matching what you see in the PS portal.</w:t>
            </w:r>
          </w:p>
        </w:tc>
      </w:tr>
    </w:tbl>
    <w:p/>
    <w:p>
      <w:r>
        <w:br w:type="page"/>
      </w:r>
    </w:p>
    <w:p>
      <w:pPr>
        <w:pStyle w:val="Heading1"/>
      </w:pPr>
      <w:r>
        <w:t>Appendix: Key Formulas</w:t>
      </w:r>
    </w:p>
    <w:p>
      <w:pPr>
        <w:spacing w:after="200"/>
      </w:pPr>
      <w:r>
        <w:rPr>
          <w:i/>
          <w:color w:val="4A5568"/>
          <w:sz w:val="22"/>
        </w:rPr>
        <w:t>Reference for the calculations used across the Hub.</w:t>
      </w:r>
    </w:p>
    <w:tbl>
      <w:tblPr>
        <w:tblW w:type="auto" w:w="0"/>
        <w:jc w:val="center"/>
        <w:tblLook w:firstColumn="1" w:firstRow="1" w:lastColumn="0" w:lastRow="0" w:noHBand="0" w:noVBand="1" w:val="04A0"/>
      </w:tblPr>
      <w:tblGrid>
        <w:gridCol w:w="4680"/>
        <w:gridCol w:w="4680"/>
      </w:tblGrid>
      <w:tr>
        <w:tc>
          <w:tcPr>
            <w:tcW w:type="dxa" w:w="2592"/>
            <w:shd w:fill="0D2137" w:val="clear"/>
            <w:tcBorders>
              <w:top w:val="single" w:sz="4" w:space="0" w:color="CCCCCC"/>
              <w:bottom w:val="single" w:sz="4" w:space="0" w:color="CCCCCC"/>
              <w:left w:val="single" w:sz="4" w:space="0" w:color="CCCCCC"/>
              <w:right w:val="single" w:sz="4" w:space="0" w:color="CCCCCC"/>
            </w:tcBorders>
          </w:tcPr>
          <w:p>
            <w:r/>
            <w:r>
              <w:rPr>
                <w:rFonts w:ascii="Arial" w:hAnsi="Arial"/>
                <w:b/>
                <w:color w:val="FFFFFF"/>
                <w:sz w:val="20"/>
              </w:rPr>
              <w:t>Metric</w:t>
            </w:r>
          </w:p>
        </w:tc>
        <w:tc>
          <w:tcPr>
            <w:tcW w:type="dxa" w:w="6768"/>
            <w:shd w:fill="0D2137" w:val="clear"/>
            <w:tcBorders>
              <w:top w:val="single" w:sz="4" w:space="0" w:color="CCCCCC"/>
              <w:bottom w:val="single" w:sz="4" w:space="0" w:color="CCCCCC"/>
              <w:left w:val="single" w:sz="4" w:space="0" w:color="CCCCCC"/>
              <w:right w:val="single" w:sz="4" w:space="0" w:color="CCCCCC"/>
            </w:tcBorders>
          </w:tcPr>
          <w:p>
            <w:r/>
            <w:r>
              <w:rPr>
                <w:rFonts w:ascii="Arial" w:hAnsi="Arial"/>
                <w:b/>
                <w:color w:val="FFFFFF"/>
                <w:sz w:val="20"/>
              </w:rPr>
              <w:t>Formula</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Occupancy %</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Occupied Rooms ÷ Available Rooms × 100</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ADR</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Room Revenue ÷ Occupied Rooms</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RevPAR</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Room Revenue ÷ Available Rooms</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GOP %</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Gross Operating Profit ÷ Total Revenue × 100</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Flow-Through %</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Step 1: RevVar = Actual Rev – Budget Rev</w:t>
            </w:r>
          </w:p>
          <w:p>
            <w:pPr>
              <w:spacing w:after="40"/>
            </w:pPr>
            <w:r>
              <w:rPr>
                <w:rFonts w:ascii="Consolas" w:hAnsi="Consolas"/>
                <w:color w:val="4A5568"/>
                <w:sz w:val="19"/>
              </w:rPr>
              <w:t>Step 2: GOPVar = Actual GOP – Budget GOP</w:t>
            </w:r>
          </w:p>
          <w:p>
            <w:pPr>
              <w:spacing w:after="40"/>
            </w:pPr>
            <w:r>
              <w:rPr>
                <w:rFonts w:ascii="Consolas" w:hAnsi="Consolas"/>
                <w:color w:val="4A5568"/>
                <w:sz w:val="19"/>
              </w:rPr>
              <w:t>Step 3: Adjusted = IF(GOPVar&gt;0 AND RevVar&gt;0, GOPVar, GOPVar – RevVar)</w:t>
            </w:r>
          </w:p>
          <w:p>
            <w:pPr>
              <w:spacing w:after="40"/>
            </w:pPr>
            <w:r>
              <w:rPr>
                <w:rFonts w:ascii="Consolas" w:hAnsi="Consolas"/>
                <w:color w:val="4A5568"/>
                <w:sz w:val="19"/>
              </w:rPr>
              <w:t>Step 4: Flow% = Adjusted ÷ ABS(RevVar) × 100</w:t>
            </w:r>
          </w:p>
        </w:tc>
      </w:tr>
      <w:tr>
        <w:tc>
          <w:tcPr>
            <w:tcW w:type="dxa" w:w="2592"/>
            <w:tcBorders>
              <w:top w:val="single" w:sz="4" w:space="0" w:color="CCCCCC"/>
              <w:bottom w:val="single" w:sz="4" w:space="0" w:color="CCCCCC"/>
              <w:left w:val="single" w:sz="4" w:space="0" w:color="CCCCCC"/>
              <w:right w:val="single" w:sz="4" w:space="0" w:color="CCCCCC"/>
            </w:tcBorders>
          </w:tcPr>
          <w:p>
            <w:r/>
            <w:r>
              <w:rPr>
                <w:rFonts w:ascii="Arial" w:hAnsi="Arial"/>
                <w:b/>
                <w:color w:val="0D2137"/>
                <w:sz w:val="20"/>
              </w:rPr>
              <w:t>Composite Score</w:t>
            </w:r>
          </w:p>
        </w:tc>
        <w:tc>
          <w:tcPr>
            <w:tcW w:type="dxa" w:w="6768"/>
            <w:tcBorders>
              <w:top w:val="single" w:sz="4" w:space="0" w:color="CCCCCC"/>
              <w:bottom w:val="single" w:sz="4" w:space="0" w:color="CCCCCC"/>
              <w:left w:val="single" w:sz="4" w:space="0" w:color="CCCCCC"/>
              <w:right w:val="single" w:sz="4" w:space="0" w:color="CCCCCC"/>
            </w:tcBorders>
          </w:tcPr>
          <w:p>
            <w:pPr>
              <w:spacing w:after="40"/>
            </w:pPr>
            <w:r/>
            <w:r>
              <w:rPr>
                <w:rFonts w:ascii="Consolas" w:hAnsi="Consolas"/>
                <w:color w:val="4A5568"/>
                <w:sz w:val="19"/>
              </w:rPr>
              <w:t>Weighted blend of RevPAR Index, GOP%, Guest Satisfaction, and Flow%</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2137"/>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A7E8F"/>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C8963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