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Times New Roman" w:hAnsi="Times New Roman" w:eastAsia="Times New Roman"/>
          <w:b w:val="0"/>
          <w:i w:val="0"/>
          <w:sz w:val="24"/>
          <w:u w:val="none"/>
        </w:rPr>
      </w:r>
    </w:p>
    <w:p>
      <w:pPr/>
      <w:r>
        <w:rPr>
          <w:rFonts w:ascii="Times New Roman" w:hAnsi="Times New Roman" w:eastAsia="Times New Roman"/>
          <w:b w:val="0"/>
          <w:i w:val="0"/>
          <w:sz w:val="24"/>
          <w:u w:val="none"/>
        </w:rPr>
      </w:r>
    </w:p>
    <w:p>
      <w:pPr>
        <w:jc w:val="center"/>
      </w:pPr>
      <w:r>
        <w:rPr>
          <w:rFonts w:ascii="Times New Roman" w:hAnsi="Times New Roman" w:eastAsia="Times New Roman"/>
          <w:b/>
          <w:i w:val="0"/>
          <w:sz w:val="30"/>
          <w:u w:val="single"/>
        </w:rPr>
        <w:t>VIT VELLORE</w:t>
      </w:r>
    </w:p>
    <w:p>
      <w:pPr>
        <w:jc w:val="center"/>
      </w:pPr>
      <w:r>
        <w:rPr>
          <w:rFonts w:ascii="Times New Roman" w:hAnsi="Times New Roman" w:eastAsia="Times New Roman"/>
          <w:b/>
          <w:i w:val="0"/>
          <w:sz w:val="34"/>
          <w:u w:val="single"/>
        </w:rPr>
        <w:t>Fall Semester 2026–27</w:t>
      </w:r>
    </w:p>
    <w:p>
      <w:pPr/>
      <w:r>
        <w:rPr>
          <w:rFonts w:ascii="Times New Roman" w:hAnsi="Times New Roman" w:eastAsia="Times New Roman"/>
          <w:b w:val="0"/>
          <w:i w:val="0"/>
          <w:sz w:val="24"/>
          <w:u w:val="none"/>
        </w:rPr>
      </w:r>
    </w:p>
    <w:p>
      <w:pPr>
        <w:jc w:val="center"/>
      </w:pPr>
      <w:r>
        <w:rPr>
          <w:rFonts w:ascii="Times New Roman" w:hAnsi="Times New Roman" w:eastAsia="Times New Roman"/>
          <w:b/>
          <w:i w:val="0"/>
          <w:sz w:val="36"/>
          <w:u w:val="single"/>
        </w:rPr>
        <w:t>PROBABILITY &amp; STATISTICS</w:t>
      </w:r>
    </w:p>
    <w:p>
      <w:pPr>
        <w:jc w:val="center"/>
      </w:pPr>
      <w:r>
        <w:rPr>
          <w:rFonts w:ascii="Times New Roman" w:hAnsi="Times New Roman" w:eastAsia="Times New Roman"/>
          <w:b/>
          <w:i w:val="0"/>
          <w:sz w:val="32"/>
          <w:u w:val="single"/>
        </w:rPr>
        <w:t>(BMAT202P / BMAT202L)</w:t>
      </w:r>
    </w:p>
    <w:p>
      <w:pPr/>
      <w:r>
        <w:rPr>
          <w:rFonts w:ascii="Times New Roman" w:hAnsi="Times New Roman" w:eastAsia="Times New Roman"/>
          <w:b w:val="0"/>
          <w:i w:val="0"/>
          <w:sz w:val="32"/>
          <w:u w:val="none"/>
        </w:rPr>
      </w:r>
    </w:p>
    <w:p>
      <w:pPr>
        <w:jc w:val="center"/>
      </w:pPr>
      <w:r>
        <w:rPr>
          <w:rFonts w:ascii="Times New Roman" w:hAnsi="Times New Roman" w:eastAsia="Times New Roman"/>
          <w:b/>
          <w:i w:val="0"/>
          <w:sz w:val="36"/>
          <w:u w:val="single"/>
        </w:rPr>
        <w:t>PROJECT REPORT</w:t>
      </w:r>
    </w:p>
    <w:p>
      <w:pPr>
        <w:jc w:val="center"/>
      </w:pPr>
      <w:r>
        <w:rPr>
          <w:rFonts w:ascii="Times New Roman" w:hAnsi="Times New Roman" w:eastAsia="Times New Roman"/>
          <w:b/>
          <w:i w:val="0"/>
          <w:sz w:val="30"/>
          <w:u w:val="none"/>
        </w:rPr>
        <w:t>Can Statistics Detect Fake Data?</w:t>
      </w:r>
    </w:p>
    <w:p>
      <w:pPr>
        <w:jc w:val="center"/>
      </w:pPr>
      <w:r>
        <w:rPr>
          <w:rFonts w:ascii="Times New Roman" w:hAnsi="Times New Roman" w:eastAsia="Times New Roman"/>
          <w:b/>
          <w:i w:val="0"/>
          <w:sz w:val="24"/>
          <w:u w:val="none"/>
        </w:rPr>
        <w:t>Identifying Anomalies and Outliers in Real Datasets Using Benford’s Law and Chi-Square Goodness-of-Fit</w:t>
      </w:r>
    </w:p>
    <w:p>
      <w:pPr/>
      <w:r>
        <w:rPr>
          <w:rFonts w:ascii="Times New Roman" w:hAnsi="Times New Roman" w:eastAsia="Times New Roman"/>
          <w:b w:val="0"/>
          <w:i w:val="0"/>
          <w:sz w:val="24"/>
          <w:u w:val="none"/>
        </w:rPr>
      </w:r>
    </w:p>
    <w:p>
      <w:pPr>
        <w:jc w:val="center"/>
      </w:pPr>
      <w:r>
        <w:rPr>
          <w:rFonts w:ascii="Times New Roman" w:hAnsi="Times New Roman" w:eastAsia="Times New Roman"/>
          <w:b/>
          <w:i w:val="0"/>
          <w:sz w:val="24"/>
          <w:u w:val="none"/>
        </w:rPr>
        <w:t>Faculty: Dr. Tharasi Dilleswar</w:t>
      </w:r>
    </w:p>
    <w:p>
      <w:pPr/>
      <w:r>
        <w:rPr>
          <w:rFonts w:ascii="Times New Roman" w:hAnsi="Times New Roman" w:eastAsia="Times New Roman"/>
          <w:b w:val="0"/>
          <w:i w:val="0"/>
          <w:sz w:val="24"/>
          <w:u w:val="none"/>
        </w:rPr>
      </w:r>
    </w:p>
    <w:p>
      <w:pPr/>
      <w:r>
        <w:rPr>
          <w:rFonts w:ascii="Times New Roman" w:hAnsi="Times New Roman" w:eastAsia="Times New Roman"/>
          <w:b w:val="0"/>
          <w:i w:val="0"/>
          <w:sz w:val="24"/>
          <w:u w:val="none"/>
        </w:rPr>
      </w:r>
    </w:p>
    <w:p>
      <w:pPr/>
      <w:r>
        <w:rPr>
          <w:rFonts w:ascii="Times New Roman" w:hAnsi="Times New Roman" w:eastAsia="Times New Roman"/>
          <w:b w:val="0"/>
          <w:i w:val="0"/>
          <w:sz w:val="24"/>
          <w:u w:val="none"/>
        </w:rPr>
      </w:r>
    </w:p>
    <w:p>
      <w:pPr>
        <w:jc w:val="left"/>
      </w:pPr>
      <w:r>
        <w:rPr>
          <w:rFonts w:ascii="Times New Roman" w:hAnsi="Times New Roman" w:eastAsia="Times New Roman"/>
          <w:b/>
          <w:i w:val="0"/>
          <w:sz w:val="24"/>
          <w:u w:val="none"/>
        </w:rPr>
        <w:t>Submitted By:</w:t>
      </w:r>
    </w:p>
    <w:p>
      <w:pPr>
        <w:jc w:val="left"/>
      </w:pPr>
      <w:r>
        <w:rPr>
          <w:rFonts w:ascii="Times New Roman" w:hAnsi="Times New Roman" w:eastAsia="Times New Roman"/>
          <w:b/>
          <w:i w:val="0"/>
          <w:sz w:val="22"/>
          <w:u w:val="none"/>
        </w:rPr>
        <w:t>SHAIK SAMEER – 24BDS1154</w:t>
      </w:r>
    </w:p>
    <w:p>
      <w:pPr>
        <w:jc w:val="left"/>
      </w:pPr>
      <w:r>
        <w:rPr>
          <w:rFonts w:ascii="Times New Roman" w:hAnsi="Times New Roman" w:eastAsia="Times New Roman"/>
          <w:b/>
          <w:i w:val="0"/>
          <w:sz w:val="22"/>
          <w:u w:val="none"/>
        </w:rPr>
        <w:t>JOSHITA CHOWDARY – 24BRS1313</w:t>
      </w:r>
    </w:p>
    <w:p>
      <w:pPr>
        <w:jc w:val="left"/>
      </w:pPr>
      <w:r>
        <w:rPr>
          <w:rFonts w:ascii="Times New Roman" w:hAnsi="Times New Roman" w:eastAsia="Times New Roman"/>
          <w:b/>
          <w:i w:val="0"/>
          <w:sz w:val="22"/>
          <w:u w:val="none"/>
        </w:rPr>
        <w:t>Slot: F1</w:t>
      </w:r>
    </w:p>
    <w:p>
      <w:pPr/>
      <w:r>
        <w:rPr>
          <w:rFonts w:ascii="Times New Roman" w:hAnsi="Times New Roman" w:eastAsia="Times New Roman"/>
          <w:b w:val="0"/>
          <w:i w:val="0"/>
          <w:sz w:val="24"/>
          <w:u w:val="none"/>
        </w:rPr>
      </w:r>
    </w:p>
    <w:p>
      <w:pPr>
        <w:jc w:val="center"/>
      </w:pPr>
      <w:r>
        <w:rPr>
          <w:rFonts w:ascii="Times New Roman" w:hAnsi="Times New Roman" w:eastAsia="Times New Roman"/>
          <w:b w:val="0"/>
          <w:i/>
          <w:sz w:val="18"/>
          <w:u w:val="none"/>
        </w:rPr>
        <w:t>Working draft for final review. Website screenshots are intentionally left as labelled placeholders.</w:t>
      </w:r>
    </w:p>
    <w:p>
      <w:r>
        <w:br w:type="page"/>
      </w:r>
    </w:p>
    <w:p>
      <w:pPr>
        <w:pStyle w:val="Heading1"/>
        <w:jc w:val="center"/>
      </w:pPr>
      <w:r>
        <w:t>Contents</w:t>
      </w:r>
    </w:p>
    <w:tbl>
      <w:tblPr>
        <w:tblW w:type="auto" w:w="0"/>
        <w:jc w:val="center"/>
        <w:tblLayout w:type="autofit"/>
        <w:tblLook w:firstColumn="1" w:firstRow="1" w:lastColumn="0" w:lastRow="0" w:noHBand="0" w:noVBand="1" w:val="04A0"/>
      </w:tblPr>
      <w:tblGrid>
        <w:gridCol w:w="4831"/>
        <w:gridCol w:w="4831"/>
      </w:tblGrid>
      <w:tr>
        <w:tc>
          <w:tcPr>
            <w:tcW w:type="dxa" w:w="4831"/>
            <w:vAlign w:val="center"/>
            <w:shd w:fill="D9E2F3"/>
            <w:tcBorders>
              <w:top w:val="single" w:sz="4" w:color="777777"/>
              <w:left w:val="single" w:sz="4" w:color="777777"/>
              <w:bottom w:val="single" w:sz="4" w:color="777777"/>
              <w:right w:val="single" w:sz="4" w:color="777777"/>
            </w:tcBorders>
          </w:tcPr>
          <w:p>
            <w:pPr>
              <w:spacing w:after="20"/>
            </w:pPr>
            <w:r>
              <w:rPr>
                <w:rFonts w:ascii="Times New Roman" w:hAnsi="Times New Roman"/>
                <w:b/>
                <w:sz w:val="20"/>
              </w:rPr>
              <w:t>Section</w:t>
            </w:r>
          </w:p>
        </w:tc>
        <w:tc>
          <w:tcPr>
            <w:tcW w:type="dxa" w:w="4831"/>
            <w:vAlign w:val="center"/>
            <w:shd w:fill="D9E2F3"/>
            <w:tcBorders>
              <w:top w:val="single" w:sz="4" w:color="777777"/>
              <w:left w:val="single" w:sz="4" w:color="777777"/>
              <w:bottom w:val="single" w:sz="4" w:color="777777"/>
              <w:right w:val="single" w:sz="4" w:color="777777"/>
            </w:tcBorders>
          </w:tcPr>
          <w:p>
            <w:pPr>
              <w:spacing w:after="20"/>
            </w:pPr>
            <w:r>
              <w:rPr>
                <w:rFonts w:ascii="Times New Roman" w:hAnsi="Times New Roman"/>
                <w:b/>
                <w:sz w:val="20"/>
              </w:rPr>
              <w:t>Page</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1. Introduction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2. Related Research and Similar Applications</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3. Functions Used</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4. Data Analysis</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 xml:space="preserve">   4.1 Aim and Objectives</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 xml:space="preserve">   4.2 Dataset and Source Files</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 xml:space="preserve">   4.3 Data Preparation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 xml:space="preserve">   4.4 Project Modules and Workflow</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 xml:space="preserve">   4.5 Statistical Techniques</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 xml:space="preserve">   4.6 Implementation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5. Code Included in the Report</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6. Website Screenshots</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7. Console Outputs and Verification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8. Data Visualisation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9. Results and Discussion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10. Limitations</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11. Conclusion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12. References</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Appendix A. Running the Project</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20"/>
              </w:rPr>
              <w:t>___</w:t>
            </w:r>
          </w:p>
        </w:tc>
      </w:tr>
    </w:tbl>
    <w:p>
      <w:pPr>
        <w:spacing w:after="20"/>
      </w:pPr>
    </w:p>
    <w:p>
      <w:pPr/>
      <w:r>
        <w:rPr>
          <w:rFonts w:ascii="Times New Roman" w:hAnsi="Times New Roman" w:eastAsia="Times New Roman"/>
          <w:b w:val="0"/>
          <w:i/>
          <w:sz w:val="18"/>
          <w:u w:val="none"/>
        </w:rPr>
        <w:t>Note: Update the page references after inserting website screenshots and graphs.</w:t>
      </w:r>
    </w:p>
    <w:p>
      <w:r>
        <w:br w:type="page"/>
      </w:r>
    </w:p>
    <w:p>
      <w:pPr>
        <w:pStyle w:val="Heading1"/>
        <w:jc w:val="center"/>
      </w:pPr>
      <w:r>
        <w:t>1. Introduction</w:t>
      </w:r>
    </w:p>
    <w:p>
      <w:pPr/>
      <w:r>
        <w:rPr>
          <w:rFonts w:ascii="Times New Roman" w:hAnsi="Times New Roman" w:eastAsia="Times New Roman"/>
          <w:b w:val="0"/>
          <w:i w:val="0"/>
          <w:u w:val="none"/>
        </w:rPr>
        <w:t>Large datasets contain many numerical observations, and manually examining each value is often impractical. Statistical screening can help identify patterns that differ from an expected distribution and direct attention toward records or groups that need further checking. This project explores Benford’s Law as one screening method and combines it with the Pearson Chi-square goodness-of-fit test and measures that describe the practical size of a deviation.</w:t>
      </w:r>
    </w:p>
    <w:p>
      <w:pPr/>
      <w:r>
        <w:rPr>
          <w:rFonts w:ascii="Times New Roman" w:hAnsi="Times New Roman" w:eastAsia="Times New Roman"/>
          <w:b w:val="0"/>
          <w:i w:val="0"/>
          <w:u w:val="none"/>
        </w:rPr>
        <w:t>The application has been developed in R and Shiny. It includes data preparation, suitability assessment, digit analysis, hypothesis testing, comparison of selected subsets, interactive visualisations, exportable results, and a controlled synthetic experiment. The main real-data source is the World Bank World Development Indicators (WDI) bulk CSV. The experiment data are generated separately and are clearly treated as synthetic.</w:t>
      </w:r>
    </w:p>
    <w:p>
      <w:pPr/>
      <w:r>
        <w:rPr>
          <w:rFonts w:ascii="Times New Roman" w:hAnsi="Times New Roman" w:eastAsia="Times New Roman"/>
          <w:b w:val="0"/>
          <w:i w:val="0"/>
          <w:u w:val="none"/>
        </w:rPr>
        <w:t>The project does not train a machine-learning model. Its main engine is statistical: it compares the digit patterns observed in a suitable dataset with a theoretical reference distribution and provides a diagnostic result. A deviation is a signal for review, not proof that records are fake or that a person has acted intentionally.</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1 — Project dashboard landing page ]</w:t>
            </w:r>
          </w:p>
          <w:p>
            <w:pPr>
              <w:spacing w:after="360"/>
              <w:jc w:val="center"/>
            </w:pPr>
            <w:r>
              <w:rPr>
                <w:rFonts w:ascii="Times New Roman" w:hAnsi="Times New Roman"/>
                <w:i/>
                <w:sz w:val="18"/>
              </w:rPr>
              <w:t>After running the Shiny application, paste a screenshot of the overview page here.</w:t>
            </w:r>
          </w:p>
        </w:tc>
      </w:tr>
    </w:tbl>
    <w:p>
      <w:pPr>
        <w:spacing w:after="20"/>
      </w:pPr>
    </w:p>
    <w:p>
      <w:pPr>
        <w:pStyle w:val="Heading1"/>
        <w:jc w:val="center"/>
      </w:pPr>
      <w:r>
        <w:t>2. Related Research and Similar Applications</w:t>
      </w:r>
    </w:p>
    <w:p>
      <w:pPr/>
      <w:r>
        <w:rPr>
          <w:rFonts w:ascii="Times New Roman" w:hAnsi="Times New Roman" w:eastAsia="Times New Roman"/>
          <w:b w:val="0"/>
          <w:i w:val="0"/>
          <w:u w:val="none"/>
        </w:rPr>
        <w:t>Benford’s Law has been studied in probability and statistics and later applied to auditing, accounting, and research-integrity review. The studies below provide background for the project’s choices. They do not prove that every dataset should follow Benford’s distribution; rather, they emphasise the need to consider how the data were generated.</w:t>
      </w:r>
    </w:p>
    <w:p>
      <w:pPr>
        <w:pStyle w:val="Heading2"/>
        <w:jc w:val="left"/>
      </w:pPr>
      <w:r>
        <w:t>2.1 Statistical explanation of the leading-digit pattern</w:t>
      </w:r>
    </w:p>
    <w:p>
      <w:pPr/>
      <w:r>
        <w:rPr>
          <w:rFonts w:ascii="Times New Roman" w:hAnsi="Times New Roman" w:eastAsia="Times New Roman"/>
          <w:b w:val="0"/>
          <w:i w:val="0"/>
          <w:u w:val="none"/>
        </w:rPr>
        <w:t>Hill (1995) examined the history and mathematical foundations of the significant-digit law. His statistical derivation explains why combinations of data drawn from varied distributions can show Benford-like leading digits. This supports the project’s use of Benford’s Law as a reference pattern for some numerical datasets, while also indicating that conformity depends on the data-generation process.</w:t>
      </w:r>
    </w:p>
    <w:p>
      <w:pPr>
        <w:pStyle w:val="Heading2"/>
        <w:jc w:val="left"/>
      </w:pPr>
      <w:r>
        <w:t>2.2 Use in auditing</w:t>
      </w:r>
    </w:p>
    <w:p>
      <w:pPr/>
      <w:r>
        <w:rPr>
          <w:rFonts w:ascii="Times New Roman" w:hAnsi="Times New Roman" w:eastAsia="Times New Roman"/>
          <w:b w:val="0"/>
          <w:i w:val="0"/>
          <w:u w:val="none"/>
        </w:rPr>
        <w:t>Durtschi, Hillison, and Pacini (2004) discussed how Benford analysis can assist the examination of accounting records and stressed that it is more useful for some kinds of data than for others. This is relevant to the project’s suitability screen: a flagged result should not be interpreted without considering the type, range, and structure of the data.</w:t>
      </w:r>
    </w:p>
    <w:p>
      <w:pPr>
        <w:pStyle w:val="Heading2"/>
        <w:jc w:val="left"/>
      </w:pPr>
      <w:r>
        <w:t>2.3 Review of Benford-based audit approaches</w:t>
      </w:r>
    </w:p>
    <w:p>
      <w:pPr/>
      <w:r>
        <w:rPr>
          <w:rFonts w:ascii="Times New Roman" w:hAnsi="Times New Roman" w:eastAsia="Times New Roman"/>
          <w:b w:val="0"/>
          <w:i w:val="0"/>
          <w:u w:val="none"/>
        </w:rPr>
        <w:t>Nigrini (2017) reviewed Benford’s Law in audit sampling and considered issues such as appropriate data types, sample sizes, and limitations of using nonconformity as a red flag. This supports the project’s decision to report practical deviation measures alongside statistical significance rather than relying on a p-value alone.</w:t>
      </w:r>
    </w:p>
    <w:p>
      <w:pPr>
        <w:pStyle w:val="Heading2"/>
        <w:jc w:val="left"/>
      </w:pPr>
      <w:r>
        <w:t>2.4 Research integrity and data screening</w:t>
      </w:r>
    </w:p>
    <w:p>
      <w:pPr/>
      <w:r>
        <w:rPr>
          <w:rFonts w:ascii="Times New Roman" w:hAnsi="Times New Roman" w:eastAsia="Times New Roman"/>
          <w:b w:val="0"/>
          <w:i w:val="0"/>
          <w:u w:val="none"/>
        </w:rPr>
        <w:t>A 2023 article, “Investigating and preventing scientific misconduct using Benford’s Law,” summarises approaches for using digit tests when questions about data integrity arise. It recommends treating digit-pattern checks as part of an investigative process with further tests and contextual interpretation, rather than as a stand-alone verdict. This aligns with the project’s explicit boundary that statistical nonconformity is not proof of wrongdoing.</w:t>
      </w:r>
    </w:p>
    <w:p>
      <w:pPr>
        <w:pStyle w:val="Heading2"/>
        <w:jc w:val="left"/>
      </w:pPr>
      <w:r>
        <w:t>2.5 Contribution of the present project</w:t>
      </w:r>
    </w:p>
    <w:p>
      <w:pPr/>
      <w:r>
        <w:rPr>
          <w:rFonts w:ascii="Times New Roman" w:hAnsi="Times New Roman" w:eastAsia="Times New Roman"/>
          <w:b w:val="0"/>
          <w:i w:val="0"/>
          <w:u w:val="none"/>
        </w:rPr>
        <w:t>The present project brings these ideas into a reproducible student application. It combines a suitability screen, first-digit Chi-square testing, MAD, residual diagnostics, adjusted p-values, subset comparisons, and synthetic alteration experiments. The application is intended to make the workflow visible and repeatable, while explaining the limits of the evidence.</w:t>
      </w:r>
    </w:p>
    <w:p>
      <w:pPr>
        <w:pStyle w:val="Heading1"/>
        <w:jc w:val="center"/>
      </w:pPr>
      <w:r>
        <w:t>3. Functions Used</w:t>
      </w:r>
    </w:p>
    <w:p>
      <w:pPr>
        <w:spacing w:after="80"/>
      </w:pPr>
      <w:r>
        <w:rPr>
          <w:rFonts w:ascii="Times New Roman" w:hAnsi="Times New Roman"/>
          <w:b/>
        </w:rPr>
        <w:t xml:space="preserve">➢ read.csv() / readr::read_csv() — </w:t>
      </w:r>
      <w:r>
        <w:rPr>
          <w:rFonts w:ascii="Times New Roman" w:hAnsi="Times New Roman"/>
        </w:rPr>
        <w:t>Imports CSV data into R for processing.</w:t>
      </w:r>
    </w:p>
    <w:p>
      <w:pPr>
        <w:spacing w:after="80"/>
      </w:pPr>
      <w:r>
        <w:rPr>
          <w:rFonts w:ascii="Times New Roman" w:hAnsi="Times New Roman"/>
          <w:b/>
        </w:rPr>
        <w:t xml:space="preserve">➢ summary(), mean(), median(), sd(), quantile() — </w:t>
      </w:r>
      <w:r>
        <w:rPr>
          <w:rFonts w:ascii="Times New Roman" w:hAnsi="Times New Roman"/>
        </w:rPr>
        <w:t>Describe the centre, spread, quartiles, and range of numerical values.</w:t>
      </w:r>
    </w:p>
    <w:p>
      <w:pPr>
        <w:spacing w:after="80"/>
      </w:pPr>
      <w:r>
        <w:rPr>
          <w:rFonts w:ascii="Times New Roman" w:hAnsi="Times New Roman"/>
          <w:b/>
        </w:rPr>
        <w:t xml:space="preserve">➢ dplyr::filter(), select(), mutate(), group_by(), summarise() — </w:t>
      </w:r>
      <w:r>
        <w:rPr>
          <w:rFonts w:ascii="Times New Roman" w:hAnsi="Times New Roman"/>
        </w:rPr>
        <w:t>Filter valid observations, create analysis fields, and summarise results by indicator or group.</w:t>
      </w:r>
    </w:p>
    <w:p>
      <w:pPr>
        <w:spacing w:after="80"/>
      </w:pPr>
      <w:r>
        <w:rPr>
          <w:rFonts w:ascii="Times New Roman" w:hAnsi="Times New Roman"/>
          <w:b/>
        </w:rPr>
        <w:t xml:space="preserve">➢ tidyr::pivot_longer() — </w:t>
      </w:r>
      <w:r>
        <w:rPr>
          <w:rFonts w:ascii="Times New Roman" w:hAnsi="Times New Roman"/>
        </w:rPr>
        <w:t>Reshapes indicator columns into a tidy indicator/value structure where required.</w:t>
      </w:r>
    </w:p>
    <w:p>
      <w:pPr>
        <w:spacing w:after="80"/>
      </w:pPr>
      <w:r>
        <w:rPr>
          <w:rFonts w:ascii="Times New Roman" w:hAnsi="Times New Roman"/>
          <w:b/>
        </w:rPr>
        <w:t xml:space="preserve">➢ extract_first_digit() / project digit parser — </w:t>
      </w:r>
      <w:r>
        <w:rPr>
          <w:rFonts w:ascii="Times New Roman" w:hAnsi="Times New Roman"/>
        </w:rPr>
        <w:t>A project-specific function extracts significant digits from eligible numeric values.</w:t>
      </w:r>
    </w:p>
    <w:p>
      <w:pPr>
        <w:spacing w:after="80"/>
      </w:pPr>
      <w:r>
        <w:rPr>
          <w:rFonts w:ascii="Times New Roman" w:hAnsi="Times New Roman"/>
          <w:b/>
        </w:rPr>
        <w:t xml:space="preserve">➢ chisq.test() or equivalent calculation — </w:t>
      </w:r>
      <w:r>
        <w:rPr>
          <w:rFonts w:ascii="Times New Roman" w:hAnsi="Times New Roman"/>
        </w:rPr>
        <w:t>Compares observed digit frequencies with expected probabilities when the validity rules allow the test.</w:t>
      </w:r>
    </w:p>
    <w:p>
      <w:pPr>
        <w:spacing w:after="80"/>
      </w:pPr>
      <w:r>
        <w:rPr>
          <w:rFonts w:ascii="Times New Roman" w:hAnsi="Times New Roman"/>
          <w:b/>
        </w:rPr>
        <w:t xml:space="preserve">➢ p.adjust() — </w:t>
      </w:r>
      <w:r>
        <w:rPr>
          <w:rFonts w:ascii="Times New Roman" w:hAnsi="Times New Roman"/>
        </w:rPr>
        <w:t>Adjusts p-values for families of related tests, including Holm and Benjamini–Hochberg methods.</w:t>
      </w:r>
    </w:p>
    <w:p>
      <w:pPr>
        <w:spacing w:after="80"/>
      </w:pPr>
      <w:r>
        <w:rPr>
          <w:rFonts w:ascii="Times New Roman" w:hAnsi="Times New Roman"/>
          <w:b/>
        </w:rPr>
        <w:t xml:space="preserve">➢ lm(), cor(), cor.test() — </w:t>
      </w:r>
      <w:r>
        <w:rPr>
          <w:rFonts w:ascii="Times New Roman" w:hAnsi="Times New Roman"/>
        </w:rPr>
        <w:t>Assess the relationship between alteration rate and deviation in the synthetic experiment.</w:t>
      </w:r>
    </w:p>
    <w:p>
      <w:pPr>
        <w:spacing w:after="80"/>
      </w:pPr>
      <w:r>
        <w:rPr>
          <w:rFonts w:ascii="Times New Roman" w:hAnsi="Times New Roman"/>
          <w:b/>
        </w:rPr>
        <w:t xml:space="preserve">➢ aov(), kruskal.test(), pairwise Wilcoxon tests — </w:t>
      </w:r>
      <w:r>
        <w:rPr>
          <w:rFonts w:ascii="Times New Roman" w:hAnsi="Times New Roman"/>
        </w:rPr>
        <w:t>Compare MAD across alteration levels; use appropriate assumption checks and alternatives.</w:t>
      </w:r>
    </w:p>
    <w:p>
      <w:pPr>
        <w:spacing w:after="80"/>
      </w:pPr>
      <w:r>
        <w:rPr>
          <w:rFonts w:ascii="Times New Roman" w:hAnsi="Times New Roman"/>
          <w:b/>
        </w:rPr>
        <w:t xml:space="preserve">➢ hist(), ggplot2, bar charts, boxplots — </w:t>
      </w:r>
      <w:r>
        <w:rPr>
          <w:rFonts w:ascii="Times New Roman" w:hAnsi="Times New Roman"/>
        </w:rPr>
        <w:t>Create distribution plots, observed-versus-expected charts, residual diagnostics, and experiment visualisations.</w:t>
      </w:r>
    </w:p>
    <w:p>
      <w:pPr>
        <w:spacing w:after="80"/>
      </w:pPr>
      <w:r>
        <w:rPr>
          <w:rFonts w:ascii="Times New Roman" w:hAnsi="Times New Roman"/>
          <w:b/>
        </w:rPr>
        <w:t xml:space="preserve">➢ shiny::runApp() — </w:t>
      </w:r>
      <w:r>
        <w:rPr>
          <w:rFonts w:ascii="Times New Roman" w:hAnsi="Times New Roman"/>
        </w:rPr>
        <w:t>Launches the interactive web application locally.</w:t>
      </w:r>
    </w:p>
    <w:p>
      <w:pPr>
        <w:spacing w:after="80"/>
      </w:pPr>
      <w:r>
        <w:rPr>
          <w:rFonts w:ascii="Times New Roman" w:hAnsi="Times New Roman"/>
          <w:b/>
        </w:rPr>
        <w:t xml:space="preserve">➢ testthat — </w:t>
      </w:r>
      <w:r>
        <w:rPr>
          <w:rFonts w:ascii="Times New Roman" w:hAnsi="Times New Roman"/>
        </w:rPr>
        <w:t>Runs automated tests on implemented functions.</w:t>
      </w:r>
    </w:p>
    <w:p>
      <w:pPr/>
      <w:r>
        <w:rPr>
          <w:rFonts w:ascii="Times New Roman" w:hAnsi="Times New Roman" w:eastAsia="Times New Roman"/>
          <w:b w:val="0"/>
          <w:i w:val="0"/>
          <w:u w:val="none"/>
        </w:rPr>
        <w:t>The descriptions above summarise the roles used in the project. Before the final submission, check each function name against the current source files and remove any function that is not actually called by the implementation.</w:t>
      </w:r>
    </w:p>
    <w:p>
      <w:pPr>
        <w:pStyle w:val="Heading1"/>
        <w:jc w:val="center"/>
      </w:pPr>
      <w:r>
        <w:t>4. Data Analysis</w:t>
      </w:r>
    </w:p>
    <w:p>
      <w:pPr>
        <w:pStyle w:val="Heading2"/>
        <w:jc w:val="left"/>
      </w:pPr>
      <w:r>
        <w:t>4.1 Aim and Objectives</w:t>
      </w:r>
    </w:p>
    <w:p>
      <w:pPr/>
      <w:r>
        <w:rPr>
          <w:rFonts w:ascii="Times New Roman" w:hAnsi="Times New Roman" w:eastAsia="Times New Roman"/>
          <w:b w:val="0"/>
          <w:i w:val="0"/>
          <w:u w:val="none"/>
        </w:rPr>
        <w:t>AIM: To build and evaluate an R-based statistical screening application that checks whether eligible numerical data exhibit a leading-digit pattern consistent with Benford’s Law, and to report statistically unusual patterns in a clear and responsible manner.</w:t>
      </w:r>
    </w:p>
    <w:p>
      <w:pPr>
        <w:ind w:left="403" w:hanging="259"/>
      </w:pPr>
      <w:r>
        <w:t>➢  Import and prepare real numerical indicators from the World Bank WDI dataset.</w:t>
      </w:r>
    </w:p>
    <w:p>
      <w:pPr>
        <w:ind w:left="403" w:hanging="259"/>
      </w:pPr>
      <w:r>
        <w:t>➢  Exclude aggregate rows and invalid numeric values when preparing country-year observations.</w:t>
      </w:r>
    </w:p>
    <w:p>
      <w:pPr>
        <w:ind w:left="403" w:hanging="259"/>
      </w:pPr>
      <w:r>
        <w:t>➢  Explore distributions through summary statistics and plots before applying digit tests.</w:t>
      </w:r>
    </w:p>
    <w:p>
      <w:pPr>
        <w:ind w:left="403" w:hanging="259"/>
      </w:pPr>
      <w:r>
        <w:t>➢  Extract first digits, second digits, and first-two-digit pairs from eligible values.</w:t>
      </w:r>
    </w:p>
    <w:p>
      <w:pPr>
        <w:ind w:left="403" w:hanging="259"/>
      </w:pPr>
      <w:r>
        <w:t>➢  Calculate theoretical expected digit probabilities independently of the observed data.</w:t>
      </w:r>
    </w:p>
    <w:p>
      <w:pPr>
        <w:ind w:left="403" w:hanging="259"/>
      </w:pPr>
      <w:r>
        <w:t>➢  Apply the Chi-square goodness-of-fit test only when its expected-count requirements are satisfied.</w:t>
      </w:r>
    </w:p>
    <w:p>
      <w:pPr>
        <w:ind w:left="403" w:hanging="259"/>
      </w:pPr>
      <w:r>
        <w:t>➢  Add MAD, conformity bands, standardised residuals, effect sizes, and multiple-testing adjustments.</w:t>
      </w:r>
    </w:p>
    <w:p>
      <w:pPr>
        <w:ind w:left="403" w:hanging="259"/>
      </w:pPr>
      <w:r>
        <w:t>➢  Compare pooled, latest-year, per-year, and regional subsets when sample sizes permit.</w:t>
      </w:r>
    </w:p>
    <w:p>
      <w:pPr>
        <w:ind w:left="403" w:hanging="259"/>
      </w:pPr>
      <w:r>
        <w:t>➢  Run controlled synthetic experiments with known alteration types and proportions.</w:t>
      </w:r>
    </w:p>
    <w:p>
      <w:pPr>
        <w:ind w:left="403" w:hanging="259"/>
      </w:pPr>
      <w:r>
        <w:t>➢  Present the workflow and results in an interactive Shiny dashboard and reproducible reports.</w:t>
      </w:r>
    </w:p>
    <w:p>
      <w:pPr>
        <w:pStyle w:val="Heading2"/>
        <w:jc w:val="left"/>
      </w:pPr>
      <w:r>
        <w:t>4.2 Dataset and Source Files</w:t>
      </w:r>
    </w:p>
    <w:p>
      <w:pPr/>
      <w:r>
        <w:rPr>
          <w:rFonts w:ascii="Times New Roman" w:hAnsi="Times New Roman" w:eastAsia="Times New Roman"/>
          <w:b w:val="0"/>
          <w:i w:val="0"/>
          <w:u w:val="none"/>
        </w:rPr>
        <w:t>The main dataset is the World Bank World Development Indicators (WDI) bulk CSV. The extracted folder in the current workspace is named WDI_CSV_2026_10_01 and contains the main indicator CSV and supporting metadata files. The main data table provides numerical indicator values by country and year; the country metadata assists in distinguishing individual countries from regional and income-group aggregates.</w:t>
      </w:r>
    </w:p>
    <w:p>
      <w:pPr/>
      <w:r>
        <w:rPr>
          <w:rFonts w:ascii="Times New Roman" w:hAnsi="Times New Roman" w:eastAsia="Times New Roman"/>
          <w:b w:val="0"/>
          <w:i w:val="0"/>
          <w:u w:val="none"/>
        </w:rPr>
        <w:t>Official source page: https://databank.worldbank.org/source/world-development-indicators</w:t>
      </w:r>
    </w:p>
    <w:p>
      <w:pPr/>
      <w:r>
        <w:rPr>
          <w:rFonts w:ascii="Times New Roman" w:hAnsi="Times New Roman" w:eastAsia="Times New Roman"/>
          <w:b w:val="0"/>
          <w:i w:val="0"/>
          <w:u w:val="none"/>
        </w:rPr>
        <w:t>Bulk CSV source: https://databankfiles.worldbank.org/public/ddpext_download/WDI_CSV.zip</w:t>
      </w:r>
    </w:p>
    <w:p>
      <w:pPr/>
      <w:r>
        <w:rPr>
          <w:rFonts w:ascii="Times New Roman" w:hAnsi="Times New Roman" w:eastAsia="Times New Roman"/>
          <w:b w:val="0"/>
          <w:i w:val="0"/>
          <w:u w:val="none"/>
        </w:rPr>
        <w:t>The final report should only mention an additional dataset such as USAspending if its data file is present in the submitted project and the code actually analyses it. The project files reviewed for this draft confirm WDI as the primary source; integration of a second real dataset has not been verified.</w:t>
      </w:r>
    </w:p>
    <w:p>
      <w:pPr>
        <w:pStyle w:val="Heading2"/>
        <w:jc w:val="left"/>
      </w:pPr>
      <w:r>
        <w:t>4.3 Data Preparation</w:t>
      </w:r>
    </w:p>
    <w:p>
      <w:pPr>
        <w:ind w:left="403" w:hanging="259"/>
      </w:pPr>
      <w:r>
        <w:t>➢  Read the main WDI CSV and available country/indicator metadata.</w:t>
      </w:r>
    </w:p>
    <w:p>
      <w:pPr>
        <w:ind w:left="403" w:hanging="259"/>
      </w:pPr>
      <w:r>
        <w:t>➢  Reshape selected indicator values into a country–indicator–year structure as required by the pipeline.</w:t>
      </w:r>
    </w:p>
    <w:p>
      <w:pPr>
        <w:ind w:left="403" w:hanging="259"/>
      </w:pPr>
      <w:r>
        <w:t>➢  Remove aggregate rows when the metadata provides a country region for valid country records.</w:t>
      </w:r>
    </w:p>
    <w:p>
      <w:pPr>
        <w:ind w:left="403" w:hanging="259"/>
      </w:pPr>
      <w:r>
        <w:t>➢  Convert candidate indicator values into numeric values and record missing or invalid entries.</w:t>
      </w:r>
    </w:p>
    <w:p>
      <w:pPr>
        <w:ind w:left="403" w:hanging="259"/>
      </w:pPr>
      <w:r>
        <w:t>➢  Exclude zeros from significant-digit extraction because zero has no non-zero leading digit.</w:t>
      </w:r>
    </w:p>
    <w:p>
      <w:pPr>
        <w:ind w:left="403" w:hanging="259"/>
      </w:pPr>
      <w:r>
        <w:t>➢  Check sample size, magnitude range, skewness, uniqueness, rounding, caps, and bounded values before testing.</w:t>
      </w:r>
    </w:p>
    <w:p>
      <w:pPr>
        <w:ind w:left="403" w:hanging="259"/>
      </w:pPr>
      <w:r>
        <w:t>➢  Save the cleaned panel and preserve a manifest and cleaning-exclusion record.</w:t>
      </w:r>
    </w:p>
    <w:p>
      <w:pPr/>
      <w:r>
        <w:rPr>
          <w:rFonts w:ascii="Times New Roman" w:hAnsi="Times New Roman" w:eastAsia="Times New Roman"/>
          <w:b w:val="0"/>
          <w:i w:val="0"/>
          <w:u w:val="none"/>
        </w:rPr>
        <w:t>The existing project output reports a cleaned panel of 105,346 rows and 11 columns. These figures should be rechecked against the latest run before final submission, because rerunning the pipeline or changing the dataset may update them.</w:t>
      </w:r>
    </w:p>
    <w:p>
      <w:pPr>
        <w:pStyle w:val="Heading2"/>
        <w:jc w:val="left"/>
      </w:pPr>
      <w:r>
        <w:t>4.4 Project Modules and Workflow</w:t>
      </w:r>
    </w:p>
    <w:tbl>
      <w:tblPr>
        <w:tblW w:type="auto" w:w="0"/>
        <w:jc w:val="center"/>
        <w:tblLayout w:type="autofit"/>
        <w:tblLook w:firstColumn="1" w:firstRow="1" w:lastColumn="0" w:lastRow="0" w:noHBand="0" w:noVBand="1" w:val="04A0"/>
      </w:tblPr>
      <w:tblGrid>
        <w:gridCol w:w="4831"/>
        <w:gridCol w:w="4831"/>
      </w:tblGrid>
      <w:tr>
        <w:tc>
          <w:tcPr>
            <w:tcW w:type="dxa" w:w="4831"/>
            <w:vAlign w:val="center"/>
            <w:shd w:fill="D9E2F3"/>
            <w:tcBorders>
              <w:top w:val="single" w:sz="4" w:color="777777"/>
              <w:left w:val="single" w:sz="4" w:color="777777"/>
              <w:bottom w:val="single" w:sz="4" w:color="777777"/>
              <w:right w:val="single" w:sz="4" w:color="777777"/>
            </w:tcBorders>
          </w:tcPr>
          <w:p>
            <w:pPr>
              <w:spacing w:after="20"/>
            </w:pPr>
            <w:r>
              <w:rPr>
                <w:rFonts w:ascii="Times New Roman" w:hAnsi="Times New Roman"/>
                <w:b/>
                <w:sz w:val="19"/>
              </w:rPr>
              <w:t>Module</w:t>
            </w:r>
          </w:p>
        </w:tc>
        <w:tc>
          <w:tcPr>
            <w:tcW w:type="dxa" w:w="4831"/>
            <w:vAlign w:val="center"/>
            <w:shd w:fill="D9E2F3"/>
            <w:tcBorders>
              <w:top w:val="single" w:sz="4" w:color="777777"/>
              <w:left w:val="single" w:sz="4" w:color="777777"/>
              <w:bottom w:val="single" w:sz="4" w:color="777777"/>
              <w:right w:val="single" w:sz="4" w:color="777777"/>
            </w:tcBorders>
          </w:tcPr>
          <w:p>
            <w:pPr>
              <w:spacing w:after="20"/>
            </w:pPr>
            <w:r>
              <w:rPr>
                <w:rFonts w:ascii="Times New Roman" w:hAnsi="Times New Roman"/>
                <w:b/>
                <w:sz w:val="19"/>
              </w:rPr>
              <w:t>Purpose</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Data input</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Reads WDI data and available metadata; records source details.</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Cleaning and reshaping</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Removes aggregates and prepares valid country-year numeric observations.</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Suitability screening</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Checks whether Benford analysis is reasonable for each indicator/subset.</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Digit extraction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Extracts first, second, and first-two significant-digit patterns.</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Statistical comparison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Calculates expected frequencies and tests observed frequencies.</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Deviation diagnostics</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Adds MAD, residuals, effect size, conformity band, and adjusted p-values.</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Subset comparison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Evaluates selected years or regions when minimum sample rules are met.</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Synthetic experiment</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Applies controlled changes to synthetic values and measures detection rates.</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Dashboard and reports</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Displays live analysis and provides saved CSV, PNG, HTML, and DOCX outputs.</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Testing</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Runs testthat checks to detect defects in implemented functions.</w:t>
            </w:r>
          </w:p>
        </w:tc>
      </w:tr>
    </w:tbl>
    <w:p>
      <w:pPr>
        <w:spacing w:after="20"/>
      </w:pP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2 — Project workflow or module diagram ]</w:t>
            </w:r>
          </w:p>
          <w:p>
            <w:pPr>
              <w:spacing w:after="360"/>
              <w:jc w:val="center"/>
            </w:pPr>
            <w:r>
              <w:rPr>
                <w:rFonts w:ascii="Times New Roman" w:hAnsi="Times New Roman"/>
                <w:i/>
                <w:sz w:val="18"/>
              </w:rPr>
              <w:t>Paste the workflow graphic if available. Otherwise leave the placeholder for the website overview screenshot.</w:t>
            </w:r>
          </w:p>
        </w:tc>
      </w:tr>
    </w:tbl>
    <w:p>
      <w:pPr>
        <w:spacing w:after="20"/>
      </w:pPr>
    </w:p>
    <w:p>
      <w:pPr>
        <w:pStyle w:val="Heading2"/>
        <w:jc w:val="left"/>
      </w:pPr>
      <w:r>
        <w:t>4.5 Statistical Techniques</w:t>
      </w:r>
    </w:p>
    <w:p>
      <w:pPr>
        <w:pStyle w:val="Heading3"/>
        <w:jc w:val="left"/>
      </w:pPr>
      <w:r>
        <w:t>Benford reference distribution</w:t>
      </w:r>
    </w:p>
    <w:p>
      <w:pPr/>
      <w:r>
        <w:rPr>
          <w:rFonts w:ascii="Times New Roman" w:hAnsi="Times New Roman" w:eastAsia="Times New Roman"/>
          <w:b w:val="0"/>
          <w:i w:val="0"/>
          <w:u w:val="none"/>
        </w:rPr>
        <w:t>For a suitable dataset, the theoretical probability of first digit d is calculated from P(d) = log10(1 + 1/d), for digits 1 through 9. Expected counts are based on the number of eligible observations. These values are theoretical reference values and are not estimated from the observed digit counts.</w:t>
      </w:r>
    </w:p>
    <w:p>
      <w:pPr>
        <w:pStyle w:val="Heading3"/>
        <w:jc w:val="left"/>
      </w:pPr>
      <w:r>
        <w:t>Chi-square goodness-of-fit</w:t>
      </w:r>
    </w:p>
    <w:p>
      <w:pPr/>
      <w:r>
        <w:rPr>
          <w:rFonts w:ascii="Times New Roman" w:hAnsi="Times New Roman" w:eastAsia="Times New Roman"/>
          <w:b w:val="0"/>
          <w:i w:val="0"/>
          <w:u w:val="none"/>
        </w:rPr>
        <w:t>The test compares observed and expected counts across the nine first-digit categories. The first-digit test has eight degrees of freedom when all nine categories are used and no parameters are estimated from the observed distribution. The program checks expected counts before describing a result as reliable.</w:t>
      </w:r>
    </w:p>
    <w:p>
      <w:pPr>
        <w:pStyle w:val="Heading3"/>
        <w:jc w:val="left"/>
      </w:pPr>
      <w:r>
        <w:t>MAD, residuals and effect size</w:t>
      </w:r>
    </w:p>
    <w:p>
      <w:pPr/>
      <w:r>
        <w:rPr>
          <w:rFonts w:ascii="Times New Roman" w:hAnsi="Times New Roman" w:eastAsia="Times New Roman"/>
          <w:b w:val="0"/>
          <w:i w:val="0"/>
          <w:u w:val="none"/>
        </w:rPr>
        <w:t>Mean Absolute Deviation summarises the average absolute difference between observed and expected digit proportions. Nigrini conformity bands provide an interpretive scale for first-digit MAD. Standardised Pearson residuals help identify which digits contribute most to the discrepancy, while Cohen’s w summarises the effect size.</w:t>
      </w:r>
    </w:p>
    <w:p>
      <w:pPr>
        <w:pStyle w:val="Heading3"/>
        <w:jc w:val="left"/>
      </w:pPr>
      <w:r>
        <w:t>Multiple testing</w:t>
      </w:r>
    </w:p>
    <w:p>
      <w:pPr/>
      <w:r>
        <w:rPr>
          <w:rFonts w:ascii="Times New Roman" w:hAnsi="Times New Roman" w:eastAsia="Times New Roman"/>
          <w:b w:val="0"/>
          <w:i w:val="0"/>
          <w:u w:val="none"/>
        </w:rPr>
        <w:t>The pipeline reports raw p-values and adjusted p-values for declared groups of tests. Holm adjustment and Benjamini–Hochberg adjustment are included to reduce over-interpretation when many indicators or subsets are tested. The report should state which adjusted value is used for the final flag rule.</w:t>
      </w:r>
    </w:p>
    <w:p>
      <w:pPr>
        <w:pStyle w:val="Heading3"/>
        <w:jc w:val="left"/>
      </w:pPr>
      <w:r>
        <w:t>Synthetic manipulation experiment</w:t>
      </w:r>
    </w:p>
    <w:p>
      <w:pPr/>
      <w:r>
        <w:rPr>
          <w:rFonts w:ascii="Times New Roman" w:hAnsi="Times New Roman" w:eastAsia="Times New Roman"/>
          <w:b w:val="0"/>
          <w:i w:val="0"/>
          <w:u w:val="none"/>
        </w:rPr>
        <w:t>The synthetic experiment begins with generated values designed to approximate a Benford distribution. Copies are altered using round-number substitution, leading-digit bias, and partial multiplicative changes. Repeated runs are summarised by detection rate and MAD. These experiment results evaluate the behaviour of the procedure under known simulated changes; they are not evidence about alteration in the real WDI data.</w:t>
      </w:r>
    </w:p>
    <w:p>
      <w:pPr>
        <w:pStyle w:val="Heading2"/>
        <w:jc w:val="left"/>
      </w:pPr>
      <w:r>
        <w:t>4.6 Implementation and Runtime</w:t>
      </w:r>
    </w:p>
    <w:p>
      <w:pPr/>
      <w:r>
        <w:rPr>
          <w:rFonts w:ascii="Times New Roman" w:hAnsi="Times New Roman" w:eastAsia="Times New Roman"/>
          <w:b w:val="0"/>
          <w:i w:val="0"/>
          <w:u w:val="none"/>
        </w:rPr>
        <w:t>The implementation uses R for the data and statistical logic and Shiny for the user interface. The app entry point is app.R, the core analysis functions are stored in R/benford.R, the batch pipeline is scripts/run_all.R, and automated tests are under tests/testthat/. Generated tables, figures, and reports are stored in outputs/ and reports/.</w:t>
      </w:r>
    </w:p>
    <w:p>
      <w:pPr/>
      <w:r>
        <w:rPr>
          <w:rFonts w:ascii="Times New Roman" w:hAnsi="Times New Roman" w:eastAsia="Times New Roman"/>
          <w:b w:val="0"/>
          <w:i w:val="0"/>
          <w:u w:val="none"/>
        </w:rPr>
        <w:t>The main workflow is: install the required R packages; run the automated tests; run the quick analysis using the local WDI folder; run the full pipeline; then launch the Shiny dashboard and test each section. The complete commands are included in Appendix A.</w:t>
      </w:r>
    </w:p>
    <w:p>
      <w:pPr>
        <w:pStyle w:val="Heading1"/>
        <w:jc w:val="center"/>
      </w:pPr>
      <w:r>
        <w:t>5. Code Included in the Report</w:t>
      </w:r>
    </w:p>
    <w:p>
      <w:pPr/>
      <w:r>
        <w:rPr>
          <w:rFonts w:ascii="Times New Roman" w:hAnsi="Times New Roman" w:eastAsia="Times New Roman"/>
          <w:b w:val="0"/>
          <w:i w:val="0"/>
          <w:u w:val="none"/>
        </w:rPr>
        <w:t>Do not paste the entire application source into the main report. Include the short sections below, taken directly from the final codebase. Keep the complete source files in the project folder or repository. The snippets in this draft illustrate where code belongs; verify or replace them with the exact submitted implementation before finalising.</w:t>
      </w:r>
    </w:p>
    <w:p>
      <w:pPr>
        <w:pStyle w:val="Heading2"/>
        <w:jc w:val="left"/>
      </w:pPr>
      <w:r>
        <w:t>5.1 Data input and preparation</w:t>
      </w:r>
    </w:p>
    <w:p>
      <w:pPr>
        <w:spacing w:after="20" w:line="240" w:lineRule="auto"/>
        <w:ind w:left="360"/>
      </w:pPr>
      <w:r>
        <w:rPr>
          <w:rFonts w:ascii="Consolas" w:hAnsi="Consolas" w:eastAsia="Consolas"/>
          <w:sz w:val="18"/>
        </w:rPr>
        <w:t>library(readr)</w:t>
      </w:r>
    </w:p>
    <w:p>
      <w:pPr>
        <w:spacing w:after="20" w:line="240" w:lineRule="auto"/>
        <w:ind w:left="360"/>
      </w:pPr>
      <w:r>
        <w:rPr>
          <w:rFonts w:ascii="Consolas" w:hAnsi="Consolas" w:eastAsia="Consolas"/>
          <w:sz w:val="18"/>
        </w:rPr>
        <w:t>library(dplyr)</w:t>
      </w:r>
    </w:p>
    <w:p>
      <w:pPr>
        <w:spacing w:after="20" w:line="240" w:lineRule="auto"/>
        <w:ind w:left="360"/>
      </w:pPr>
      <w:r>
        <w:rPr>
          <w:rFonts w:ascii="Consolas" w:hAnsi="Consolas" w:eastAsia="Consolas"/>
          <w:sz w:val="18"/>
        </w:rPr>
        <w:t>library(tidyr)</w:t>
      </w:r>
    </w:p>
    <w:p>
      <w:pPr>
        <w:spacing w:after="20" w:line="240" w:lineRule="auto"/>
        <w:ind w:left="360"/>
      </w:pPr>
      <w:r>
        <w:rPr>
          <w:rFonts w:ascii="Consolas" w:hAnsi="Consolas" w:eastAsia="Consolas"/>
          <w:sz w:val="18"/>
        </w:rPr>
        <w:t># Insert the exact WDI import and cleaning block from R/benford.R</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Verified data loading and cleaning code ]</w:t>
            </w:r>
          </w:p>
          <w:p>
            <w:pPr>
              <w:spacing w:after="360"/>
              <w:jc w:val="center"/>
            </w:pPr>
            <w:r>
              <w:rPr>
                <w:rFonts w:ascii="Times New Roman" w:hAnsi="Times New Roman"/>
                <w:i/>
                <w:sz w:val="18"/>
              </w:rPr>
              <w:t>Paste the exact data import / cleaning function from the submitted source files here.</w:t>
            </w:r>
          </w:p>
        </w:tc>
      </w:tr>
    </w:tbl>
    <w:p>
      <w:pPr>
        <w:spacing w:after="20"/>
      </w:pPr>
    </w:p>
    <w:p>
      <w:pPr>
        <w:pStyle w:val="Heading2"/>
        <w:jc w:val="left"/>
      </w:pPr>
      <w:r>
        <w:t>5.2 First significant digit extraction</w:t>
      </w:r>
    </w:p>
    <w:p>
      <w:pPr/>
      <w:r>
        <w:rPr>
          <w:rFonts w:ascii="Times New Roman" w:hAnsi="Times New Roman" w:eastAsia="Times New Roman"/>
          <w:b w:val="0"/>
          <w:i w:val="0"/>
          <w:u w:val="none"/>
        </w:rPr>
        <w:t>Include the custom digit parser from R/benford.R. This is one of the most important parts of the implementation because it must handle signs, decimals, formatting characters, zero values, and missing values correctly.</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Verified first-digit extraction function ]</w:t>
            </w:r>
          </w:p>
          <w:p>
            <w:pPr>
              <w:spacing w:after="360"/>
              <w:jc w:val="center"/>
            </w:pPr>
            <w:r>
              <w:rPr>
                <w:rFonts w:ascii="Times New Roman" w:hAnsi="Times New Roman"/>
                <w:i/>
                <w:sz w:val="18"/>
              </w:rPr>
              <w:t>Paste the exact function from R/benford.R. Do not leave this explanatory placeholder in the submitted final report.</w:t>
            </w:r>
          </w:p>
        </w:tc>
      </w:tr>
    </w:tbl>
    <w:p>
      <w:pPr>
        <w:spacing w:after="20"/>
      </w:pPr>
    </w:p>
    <w:p>
      <w:pPr>
        <w:pStyle w:val="Heading2"/>
        <w:jc w:val="left"/>
      </w:pPr>
      <w:r>
        <w:t>5.3 Expected frequencies and Chi-square test</w:t>
      </w:r>
    </w:p>
    <w:p>
      <w:pPr>
        <w:spacing w:after="20" w:line="240" w:lineRule="auto"/>
        <w:ind w:left="360"/>
      </w:pPr>
      <w:r>
        <w:rPr>
          <w:rFonts w:ascii="Consolas" w:hAnsi="Consolas" w:eastAsia="Consolas"/>
          <w:sz w:val="18"/>
        </w:rPr>
        <w:t>digits &lt;- 1:9</w:t>
      </w:r>
    </w:p>
    <w:p>
      <w:pPr>
        <w:spacing w:after="20" w:line="240" w:lineRule="auto"/>
        <w:ind w:left="360"/>
      </w:pPr>
      <w:r>
        <w:rPr>
          <w:rFonts w:ascii="Consolas" w:hAnsi="Consolas" w:eastAsia="Consolas"/>
          <w:sz w:val="18"/>
        </w:rPr>
        <w:t>expected_prob &lt;- log10(1 + 1 / digits)</w:t>
      </w:r>
    </w:p>
    <w:p>
      <w:pPr>
        <w:spacing w:after="20" w:line="240" w:lineRule="auto"/>
        <w:ind w:left="360"/>
      </w:pPr>
      <w:r>
        <w:rPr>
          <w:rFonts w:ascii="Consolas" w:hAnsi="Consolas" w:eastAsia="Consolas"/>
          <w:sz w:val="18"/>
        </w:rPr>
        <w:t>expected_count &lt;- sum(observed_counts) * expected_prob</w:t>
      </w:r>
    </w:p>
    <w:p>
      <w:pPr>
        <w:spacing w:after="20" w:line="240" w:lineRule="auto"/>
        <w:ind w:left="360"/>
      </w:pPr>
      <w:r>
        <w:rPr>
          <w:rFonts w:ascii="Consolas" w:hAnsi="Consolas" w:eastAsia="Consolas"/>
          <w:sz w:val="18"/>
        </w:rPr>
        <w:t># Insert the actual validity guard and chisq.test() call from the project</w:t>
      </w:r>
    </w:p>
    <w:p>
      <w:pPr/>
      <w:r>
        <w:rPr>
          <w:rFonts w:ascii="Times New Roman" w:hAnsi="Times New Roman" w:eastAsia="Times New Roman"/>
          <w:b w:val="0"/>
          <w:i w:val="0"/>
          <w:u w:val="none"/>
        </w:rPr>
        <w:t>Use the project’s actual implementation for the validity guard and test call. The final code excerpt should show that expected counts are checked before a p-value is interpreted.</w:t>
      </w:r>
    </w:p>
    <w:p>
      <w:pPr>
        <w:pStyle w:val="Heading2"/>
        <w:jc w:val="left"/>
      </w:pPr>
      <w:r>
        <w:t>5.4 MAD and anomaly flag rule</w:t>
      </w:r>
    </w:p>
    <w:p>
      <w:pPr>
        <w:spacing w:after="20" w:line="240" w:lineRule="auto"/>
        <w:ind w:left="360"/>
      </w:pPr>
      <w:r>
        <w:rPr>
          <w:rFonts w:ascii="Consolas" w:hAnsi="Consolas" w:eastAsia="Consolas"/>
          <w:sz w:val="18"/>
        </w:rPr>
        <w:t>observed_prop &lt;- observed_counts / sum(observed_counts)</w:t>
      </w:r>
    </w:p>
    <w:p>
      <w:pPr>
        <w:spacing w:after="20" w:line="240" w:lineRule="auto"/>
        <w:ind w:left="360"/>
      </w:pPr>
      <w:r>
        <w:rPr>
          <w:rFonts w:ascii="Consolas" w:hAnsi="Consolas" w:eastAsia="Consolas"/>
          <w:sz w:val="18"/>
        </w:rPr>
        <w:t>mad_value &lt;- mean(abs(observed_prop - expected_prob))</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Verified anomaly flag rule ]</w:t>
            </w:r>
          </w:p>
          <w:p>
            <w:pPr>
              <w:spacing w:after="360"/>
              <w:jc w:val="center"/>
            </w:pPr>
            <w:r>
              <w:rPr>
                <w:rFonts w:ascii="Times New Roman" w:hAnsi="Times New Roman"/>
                <w:i/>
                <w:sz w:val="18"/>
              </w:rPr>
              <w:t>Paste the exact function that combines adjusted significance and practical-deviation criteria.</w:t>
            </w:r>
          </w:p>
        </w:tc>
      </w:tr>
    </w:tbl>
    <w:p>
      <w:pPr>
        <w:spacing w:after="20"/>
      </w:pPr>
    </w:p>
    <w:p>
      <w:pPr>
        <w:pStyle w:val="Heading2"/>
        <w:jc w:val="left"/>
      </w:pPr>
      <w:r>
        <w:t>5.5 Synthetic experiment</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Verified synthetic manipulation and summary function ]</w:t>
            </w:r>
          </w:p>
          <w:p>
            <w:pPr>
              <w:spacing w:after="360"/>
              <w:jc w:val="center"/>
            </w:pPr>
            <w:r>
              <w:rPr>
                <w:rFonts w:ascii="Times New Roman" w:hAnsi="Times New Roman"/>
                <w:i/>
                <w:sz w:val="18"/>
              </w:rPr>
              <w:t>Paste the function that creates each alteration type and summarises replicate detection rates.</w:t>
            </w:r>
          </w:p>
        </w:tc>
      </w:tr>
    </w:tbl>
    <w:p>
      <w:pPr>
        <w:spacing w:after="20"/>
      </w:pPr>
    </w:p>
    <w:p>
      <w:pPr>
        <w:pStyle w:val="Heading1"/>
        <w:jc w:val="center"/>
      </w:pPr>
      <w:r>
        <w:t>6. Website Screenshots</w:t>
      </w:r>
    </w:p>
    <w:p>
      <w:pPr/>
      <w:r>
        <w:rPr>
          <w:rFonts w:ascii="Times New Roman" w:hAnsi="Times New Roman" w:eastAsia="Times New Roman"/>
          <w:b w:val="0"/>
          <w:i w:val="0"/>
          <w:u w:val="none"/>
        </w:rPr>
        <w:t>Insert the screenshots in the sequence below. Run the current application locally first. In the browser, maximise the window, choose a readable zoom level, and capture the app content without unrelated desktop notifications. If a screenshot cannot be captured automatically, paste it manually into the box provided. Keep the short caption immediately under each screenshot.</w:t>
      </w:r>
    </w:p>
    <w:p>
      <w:pPr>
        <w:pStyle w:val="Heading2"/>
        <w:jc w:val="left"/>
      </w:pPr>
      <w:r>
        <w:t>Figure 3 — Overview &amp; Method tab</w:t>
      </w:r>
    </w:p>
    <w:p>
      <w:pPr/>
      <w:r>
        <w:rPr>
          <w:rFonts w:ascii="Times New Roman" w:hAnsi="Times New Roman" w:eastAsia="Times New Roman"/>
          <w:b w:val="0"/>
          <w:i w:val="0"/>
          <w:u w:val="none"/>
        </w:rPr>
        <w:t>Capture the landing page showing the project title, purpose, workflow, and interpretation warning.</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3 — Overview &amp; Method tab ]</w:t>
            </w:r>
          </w:p>
          <w:p>
            <w:pPr>
              <w:spacing w:after="360"/>
              <w:jc w:val="center"/>
            </w:pPr>
            <w:r>
              <w:rPr>
                <w:rFonts w:ascii="Times New Roman" w:hAnsi="Times New Roman"/>
                <w:i/>
                <w:sz w:val="18"/>
              </w:rPr>
              <w:t>Paste the screenshot here; keep it within the page margins.</w:t>
            </w:r>
          </w:p>
        </w:tc>
      </w:tr>
    </w:tbl>
    <w:p>
      <w:pPr>
        <w:spacing w:after="20"/>
      </w:pPr>
    </w:p>
    <w:p>
      <w:pPr>
        <w:pStyle w:val="Heading2"/>
        <w:jc w:val="left"/>
      </w:pPr>
      <w:r>
        <w:t>Figure 4 — Data tab</w:t>
      </w:r>
    </w:p>
    <w:p>
      <w:pPr/>
      <w:r>
        <w:rPr>
          <w:rFonts w:ascii="Times New Roman" w:hAnsi="Times New Roman" w:eastAsia="Times New Roman"/>
          <w:b w:val="0"/>
          <w:i w:val="0"/>
          <w:u w:val="none"/>
        </w:rPr>
        <w:t>Capture the data source controls and preview showing the loaded bundled WDI panel.</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4 — Data tab ]</w:t>
            </w:r>
          </w:p>
          <w:p>
            <w:pPr>
              <w:spacing w:after="360"/>
              <w:jc w:val="center"/>
            </w:pPr>
            <w:r>
              <w:rPr>
                <w:rFonts w:ascii="Times New Roman" w:hAnsi="Times New Roman"/>
                <w:i/>
                <w:sz w:val="18"/>
              </w:rPr>
              <w:t>Paste the screenshot here; keep it within the page margins.</w:t>
            </w:r>
          </w:p>
        </w:tc>
      </w:tr>
    </w:tbl>
    <w:p>
      <w:pPr>
        <w:spacing w:after="20"/>
      </w:pPr>
    </w:p>
    <w:p>
      <w:pPr>
        <w:pStyle w:val="Heading2"/>
        <w:jc w:val="left"/>
      </w:pPr>
      <w:r>
        <w:t>Figure 5 — Column &amp; Suitability tab</w:t>
      </w:r>
    </w:p>
    <w:p>
      <w:pPr/>
      <w:r>
        <w:rPr>
          <w:rFonts w:ascii="Times New Roman" w:hAnsi="Times New Roman" w:eastAsia="Times New Roman"/>
          <w:b w:val="0"/>
          <w:i w:val="0"/>
          <w:u w:val="none"/>
        </w:rPr>
        <w:t>Capture the selected indicator, suitability verdict, reasons, and descriptive statistics.</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5 — Column &amp; Suitability tab ]</w:t>
            </w:r>
          </w:p>
          <w:p>
            <w:pPr>
              <w:spacing w:after="360"/>
              <w:jc w:val="center"/>
            </w:pPr>
            <w:r>
              <w:rPr>
                <w:rFonts w:ascii="Times New Roman" w:hAnsi="Times New Roman"/>
                <w:i/>
                <w:sz w:val="18"/>
              </w:rPr>
              <w:t>Paste the screenshot here; keep it within the page margins.</w:t>
            </w:r>
          </w:p>
        </w:tc>
      </w:tr>
    </w:tbl>
    <w:p>
      <w:pPr>
        <w:spacing w:after="20"/>
      </w:pPr>
    </w:p>
    <w:p>
      <w:pPr>
        <w:pStyle w:val="Heading2"/>
        <w:jc w:val="left"/>
      </w:pPr>
      <w:r>
        <w:t>Figure 6 — First-Digit Test tab</w:t>
      </w:r>
    </w:p>
    <w:p>
      <w:pPr/>
      <w:r>
        <w:rPr>
          <w:rFonts w:ascii="Times New Roman" w:hAnsi="Times New Roman" w:eastAsia="Times New Roman"/>
          <w:b w:val="0"/>
          <w:i w:val="0"/>
          <w:u w:val="none"/>
        </w:rPr>
        <w:t>Capture the Chi-square result table and observed-versus-expected graph for a suitable indicator.</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6 — First-Digit Test tab ]</w:t>
            </w:r>
          </w:p>
          <w:p>
            <w:pPr>
              <w:spacing w:after="360"/>
              <w:jc w:val="center"/>
            </w:pPr>
            <w:r>
              <w:rPr>
                <w:rFonts w:ascii="Times New Roman" w:hAnsi="Times New Roman"/>
                <w:i/>
                <w:sz w:val="18"/>
              </w:rPr>
              <w:t>Paste the screenshot here; keep it within the page margins.</w:t>
            </w:r>
          </w:p>
        </w:tc>
      </w:tr>
    </w:tbl>
    <w:p>
      <w:pPr>
        <w:spacing w:after="20"/>
      </w:pPr>
    </w:p>
    <w:p>
      <w:pPr>
        <w:pStyle w:val="Heading2"/>
        <w:jc w:val="left"/>
      </w:pPr>
      <w:r>
        <w:t>Figure 7 — Extended Digits tab</w:t>
      </w:r>
    </w:p>
    <w:p>
      <w:pPr/>
      <w:r>
        <w:rPr>
          <w:rFonts w:ascii="Times New Roman" w:hAnsi="Times New Roman" w:eastAsia="Times New Roman"/>
          <w:b w:val="0"/>
          <w:i w:val="0"/>
          <w:u w:val="none"/>
        </w:rPr>
        <w:t>Capture the first-two-digit and second-digit test summaries and the validity status.</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7 — Extended Digits tab ]</w:t>
            </w:r>
          </w:p>
          <w:p>
            <w:pPr>
              <w:spacing w:after="360"/>
              <w:jc w:val="center"/>
            </w:pPr>
            <w:r>
              <w:rPr>
                <w:rFonts w:ascii="Times New Roman" w:hAnsi="Times New Roman"/>
                <w:i/>
                <w:sz w:val="18"/>
              </w:rPr>
              <w:t>Paste the screenshot here; keep it within the page margins.</w:t>
            </w:r>
          </w:p>
        </w:tc>
      </w:tr>
    </w:tbl>
    <w:p>
      <w:pPr>
        <w:spacing w:after="20"/>
      </w:pPr>
    </w:p>
    <w:p>
      <w:pPr>
        <w:pStyle w:val="Heading2"/>
        <w:jc w:val="left"/>
      </w:pPr>
      <w:r>
        <w:t>Figure 8 — Compare Subsets tab</w:t>
      </w:r>
    </w:p>
    <w:p>
      <w:pPr/>
      <w:r>
        <w:rPr>
          <w:rFonts w:ascii="Times New Roman" w:hAnsi="Times New Roman" w:eastAsia="Times New Roman"/>
          <w:b w:val="0"/>
          <w:i w:val="0"/>
          <w:u w:val="none"/>
        </w:rPr>
        <w:t>Capture the grouping control and a per-year or per-region comparison.</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8 — Compare Subsets tab ]</w:t>
            </w:r>
          </w:p>
          <w:p>
            <w:pPr>
              <w:spacing w:after="360"/>
              <w:jc w:val="center"/>
            </w:pPr>
            <w:r>
              <w:rPr>
                <w:rFonts w:ascii="Times New Roman" w:hAnsi="Times New Roman"/>
                <w:i/>
                <w:sz w:val="18"/>
              </w:rPr>
              <w:t>Paste the screenshot here; keep it within the page margins.</w:t>
            </w:r>
          </w:p>
        </w:tc>
      </w:tr>
    </w:tbl>
    <w:p>
      <w:pPr>
        <w:spacing w:after="20"/>
      </w:pPr>
    </w:p>
    <w:p>
      <w:pPr>
        <w:pStyle w:val="Heading2"/>
        <w:jc w:val="left"/>
      </w:pPr>
      <w:r>
        <w:t>Figure 9 — Manipulation Experiment tab</w:t>
      </w:r>
    </w:p>
    <w:p>
      <w:pPr/>
      <w:r>
        <w:rPr>
          <w:rFonts w:ascii="Times New Roman" w:hAnsi="Times New Roman" w:eastAsia="Times New Roman"/>
          <w:b w:val="0"/>
          <w:i w:val="0"/>
          <w:u w:val="none"/>
        </w:rPr>
        <w:t>First click Run experiment and wait for outputs. Capture the generated detection-rate summary and charts; do not use the blank initial state.</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9 — Manipulation Experiment tab ]</w:t>
            </w:r>
          </w:p>
          <w:p>
            <w:pPr>
              <w:spacing w:after="360"/>
              <w:jc w:val="center"/>
            </w:pPr>
            <w:r>
              <w:rPr>
                <w:rFonts w:ascii="Times New Roman" w:hAnsi="Times New Roman"/>
                <w:i/>
                <w:sz w:val="18"/>
              </w:rPr>
              <w:t>Paste the screenshot here; keep it within the page margins.</w:t>
            </w:r>
          </w:p>
        </w:tc>
      </w:tr>
    </w:tbl>
    <w:p>
      <w:pPr>
        <w:spacing w:after="20"/>
      </w:pPr>
    </w:p>
    <w:p>
      <w:pPr>
        <w:pStyle w:val="Heading2"/>
        <w:jc w:val="left"/>
      </w:pPr>
      <w:r>
        <w:t>Figure 10 — Export tab</w:t>
      </w:r>
    </w:p>
    <w:p>
      <w:pPr/>
      <w:r>
        <w:rPr>
          <w:rFonts w:ascii="Times New Roman" w:hAnsi="Times New Roman" w:eastAsia="Times New Roman"/>
          <w:b w:val="0"/>
          <w:i w:val="0"/>
          <w:u w:val="none"/>
        </w:rPr>
        <w:t>Capture the download links and available pipeline figures.</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10 — Export tab ]</w:t>
            </w:r>
          </w:p>
          <w:p>
            <w:pPr>
              <w:spacing w:after="360"/>
              <w:jc w:val="center"/>
            </w:pPr>
            <w:r>
              <w:rPr>
                <w:rFonts w:ascii="Times New Roman" w:hAnsi="Times New Roman"/>
                <w:i/>
                <w:sz w:val="18"/>
              </w:rPr>
              <w:t>Paste the screenshot here; keep it within the page margins.</w:t>
            </w:r>
          </w:p>
        </w:tc>
      </w:tr>
    </w:tbl>
    <w:p>
      <w:pPr>
        <w:spacing w:after="20"/>
      </w:pPr>
    </w:p>
    <w:p>
      <w:pPr>
        <w:pStyle w:val="Heading1"/>
        <w:jc w:val="center"/>
      </w:pPr>
      <w:r>
        <w:t>7. Console Outputs and Verification</w:t>
      </w:r>
    </w:p>
    <w:p>
      <w:pPr/>
      <w:r>
        <w:rPr>
          <w:rFonts w:ascii="Times New Roman" w:hAnsi="Times New Roman" w:eastAsia="Times New Roman"/>
          <w:b w:val="0"/>
          <w:i w:val="0"/>
          <w:u w:val="none"/>
        </w:rPr>
        <w:t>This section should document tests actually run on the final machine. Do not reproduce a claimed result from an earlier run if it has not been checked again after the final code change.</w:t>
      </w:r>
    </w:p>
    <w:p>
      <w:pPr>
        <w:pStyle w:val="Heading2"/>
        <w:jc w:val="left"/>
      </w:pPr>
      <w:r>
        <w:t>7.1 Automated tests</w:t>
      </w:r>
    </w:p>
    <w:p>
      <w:pPr/>
      <w:r>
        <w:rPr>
          <w:rFonts w:ascii="Times New Roman" w:hAnsi="Times New Roman" w:eastAsia="Times New Roman"/>
          <w:b w:val="0"/>
          <w:i w:val="0"/>
          <w:u w:val="none"/>
        </w:rPr>
        <w:t>The project uses testthat for automated checks. A prior terminal run showed the test reporter finishing with “DONE” and no displayed failure summary; the development log also reported 192 expectations passed. For the final submission, retain the latest complete test output or capture a screenshot of the terminal after running the test command.</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11 — Automated test output ]</w:t>
            </w:r>
          </w:p>
          <w:p>
            <w:pPr>
              <w:spacing w:after="360"/>
              <w:jc w:val="center"/>
            </w:pPr>
            <w:r>
              <w:rPr>
                <w:rFonts w:ascii="Times New Roman" w:hAnsi="Times New Roman"/>
                <w:i/>
                <w:sz w:val="18"/>
              </w:rPr>
              <w:t>Paste a screenshot showing the exact latest test command and successful completion.</w:t>
            </w:r>
          </w:p>
        </w:tc>
      </w:tr>
    </w:tbl>
    <w:p>
      <w:pPr>
        <w:spacing w:after="20"/>
      </w:pPr>
    </w:p>
    <w:p>
      <w:pPr>
        <w:pStyle w:val="Heading2"/>
        <w:jc w:val="left"/>
      </w:pPr>
      <w:r>
        <w:t>7.2 Full pipeline output</w:t>
      </w:r>
    </w:p>
    <w:p>
      <w:pPr/>
      <w:r>
        <w:rPr>
          <w:rFonts w:ascii="Times New Roman" w:hAnsi="Times New Roman" w:eastAsia="Times New Roman"/>
          <w:b w:val="0"/>
          <w:i w:val="0"/>
          <w:u w:val="none"/>
        </w:rPr>
        <w:t>The batch script should load the real WDI directory, execute the cleaning and analysis stages, write the CSV tables and PNG figures, and render reports. The terminal output should identify the selected source and whether synthetic fallback data were used.</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12 — Full pipeline output ]</w:t>
            </w:r>
          </w:p>
          <w:p>
            <w:pPr>
              <w:spacing w:after="360"/>
              <w:jc w:val="center"/>
            </w:pPr>
            <w:r>
              <w:rPr>
                <w:rFonts w:ascii="Times New Roman" w:hAnsi="Times New Roman"/>
                <w:i/>
                <w:sz w:val="18"/>
              </w:rPr>
              <w:t>Paste a screenshot of the latest successful run of scripts/run_all.R.</w:t>
            </w:r>
          </w:p>
        </w:tc>
      </w:tr>
    </w:tbl>
    <w:p>
      <w:pPr>
        <w:spacing w:after="20"/>
      </w:pPr>
    </w:p>
    <w:p>
      <w:pPr>
        <w:pStyle w:val="Heading2"/>
        <w:jc w:val="left"/>
      </w:pPr>
      <w:r>
        <w:t>7.3 Output file checks</w:t>
      </w:r>
    </w:p>
    <w:p>
      <w:pPr/>
      <w:r>
        <w:rPr>
          <w:rFonts w:ascii="Times New Roman" w:hAnsi="Times New Roman" w:eastAsia="Times New Roman"/>
          <w:b w:val="0"/>
          <w:i w:val="0"/>
          <w:u w:val="none"/>
        </w:rPr>
        <w:t>Check that outputs/tables contains the first-digit, Chi-square, suitability, anomaly, descriptive and experiment tables; outputs/figures contains the nine existing PNGs; and reports contains the R Markdown template, HTML report and Word report. File existence confirms creation, but the values and interpretations must also be checked.</w:t>
      </w:r>
    </w:p>
    <w:p>
      <w:pPr>
        <w:pStyle w:val="Heading1"/>
        <w:jc w:val="center"/>
      </w:pPr>
      <w:r>
        <w:t>8. Data Visualisation</w:t>
      </w:r>
    </w:p>
    <w:p>
      <w:pPr/>
      <w:r>
        <w:rPr>
          <w:rFonts w:ascii="Times New Roman" w:hAnsi="Times New Roman" w:eastAsia="Times New Roman"/>
          <w:b w:val="0"/>
          <w:i w:val="0"/>
          <w:u w:val="none"/>
        </w:rPr>
        <w:t>The project’s current outputs/figures folder contains nine charts. Insert the existing PNG files from that folder, not screenshots of the file explorer. Each figure should have a number, title, and short interpretation. Place website screenshots in Section 6 and analytical graphs in this section to avoid repeating the same image twice.</w:t>
      </w:r>
    </w:p>
    <w:p>
      <w:pPr>
        <w:pStyle w:val="Heading2"/>
        <w:jc w:val="left"/>
      </w:pPr>
      <w:r>
        <w:t>Figure 13 — Descriptive histograms</w:t>
      </w:r>
    </w:p>
    <w:p>
      <w:pPr/>
      <w:r>
        <w:rPr>
          <w:rFonts w:ascii="Times New Roman" w:hAnsi="Times New Roman" w:eastAsia="Times New Roman"/>
          <w:b w:val="0"/>
          <w:i/>
          <w:u w:val="none"/>
        </w:rPr>
        <w:t>File: outputs/figures/fig_descriptives_histograms.png</w:t>
      </w:r>
    </w:p>
    <w:p>
      <w:pPr/>
      <w:r>
        <w:rPr>
          <w:rFonts w:ascii="Times New Roman" w:hAnsi="Times New Roman" w:eastAsia="Times New Roman"/>
          <w:b w:val="0"/>
          <w:i w:val="0"/>
          <w:u w:val="none"/>
        </w:rPr>
        <w:t>Displays the raw-scale distributions for the curated numeric indicators and helps show skewness and range.</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13 — Descriptive histograms ]</w:t>
            </w:r>
          </w:p>
          <w:p>
            <w:pPr>
              <w:spacing w:after="360"/>
              <w:jc w:val="center"/>
            </w:pPr>
            <w:r>
              <w:rPr>
                <w:rFonts w:ascii="Times New Roman" w:hAnsi="Times New Roman"/>
                <w:i/>
                <w:sz w:val="18"/>
              </w:rPr>
              <w:t>Insert the existing PNG file here. Add a brief interpretation based on the displayed chart.</w:t>
            </w:r>
          </w:p>
        </w:tc>
      </w:tr>
    </w:tbl>
    <w:p>
      <w:pPr>
        <w:spacing w:after="20"/>
      </w:pPr>
    </w:p>
    <w:p>
      <w:pPr>
        <w:pStyle w:val="Heading2"/>
        <w:jc w:val="left"/>
      </w:pPr>
      <w:r>
        <w:t>Figure 14 — Log-scale histograms</w:t>
      </w:r>
    </w:p>
    <w:p>
      <w:pPr/>
      <w:r>
        <w:rPr>
          <w:rFonts w:ascii="Times New Roman" w:hAnsi="Times New Roman" w:eastAsia="Times New Roman"/>
          <w:b w:val="0"/>
          <w:i/>
          <w:u w:val="none"/>
        </w:rPr>
        <w:t>File: outputs/figures/fig_descriptives_log_histograms.png</w:t>
      </w:r>
    </w:p>
    <w:p>
      <w:pPr/>
      <w:r>
        <w:rPr>
          <w:rFonts w:ascii="Times New Roman" w:hAnsi="Times New Roman" w:eastAsia="Times New Roman"/>
          <w:b w:val="0"/>
          <w:i w:val="0"/>
          <w:u w:val="none"/>
        </w:rPr>
        <w:t>Shows the distributions after logarithmic transformation, making values across multiple orders of magnitude easier to inspect.</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14 — Log-scale histograms ]</w:t>
            </w:r>
          </w:p>
          <w:p>
            <w:pPr>
              <w:spacing w:after="360"/>
              <w:jc w:val="center"/>
            </w:pPr>
            <w:r>
              <w:rPr>
                <w:rFonts w:ascii="Times New Roman" w:hAnsi="Times New Roman"/>
                <w:i/>
                <w:sz w:val="18"/>
              </w:rPr>
              <w:t>Insert the existing PNG file here. Add a brief interpretation based on the displayed chart.</w:t>
            </w:r>
          </w:p>
        </w:tc>
      </w:tr>
    </w:tbl>
    <w:p>
      <w:pPr>
        <w:spacing w:after="20"/>
      </w:pPr>
    </w:p>
    <w:p>
      <w:pPr>
        <w:pStyle w:val="Heading2"/>
        <w:jc w:val="left"/>
      </w:pPr>
      <w:r>
        <w:t>Figure 15 — Observed versus expected first-digit frequencies</w:t>
      </w:r>
    </w:p>
    <w:p>
      <w:pPr/>
      <w:r>
        <w:rPr>
          <w:rFonts w:ascii="Times New Roman" w:hAnsi="Times New Roman" w:eastAsia="Times New Roman"/>
          <w:b w:val="0"/>
          <w:i/>
          <w:u w:val="none"/>
        </w:rPr>
        <w:t>File: outputs/figures/fig_observed_vs_expected.png</w:t>
      </w:r>
    </w:p>
    <w:p>
      <w:pPr/>
      <w:r>
        <w:rPr>
          <w:rFonts w:ascii="Times New Roman" w:hAnsi="Times New Roman" w:eastAsia="Times New Roman"/>
          <w:b w:val="0"/>
          <w:i w:val="0"/>
          <w:u w:val="none"/>
        </w:rPr>
        <w:t>Compares empirical digit proportions with the theoretical Benford reference.</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15 — Observed versus expected first-digit frequencies ]</w:t>
            </w:r>
          </w:p>
          <w:p>
            <w:pPr>
              <w:spacing w:after="360"/>
              <w:jc w:val="center"/>
            </w:pPr>
            <w:r>
              <w:rPr>
                <w:rFonts w:ascii="Times New Roman" w:hAnsi="Times New Roman"/>
                <w:i/>
                <w:sz w:val="18"/>
              </w:rPr>
              <w:t>Insert the existing PNG file here. Add a brief interpretation based on the displayed chart.</w:t>
            </w:r>
          </w:p>
        </w:tc>
      </w:tr>
    </w:tbl>
    <w:p>
      <w:pPr>
        <w:spacing w:after="20"/>
      </w:pPr>
    </w:p>
    <w:p>
      <w:pPr>
        <w:pStyle w:val="Heading2"/>
        <w:jc w:val="left"/>
      </w:pPr>
      <w:r>
        <w:t>Figure 16 — MAD comparison</w:t>
      </w:r>
    </w:p>
    <w:p>
      <w:pPr/>
      <w:r>
        <w:rPr>
          <w:rFonts w:ascii="Times New Roman" w:hAnsi="Times New Roman" w:eastAsia="Times New Roman"/>
          <w:b w:val="0"/>
          <w:i/>
          <w:u w:val="none"/>
        </w:rPr>
        <w:t>File: outputs/figures/fig_mad_comparison.png</w:t>
      </w:r>
    </w:p>
    <w:p>
      <w:pPr/>
      <w:r>
        <w:rPr>
          <w:rFonts w:ascii="Times New Roman" w:hAnsi="Times New Roman" w:eastAsia="Times New Roman"/>
          <w:b w:val="0"/>
          <w:i w:val="0"/>
          <w:u w:val="none"/>
        </w:rPr>
        <w:t>Summarises the practical size of digit-distribution differences across the selected analysis units.</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16 — MAD comparison ]</w:t>
            </w:r>
          </w:p>
          <w:p>
            <w:pPr>
              <w:spacing w:after="360"/>
              <w:jc w:val="center"/>
            </w:pPr>
            <w:r>
              <w:rPr>
                <w:rFonts w:ascii="Times New Roman" w:hAnsi="Times New Roman"/>
                <w:i/>
                <w:sz w:val="18"/>
              </w:rPr>
              <w:t>Insert the existing PNG file here. Add a brief interpretation based on the displayed chart.</w:t>
            </w:r>
          </w:p>
        </w:tc>
      </w:tr>
    </w:tbl>
    <w:p>
      <w:pPr>
        <w:spacing w:after="20"/>
      </w:pPr>
    </w:p>
    <w:p>
      <w:pPr>
        <w:pStyle w:val="Heading2"/>
        <w:jc w:val="left"/>
      </w:pPr>
      <w:r>
        <w:t>Figure 17 — Regional MAD</w:t>
      </w:r>
    </w:p>
    <w:p>
      <w:pPr/>
      <w:r>
        <w:rPr>
          <w:rFonts w:ascii="Times New Roman" w:hAnsi="Times New Roman" w:eastAsia="Times New Roman"/>
          <w:b w:val="0"/>
          <w:i/>
          <w:u w:val="none"/>
        </w:rPr>
        <w:t>File: outputs/figures/fig_region_mad.png</w:t>
      </w:r>
    </w:p>
    <w:p>
      <w:pPr/>
      <w:r>
        <w:rPr>
          <w:rFonts w:ascii="Times New Roman" w:hAnsi="Times New Roman" w:eastAsia="Times New Roman"/>
          <w:b w:val="0"/>
          <w:i w:val="0"/>
          <w:u w:val="none"/>
        </w:rPr>
        <w:t>Shows how first-digit MAD varies between regions and indicators where sufficient data exist.</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17 — Regional MAD ]</w:t>
            </w:r>
          </w:p>
          <w:p>
            <w:pPr>
              <w:spacing w:after="360"/>
              <w:jc w:val="center"/>
            </w:pPr>
            <w:r>
              <w:rPr>
                <w:rFonts w:ascii="Times New Roman" w:hAnsi="Times New Roman"/>
                <w:i/>
                <w:sz w:val="18"/>
              </w:rPr>
              <w:t>Insert the existing PNG file here. Add a brief interpretation based on the displayed chart.</w:t>
            </w:r>
          </w:p>
        </w:tc>
      </w:tr>
    </w:tbl>
    <w:p>
      <w:pPr>
        <w:spacing w:after="20"/>
      </w:pPr>
    </w:p>
    <w:p>
      <w:pPr>
        <w:pStyle w:val="Heading2"/>
        <w:jc w:val="left"/>
      </w:pPr>
      <w:r>
        <w:t>Figure 18 — Standardised residuals by digit</w:t>
      </w:r>
    </w:p>
    <w:p>
      <w:pPr/>
      <w:r>
        <w:rPr>
          <w:rFonts w:ascii="Times New Roman" w:hAnsi="Times New Roman" w:eastAsia="Times New Roman"/>
          <w:b w:val="0"/>
          <w:i/>
          <w:u w:val="none"/>
        </w:rPr>
        <w:t>File: outputs/figures/fig_residuals_by_digit.png</w:t>
      </w:r>
    </w:p>
    <w:p>
      <w:pPr/>
      <w:r>
        <w:rPr>
          <w:rFonts w:ascii="Times New Roman" w:hAnsi="Times New Roman" w:eastAsia="Times New Roman"/>
          <w:b w:val="0"/>
          <w:i w:val="0"/>
          <w:u w:val="none"/>
        </w:rPr>
        <w:t>Identifies digits that contribute strongly to the observed-versus-expected difference.</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18 — Standardised residuals by digit ]</w:t>
            </w:r>
          </w:p>
          <w:p>
            <w:pPr>
              <w:spacing w:after="360"/>
              <w:jc w:val="center"/>
            </w:pPr>
            <w:r>
              <w:rPr>
                <w:rFonts w:ascii="Times New Roman" w:hAnsi="Times New Roman"/>
                <w:i/>
                <w:sz w:val="18"/>
              </w:rPr>
              <w:t>Insert the existing PNG file here. Add a brief interpretation based on the displayed chart.</w:t>
            </w:r>
          </w:p>
        </w:tc>
      </w:tr>
    </w:tbl>
    <w:p>
      <w:pPr>
        <w:spacing w:after="20"/>
      </w:pPr>
    </w:p>
    <w:p>
      <w:pPr>
        <w:pStyle w:val="Heading2"/>
        <w:jc w:val="left"/>
      </w:pPr>
      <w:r>
        <w:t>Figure 19 — Synthetic experiment detection curves</w:t>
      </w:r>
    </w:p>
    <w:p>
      <w:pPr/>
      <w:r>
        <w:rPr>
          <w:rFonts w:ascii="Times New Roman" w:hAnsi="Times New Roman" w:eastAsia="Times New Roman"/>
          <w:b w:val="0"/>
          <w:i/>
          <w:u w:val="none"/>
        </w:rPr>
        <w:t>File: outputs/figures/fig_experiment_detection_curves.png</w:t>
      </w:r>
    </w:p>
    <w:p>
      <w:pPr/>
      <w:r>
        <w:rPr>
          <w:rFonts w:ascii="Times New Roman" w:hAnsi="Times New Roman" w:eastAsia="Times New Roman"/>
          <w:b w:val="0"/>
          <w:i w:val="0"/>
          <w:u w:val="none"/>
        </w:rPr>
        <w:t>Shows how detection rate changes as the known proportion of synthetically altered values increases.</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19 — Synthetic experiment detection curves ]</w:t>
            </w:r>
          </w:p>
          <w:p>
            <w:pPr>
              <w:spacing w:after="360"/>
              <w:jc w:val="center"/>
            </w:pPr>
            <w:r>
              <w:rPr>
                <w:rFonts w:ascii="Times New Roman" w:hAnsi="Times New Roman"/>
                <w:i/>
                <w:sz w:val="18"/>
              </w:rPr>
              <w:t>Insert the existing PNG file here. Add a brief interpretation based on the displayed chart.</w:t>
            </w:r>
          </w:p>
        </w:tc>
      </w:tr>
    </w:tbl>
    <w:p>
      <w:pPr>
        <w:spacing w:after="20"/>
      </w:pPr>
    </w:p>
    <w:p>
      <w:pPr>
        <w:pStyle w:val="Heading2"/>
        <w:jc w:val="left"/>
      </w:pPr>
      <w:r>
        <w:t>Figure 20 — Synthetic experiment MAD boxplots</w:t>
      </w:r>
    </w:p>
    <w:p>
      <w:pPr/>
      <w:r>
        <w:rPr>
          <w:rFonts w:ascii="Times New Roman" w:hAnsi="Times New Roman" w:eastAsia="Times New Roman"/>
          <w:b w:val="0"/>
          <w:i/>
          <w:u w:val="none"/>
        </w:rPr>
        <w:t>File: outputs/figures/fig_experiment_mad_boxplots.png</w:t>
      </w:r>
    </w:p>
    <w:p>
      <w:pPr/>
      <w:r>
        <w:rPr>
          <w:rFonts w:ascii="Times New Roman" w:hAnsi="Times New Roman" w:eastAsia="Times New Roman"/>
          <w:b w:val="0"/>
          <w:i w:val="0"/>
          <w:u w:val="none"/>
        </w:rPr>
        <w:t>Displays variability in MAD across replicates, alteration types, and alteration rates.</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20 — Synthetic experiment MAD boxplots ]</w:t>
            </w:r>
          </w:p>
          <w:p>
            <w:pPr>
              <w:spacing w:after="360"/>
              <w:jc w:val="center"/>
            </w:pPr>
            <w:r>
              <w:rPr>
                <w:rFonts w:ascii="Times New Roman" w:hAnsi="Times New Roman"/>
                <w:i/>
                <w:sz w:val="18"/>
              </w:rPr>
              <w:t>Insert the existing PNG file here. Add a brief interpretation based on the displayed chart.</w:t>
            </w:r>
          </w:p>
        </w:tc>
      </w:tr>
    </w:tbl>
    <w:p>
      <w:pPr>
        <w:spacing w:after="20"/>
      </w:pPr>
    </w:p>
    <w:p>
      <w:pPr>
        <w:pStyle w:val="Heading2"/>
        <w:jc w:val="left"/>
      </w:pPr>
      <w:r>
        <w:t>Figure 21 — Synthetic experiment regression</w:t>
      </w:r>
    </w:p>
    <w:p>
      <w:pPr/>
      <w:r>
        <w:rPr>
          <w:rFonts w:ascii="Times New Roman" w:hAnsi="Times New Roman" w:eastAsia="Times New Roman"/>
          <w:b w:val="0"/>
          <w:i/>
          <w:u w:val="none"/>
        </w:rPr>
        <w:t>File: outputs/figures/fig_experiment_regression.png</w:t>
      </w:r>
    </w:p>
    <w:p>
      <w:pPr/>
      <w:r>
        <w:rPr>
          <w:rFonts w:ascii="Times New Roman" w:hAnsi="Times New Roman" w:eastAsia="Times New Roman"/>
          <w:b w:val="0"/>
          <w:i w:val="0"/>
          <w:u w:val="none"/>
        </w:rPr>
        <w:t>Summarises the relationship between alteration rate and MAD in synthetic data.</w:t>
      </w:r>
    </w:p>
    <w:tbl>
      <w:tblPr>
        <w:tblW w:type="auto" w:w="0"/>
        <w:jc w:val="center"/>
        <w:tblLook w:firstColumn="1" w:firstRow="1" w:lastColumn="0" w:lastRow="0" w:noHBand="0" w:noVBand="1" w:val="04A0"/>
      </w:tblPr>
      <w:tblGrid>
        <w:gridCol w:w="9663"/>
      </w:tblGrid>
      <w:tr>
        <w:tc>
          <w:tcPr>
            <w:tcW w:type="dxa" w:w="9072"/>
            <w:vAlign w:val="center"/>
            <w:tcBorders>
              <w:top w:val="dashed" w:sz="10" w:color="777777"/>
              <w:left w:val="dashed" w:sz="10" w:color="777777"/>
              <w:bottom w:val="dashed" w:sz="10" w:color="777777"/>
              <w:right w:val="dashed" w:sz="10" w:color="777777"/>
            </w:tcBorders>
          </w:tcPr>
          <w:p>
            <w:pPr>
              <w:spacing w:before="360" w:after="160"/>
              <w:jc w:val="center"/>
            </w:pPr>
            <w:r/>
            <w:r>
              <w:rPr>
                <w:rFonts w:ascii="Times New Roman" w:hAnsi="Times New Roman"/>
                <w:b/>
                <w:sz w:val="22"/>
              </w:rPr>
              <w:t>[ INSERT: Figure 21 — Synthetic experiment regression ]</w:t>
            </w:r>
          </w:p>
          <w:p>
            <w:pPr>
              <w:spacing w:after="360"/>
              <w:jc w:val="center"/>
            </w:pPr>
            <w:r>
              <w:rPr>
                <w:rFonts w:ascii="Times New Roman" w:hAnsi="Times New Roman"/>
                <w:i/>
                <w:sz w:val="18"/>
              </w:rPr>
              <w:t>Insert the existing PNG file here. Add a brief interpretation based on the displayed chart.</w:t>
            </w:r>
          </w:p>
        </w:tc>
      </w:tr>
    </w:tbl>
    <w:p>
      <w:pPr>
        <w:spacing w:after="20"/>
      </w:pPr>
    </w:p>
    <w:p>
      <w:pPr>
        <w:pStyle w:val="Heading1"/>
        <w:jc w:val="center"/>
      </w:pPr>
      <w:r>
        <w:t>9. Results and Discussion</w:t>
      </w:r>
    </w:p>
    <w:p>
      <w:pPr/>
      <w:r>
        <w:rPr>
          <w:rFonts w:ascii="Times New Roman" w:hAnsi="Times New Roman" w:eastAsia="Times New Roman"/>
          <w:b w:val="0"/>
          <w:i w:val="0"/>
          <w:u w:val="none"/>
        </w:rPr>
        <w:t>The currently generated HTML report summarises nine selected WDI indicators at pooled country-year level. It reports two indicators as having a statistically significant and practically material deviation, five as having no significant deviation, and two as not assessed because the suitability screen rejected them. These categories must be confirmed against the latest outputs before the report is submitted.</w:t>
      </w:r>
    </w:p>
    <w:tbl>
      <w:tblPr>
        <w:tblW w:type="auto" w:w="0"/>
        <w:jc w:val="center"/>
        <w:tblLayout w:type="autofit"/>
        <w:tblLook w:firstColumn="1" w:firstRow="1" w:lastColumn="0" w:lastRow="0" w:noHBand="0" w:noVBand="1" w:val="04A0"/>
      </w:tblPr>
      <w:tblGrid>
        <w:gridCol w:w="4831"/>
        <w:gridCol w:w="4831"/>
      </w:tblGrid>
      <w:tr>
        <w:tc>
          <w:tcPr>
            <w:tcW w:type="dxa" w:w="4831"/>
            <w:vAlign w:val="center"/>
            <w:shd w:fill="D9E2F3"/>
            <w:tcBorders>
              <w:top w:val="single" w:sz="4" w:color="777777"/>
              <w:left w:val="single" w:sz="4" w:color="777777"/>
              <w:bottom w:val="single" w:sz="4" w:color="777777"/>
              <w:right w:val="single" w:sz="4" w:color="777777"/>
            </w:tcBorders>
          </w:tcPr>
          <w:p>
            <w:pPr>
              <w:spacing w:after="20"/>
            </w:pPr>
            <w:r>
              <w:rPr>
                <w:rFonts w:ascii="Times New Roman" w:hAnsi="Times New Roman"/>
                <w:b/>
                <w:sz w:val="19"/>
              </w:rPr>
              <w:t>Reported pooled category</w:t>
            </w:r>
          </w:p>
        </w:tc>
        <w:tc>
          <w:tcPr>
            <w:tcW w:type="dxa" w:w="4831"/>
            <w:vAlign w:val="center"/>
            <w:shd w:fill="D9E2F3"/>
            <w:tcBorders>
              <w:top w:val="single" w:sz="4" w:color="777777"/>
              <w:left w:val="single" w:sz="4" w:color="777777"/>
              <w:bottom w:val="single" w:sz="4" w:color="777777"/>
              <w:right w:val="single" w:sz="4" w:color="777777"/>
            </w:tcBorders>
          </w:tcPr>
          <w:p>
            <w:pPr>
              <w:spacing w:after="20"/>
            </w:pPr>
            <w:r>
              <w:rPr>
                <w:rFonts w:ascii="Times New Roman" w:hAnsi="Times New Roman"/>
                <w:b/>
                <w:sz w:val="19"/>
              </w:rPr>
              <w:t>Current report count</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Significant and practically material deviation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2</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Significant but practically small deviation</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0</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No significant deviation detected</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5</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Not assessed — unsuitable data</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2</w:t>
            </w:r>
          </w:p>
        </w:tc>
      </w:tr>
      <w:tr>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Not assessed — insufficient sample</w:t>
            </w:r>
          </w:p>
        </w:tc>
        <w:tc>
          <w:tcPr>
            <w:tcW w:type="dxa" w:w="4831"/>
            <w:vAlign w:val="center"/>
            <w:tcBorders>
              <w:top w:val="single" w:sz="4" w:color="777777"/>
              <w:left w:val="single" w:sz="4" w:color="777777"/>
              <w:bottom w:val="single" w:sz="4" w:color="777777"/>
              <w:right w:val="single" w:sz="4" w:color="777777"/>
            </w:tcBorders>
          </w:tcPr>
          <w:p>
            <w:pPr>
              <w:spacing w:after="20" w:line="240" w:lineRule="auto"/>
            </w:pPr>
            <w:r>
              <w:rPr>
                <w:rFonts w:ascii="Times New Roman" w:hAnsi="Times New Roman"/>
                <w:sz w:val="19"/>
              </w:rPr>
              <w:t>0</w:t>
            </w:r>
          </w:p>
        </w:tc>
      </w:tr>
    </w:tbl>
    <w:p>
      <w:pPr>
        <w:spacing w:after="20"/>
      </w:pPr>
    </w:p>
    <w:p>
      <w:pPr/>
      <w:r>
        <w:rPr>
          <w:rFonts w:ascii="Times New Roman" w:hAnsi="Times New Roman" w:eastAsia="Times New Roman"/>
          <w:b w:val="0"/>
          <w:i w:val="0"/>
          <w:u w:val="none"/>
        </w:rPr>
        <w:t>A methodological issue requires attention before treating the table above as final: the land-area indicator (AG.LND.TOTL.K2) is labelled suitable in one dashboard view, while the report discusses land area among the constrained or questionable variables. Pooled country-year observations also reuse the same countries across multiple years and are therefore not fully independent. Use a verified suitability decision and explain the dependence limitation before stating the final interpretation.</w:t>
      </w:r>
    </w:p>
    <w:p>
      <w:pPr/>
      <w:r>
        <w:rPr>
          <w:rFonts w:ascii="Times New Roman" w:hAnsi="Times New Roman" w:eastAsia="Times New Roman"/>
          <w:b w:val="0"/>
          <w:i w:val="0"/>
          <w:u w:val="none"/>
        </w:rPr>
        <w:t>The life-expectancy and fertility-rate indicators act as negative controls in the report because they have bounded and relatively narrow value ranges. Their departure from the Benford reference demonstrates why the suitability check matters; it should not be described as a sign of fraud.</w:t>
      </w:r>
    </w:p>
    <w:p>
      <w:pPr/>
      <w:r>
        <w:rPr>
          <w:rFonts w:ascii="Times New Roman" w:hAnsi="Times New Roman" w:eastAsia="Times New Roman"/>
          <w:b w:val="0"/>
          <w:i w:val="0"/>
          <w:u w:val="none"/>
        </w:rPr>
        <w:t>The synthetic experiment evaluates detection behaviour under deliberately controlled changes. Round-number substitution and leading-digit bias can alter the first-digit distribution more directly than small multiplicative adjustments. The experiment therefore helps show the limits of the method, rather than providing a real-world fraud rate.</w:t>
      </w:r>
    </w:p>
    <w:p>
      <w:pPr>
        <w:pStyle w:val="Heading2"/>
        <w:jc w:val="left"/>
      </w:pPr>
      <w:r>
        <w:t>9.1 What the application demonstrates</w:t>
      </w:r>
    </w:p>
    <w:p>
      <w:pPr>
        <w:ind w:left="403" w:hanging="259"/>
      </w:pPr>
      <w:r>
        <w:t>➢  A reproducible route from raw source data to cleaned numerical observations and saved outputs.</w:t>
      </w:r>
    </w:p>
    <w:p>
      <w:pPr>
        <w:ind w:left="403" w:hanging="259"/>
      </w:pPr>
      <w:r>
        <w:t>➢  A distinction between statistical significance and practical magnitude.</w:t>
      </w:r>
    </w:p>
    <w:p>
      <w:pPr>
        <w:ind w:left="403" w:hanging="259"/>
      </w:pPr>
      <w:r>
        <w:t>➢  Explicit reasons for excluding data or not running a test when validity conditions are not satisfied.</w:t>
      </w:r>
    </w:p>
    <w:p>
      <w:pPr>
        <w:ind w:left="403" w:hanging="259"/>
      </w:pPr>
      <w:r>
        <w:t>➢  Interactive visual exploration of indicators and subsets.</w:t>
      </w:r>
    </w:p>
    <w:p>
      <w:pPr>
        <w:ind w:left="403" w:hanging="259"/>
      </w:pPr>
      <w:r>
        <w:t>➢  Controlled evaluation of how the method behaves under known synthetic alterations.</w:t>
      </w:r>
    </w:p>
    <w:p>
      <w:pPr>
        <w:pStyle w:val="Heading1"/>
        <w:jc w:val="center"/>
      </w:pPr>
      <w:r>
        <w:t>10. Limitations</w:t>
      </w:r>
    </w:p>
    <w:p>
      <w:pPr>
        <w:ind w:left="403" w:hanging="259"/>
      </w:pPr>
      <w:r>
        <w:t>➢  Benford’s Law is not suitable for every numerical variable. Bounded, capped, assigned, or narrow-range data may naturally depart from it.</w:t>
      </w:r>
    </w:p>
    <w:p>
      <w:pPr>
        <w:ind w:left="403" w:hanging="259"/>
      </w:pPr>
      <w:r>
        <w:t>➢  Pooled country-year observations include repeated measurements of some countries, weakening the independence assumption.</w:t>
      </w:r>
    </w:p>
    <w:p>
      <w:pPr>
        <w:ind w:left="403" w:hanging="259"/>
      </w:pPr>
      <w:r>
        <w:t>➢  Large sample sizes can make small departures statistically significant; p-values must be interpreted alongside MAD and effect size.</w:t>
      </w:r>
    </w:p>
    <w:p>
      <w:pPr>
        <w:ind w:left="403" w:hanging="259"/>
      </w:pPr>
      <w:r>
        <w:t>➢  Published statistics may be rounded, revised, or affected by reporting standards and measurement processes.</w:t>
      </w:r>
    </w:p>
    <w:p>
      <w:pPr>
        <w:ind w:left="403" w:hanging="259"/>
      </w:pPr>
      <w:r>
        <w:t>➢  A digit-pattern test cannot determine intent, identify an individual who altered data, or prove misconduct.</w:t>
      </w:r>
    </w:p>
    <w:p>
      <w:pPr>
        <w:ind w:left="403" w:hanging="259"/>
      </w:pPr>
      <w:r>
        <w:t>➢  Synthetic experiments cover only the alteration types and rates that were implemented.</w:t>
      </w:r>
    </w:p>
    <w:p>
      <w:pPr>
        <w:ind w:left="403" w:hanging="259"/>
      </w:pPr>
      <w:r>
        <w:t>➢  The current draft has not independently verified a second dataset such as USAspending; do not claim multi-source results unless its source file and analysis are present.</w:t>
      </w:r>
    </w:p>
    <w:p>
      <w:pPr>
        <w:pStyle w:val="Heading1"/>
        <w:jc w:val="center"/>
      </w:pPr>
      <w:r>
        <w:t>11. Conclusion</w:t>
      </w:r>
    </w:p>
    <w:p>
      <w:pPr/>
      <w:r>
        <w:rPr>
          <w:rFonts w:ascii="Times New Roman" w:hAnsi="Times New Roman" w:eastAsia="Times New Roman"/>
          <w:b w:val="0"/>
          <w:i w:val="0"/>
          <w:u w:val="none"/>
        </w:rPr>
        <w:t>The project develops an R-based statistical screening workflow and a Shiny dashboard for investigating leading-digit patterns in real numerical data. It combines Benford’s Law with Chi-square goodness-of-fit testing, suitability screening, MAD, residual diagnostics, effect-size reporting, multiple-testing adjustments, subset comparisons, and controlled synthetic experiments.</w:t>
      </w:r>
    </w:p>
    <w:p>
      <w:pPr/>
      <w:r>
        <w:rPr>
          <w:rFonts w:ascii="Times New Roman" w:hAnsi="Times New Roman" w:eastAsia="Times New Roman"/>
          <w:b w:val="0"/>
          <w:i w:val="0"/>
          <w:u w:val="none"/>
        </w:rPr>
        <w:t>The main contribution is the combination of automated numerical screening and careful interpretation. The application can identify patterns that differ from a chosen theoretical reference and provide supporting diagnostics. It cannot establish fraud by itself. Each flagged or excluded result must be interpreted in light of the variable, sampling structure, measurement process, and other available evidence.</w:t>
      </w:r>
    </w:p>
    <w:p>
      <w:pPr>
        <w:pStyle w:val="Heading1"/>
        <w:jc w:val="center"/>
      </w:pPr>
      <w:r>
        <w:t>12. References</w:t>
      </w:r>
    </w:p>
    <w:p>
      <w:pPr>
        <w:ind w:left="403" w:hanging="259"/>
      </w:pPr>
      <w:r>
        <w:t>➢  Benford, F. (1938). The law of anomalous numbers. Proceedings of the American Philosophical Society, 78(4), 551–572.</w:t>
      </w:r>
    </w:p>
    <w:p>
      <w:pPr>
        <w:ind w:left="403" w:hanging="259"/>
      </w:pPr>
      <w:r>
        <w:t>➢  Durtschi, C., Hillison, W. A., &amp; Pacini, C. (2004). The effective use of Benford’s Law to assist in detecting fraud in accounting data. Journal of Forensic Accounting, 5(1), 17–34. https://digitalcommons.usf.edu/fac_publications/939/</w:t>
      </w:r>
    </w:p>
    <w:p>
      <w:pPr>
        <w:ind w:left="403" w:hanging="259"/>
      </w:pPr>
      <w:r>
        <w:t>➢  Hill, T. P. (1995). A statistical derivation of the significant-digit law. Statistical Science, 10(4), 354–363. https://www.neuron.yale.edu/ftp/ted/tmp/hill1995.pdf</w:t>
      </w:r>
    </w:p>
    <w:p>
      <w:pPr>
        <w:ind w:left="403" w:hanging="259"/>
      </w:pPr>
      <w:r>
        <w:t>➢  Nigrini, M. J. (2017). Audit sampling using Benford’s Law: A review of the literature with some new perspectives. Journal of Emerging Technologies in Accounting, 14(2), 29–46. https://doi.org/10.2308/JETA-51783</w:t>
      </w:r>
    </w:p>
    <w:p>
      <w:pPr>
        <w:ind w:left="403" w:hanging="259"/>
      </w:pPr>
      <w:r>
        <w:t>➢  Investigating and preventing scientific misconduct using Benford’s Law. (2023). Research Integrity and Peer Review. https://pmc.ncbi.nlm.nih.gov/articles/PMC10088595/</w:t>
      </w:r>
    </w:p>
    <w:p>
      <w:pPr>
        <w:ind w:left="403" w:hanging="259"/>
      </w:pPr>
      <w:r>
        <w:t>➢  National Institute of Standards and Technology. Benford’s Law. https://xlinux.nist.gov/dads/HTML/benfordslaw.html</w:t>
      </w:r>
    </w:p>
    <w:p>
      <w:pPr>
        <w:ind w:left="403" w:hanging="259"/>
      </w:pPr>
      <w:r>
        <w:t>➢  NIST/SEMATECH. Chi-square goodness-of-fit test. https://www.itl.nist.gov/div898/handbook/eda/section3/eda35f.htm</w:t>
      </w:r>
    </w:p>
    <w:p>
      <w:pPr>
        <w:ind w:left="403" w:hanging="259"/>
      </w:pPr>
      <w:r>
        <w:t>➢  World Bank. World Development Indicators. https://databank.worldbank.org/source/world-development-indicators</w:t>
      </w:r>
    </w:p>
    <w:p>
      <w:pPr>
        <w:pStyle w:val="Heading1"/>
        <w:jc w:val="center"/>
      </w:pPr>
      <w:r>
        <w:t>Appendix A. Running the Project</w:t>
      </w:r>
    </w:p>
    <w:p>
      <w:pPr/>
      <w:r>
        <w:rPr>
          <w:rFonts w:ascii="Times New Roman" w:hAnsi="Times New Roman" w:eastAsia="Times New Roman"/>
          <w:b w:val="0"/>
          <w:i w:val="0"/>
          <w:u w:val="none"/>
        </w:rPr>
        <w:t>Run commands from the project root, which contains app.R, R/, scripts/, tests/, outputs/, reports/, and the extracted WDI directory. R and the packages used by the project must be installed on the computer.</w:t>
      </w:r>
    </w:p>
    <w:p>
      <w:pPr>
        <w:pStyle w:val="Heading2"/>
        <w:jc w:val="left"/>
      </w:pPr>
      <w:r>
        <w:t>A.1 Install packages (one time)</w:t>
      </w:r>
    </w:p>
    <w:p>
      <w:pPr>
        <w:spacing w:after="20" w:line="240" w:lineRule="auto"/>
        <w:ind w:left="360"/>
      </w:pPr>
      <w:r>
        <w:rPr>
          <w:rFonts w:ascii="Consolas" w:hAnsi="Consolas" w:eastAsia="Consolas"/>
          <w:sz w:val="18"/>
        </w:rPr>
        <w:t>Rscript -e "options(timeout=600); install.packages(c('shiny','bslib','readr','dplyr','tidyr','ggplot2','DT','testthat','rmarkdown','knitr','jsonlite'), repos='https://cloud.r-project.org')"</w:t>
      </w:r>
    </w:p>
    <w:p>
      <w:pPr>
        <w:pStyle w:val="Heading2"/>
        <w:jc w:val="left"/>
      </w:pPr>
      <w:r>
        <w:t>A.2 Run automated tests</w:t>
      </w:r>
    </w:p>
    <w:p>
      <w:pPr>
        <w:spacing w:after="20" w:line="240" w:lineRule="auto"/>
        <w:ind w:left="360"/>
      </w:pPr>
      <w:r>
        <w:rPr>
          <w:rFonts w:ascii="Consolas" w:hAnsi="Consolas" w:eastAsia="Consolas"/>
          <w:sz w:val="18"/>
        </w:rPr>
        <w:t>Rscript -e "testthat::test_dir('tests/testthat', reporter='summary')"</w:t>
      </w:r>
    </w:p>
    <w:p>
      <w:pPr>
        <w:pStyle w:val="Heading2"/>
        <w:jc w:val="left"/>
      </w:pPr>
      <w:r>
        <w:t>A.3 Quick run on real WDI data</w:t>
      </w:r>
    </w:p>
    <w:p>
      <w:pPr>
        <w:spacing w:after="20" w:line="240" w:lineRule="auto"/>
        <w:ind w:left="360"/>
      </w:pPr>
      <w:r>
        <w:rPr>
          <w:rFonts w:ascii="Consolas" w:hAnsi="Consolas" w:eastAsia="Consolas"/>
          <w:sz w:val="18"/>
        </w:rPr>
        <w:t>Rscript scripts/run_all.R --quick --no-report --data="WDI_CSV_2026_10_01"</w:t>
      </w:r>
    </w:p>
    <w:p>
      <w:pPr>
        <w:pStyle w:val="Heading2"/>
        <w:jc w:val="left"/>
      </w:pPr>
      <w:r>
        <w:t>A.4 Full pipeline and reports</w:t>
      </w:r>
    </w:p>
    <w:p>
      <w:pPr>
        <w:spacing w:after="20" w:line="240" w:lineRule="auto"/>
        <w:ind w:left="360"/>
      </w:pPr>
      <w:r>
        <w:rPr>
          <w:rFonts w:ascii="Consolas" w:hAnsi="Consolas" w:eastAsia="Consolas"/>
          <w:sz w:val="18"/>
        </w:rPr>
        <w:t>Rscript scripts/run_all.R --data="WDI_CSV_2026_10_01"</w:t>
      </w:r>
    </w:p>
    <w:p>
      <w:pPr>
        <w:pStyle w:val="Heading2"/>
        <w:jc w:val="left"/>
      </w:pPr>
      <w:r>
        <w:t>A.5 Launch dashboard</w:t>
      </w:r>
    </w:p>
    <w:p>
      <w:pPr>
        <w:spacing w:after="20" w:line="240" w:lineRule="auto"/>
        <w:ind w:left="360"/>
      </w:pPr>
      <w:r>
        <w:rPr>
          <w:rFonts w:ascii="Consolas" w:hAnsi="Consolas" w:eastAsia="Consolas"/>
          <w:sz w:val="18"/>
        </w:rPr>
        <w:t>Rscript -e "shiny::runApp('app.R')"</w:t>
      </w:r>
    </w:p>
    <w:p>
      <w:pPr/>
      <w:r>
        <w:rPr>
          <w:rFonts w:ascii="Times New Roman" w:hAnsi="Times New Roman" w:eastAsia="Times New Roman"/>
          <w:b w:val="0"/>
          <w:i w:val="0"/>
          <w:u w:val="none"/>
        </w:rPr>
        <w:t>The exact output depends on the latest data and code. Save the terminal output and confirm that the data source is WDI rather than a synthetic fallback before interpreting the results.</w:t>
      </w:r>
    </w:p>
    <w:sectPr w:rsidR="00FC693F" w:rsidRPr="0006063C" w:rsidSect="00034616">
      <w:footerReference w:type="default" r:id="rId9"/>
      <w:pgSz w:w="11909" w:h="16834"/>
      <w:pgMar w:top="1037" w:right="1123" w:bottom="979" w:left="1123" w:header="720" w:footer="720" w:gutter="0"/>
      <w:cols w:space="720"/>
      <w:docGrid w:linePitch="360"/>
      <w:pgBorders w:offsetFrom="page" w:display="allPages">
        <w:top w:val="single" w:sz="8" w:space="18" w:color="000000"/>
        <w:left w:val="single" w:sz="8" w:space="18" w:color="000000"/>
        <w:bottom w:val="single" w:sz="8" w:space="18" w:color="000000"/>
        <w:right w:val="single" w:sz="8" w:space="18"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Times New Roman" w:hAnsi="Times New Roman" w:eastAsia="Times New Roman"/>
      <w:b/>
      <w:bCs/>
      <w:color w:val="000000"/>
      <w:sz w:val="28"/>
      <w:szCs w:val="28"/>
      <w:u w:val="single"/>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Times New Roman" w:hAnsi="Times New Roman" w:eastAsia="Times New Roman"/>
      <w:b/>
      <w:bCs/>
      <w:color w:val="000000"/>
      <w:sz w:val="24"/>
      <w:szCs w:val="26"/>
      <w:u w:val="single"/>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Times New Roman" w:hAnsi="Times New Roman" w:eastAsia="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Statistics Detect Fake Data? — Final Project Report (Working Draft)</dc:title>
  <dc:subject>Probability &amp; Statistics BMAT202L / BMAT202P — Benford’s Law and Chi-square goodness-of-fit</dc:subject>
  <dc:creator>Shaik Sameer; Joshita Chowdary</dc:creator>
  <cp:keywords>Benford’s Law; Chi-square; R; Shiny; World Development Indicators; statistical screening</cp:keywords>
  <dc:description>generated by python-docx</dc:description>
  <cp:lastModifiedBy/>
  <cp:revision>1</cp:revision>
  <dcterms:created xsi:type="dcterms:W3CDTF">2013-12-23T23:15:00Z</dcterms:created>
  <dcterms:modified xsi:type="dcterms:W3CDTF">2013-12-23T23:15:00Z</dcterms:modified>
  <cp:category/>
</cp:coreProperties>
</file>