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after="160"/>
        <w:jc w:val="center"/>
      </w:pPr>
      <w:r>
        <w:rPr>
          <w:rFonts w:ascii="Aptos Display" w:hAnsi="Aptos Display"/>
          <w:b/>
          <w:color w:val="252525"/>
          <w:sz w:val="62"/>
        </w:rPr>
        <w:t>PROBABILITY AND STATISTICS PROJECT</w:t>
      </w:r>
    </w:p>
    <w:p>
      <w:pPr>
        <w:spacing w:before="240" w:after="240"/>
        <w:jc w:val="center"/>
      </w:pPr>
      <w:r>
        <w:rPr>
          <w:rFonts w:ascii="Georgia" w:hAnsi="Georgia"/>
          <w:b/>
          <w:color w:val="5B2333"/>
          <w:sz w:val="36"/>
        </w:rPr>
        <w:t>Can Statistics Detect Fake Data? Identifying Anomalies and Outliers in Real Datasets</w:t>
      </w:r>
    </w:p>
    <w:p>
      <w:pPr>
        <w:spacing w:before="240" w:after="360"/>
        <w:jc w:val="center"/>
      </w:pPr>
      <w:r>
        <w:rPr>
          <w:rFonts w:ascii="Aptos" w:hAnsi="Aptos"/>
          <w:b/>
          <w:color w:val="7A6A6E"/>
          <w:sz w:val="24"/>
        </w:rPr>
        <w:t>Project Review 1</w:t>
      </w:r>
    </w:p>
    <w:p/>
    <w:tbl>
      <w:tblPr>
        <w:tblW w:type="auto" w:w="0"/>
        <w:jc w:val="center"/>
        <w:tblLayout w:type="fixed"/>
        <w:tblLook w:firstColumn="1" w:firstRow="1" w:lastColumn="0" w:lastRow="0" w:noHBand="0" w:noVBand="1" w:val="04A0"/>
        <w:tblBorders>
          <w:top w:val="single" w:sz="10" w:space="0" w:color="5B2333"/>
          <w:bottom w:val="single" w:sz="10" w:space="0" w:color="5B2333"/>
        </w:tblBorders>
      </w:tblPr>
      <w:tblGrid>
        <w:gridCol w:w="4968"/>
        <w:gridCol w:w="4968"/>
      </w:tblGrid>
      <w:tr>
        <w:tc>
          <w:tcPr>
            <w:tcW w:type="dxa" w:w="2448"/>
            <w:vAlign w:val="center"/>
            <w:shd w:fill="F0F0F0"/>
            <w:shd w:fill="F4F0EB"/>
            <w:shd w:fill="5B2333"/>
          </w:tcPr>
          <w:p>
            <w:pPr>
              <w:jc w:val="left"/>
            </w:pPr>
            <w:r>
              <w:rPr>
                <w:rFonts w:ascii="Aptos" w:hAnsi="Aptos"/>
                <w:b/>
                <w:color w:val="FFFFFF"/>
                <w:sz w:val="18"/>
              </w:rPr>
            </w:r>
            <w:r>
              <w:rPr>
                <w:rFonts w:ascii="Aptos" w:hAnsi="Aptos"/>
                <w:b/>
                <w:color w:val="FFFFFF"/>
                <w:sz w:val="18"/>
              </w:rPr>
              <w:t>Professor</w:t>
            </w:r>
          </w:p>
        </w:tc>
        <w:tc>
          <w:tcPr>
            <w:tcW w:type="dxa" w:w="6624"/>
            <w:vAlign w:val="center"/>
            <w:shd w:fill="F0F0F0"/>
            <w:shd w:fill="F4F0EB"/>
            <w:shd w:fill="5B2333"/>
          </w:tcPr>
          <w:p>
            <w:pPr>
              <w:jc w:val="left"/>
            </w:pPr>
            <w:r>
              <w:rPr>
                <w:rFonts w:ascii="Aptos" w:hAnsi="Aptos"/>
                <w:b/>
                <w:color w:val="FFFFFF"/>
                <w:sz w:val="18"/>
              </w:rPr>
            </w:r>
            <w:r>
              <w:rPr>
                <w:rFonts w:ascii="Aptos" w:hAnsi="Aptos"/>
                <w:b/>
                <w:color w:val="FFFFFF"/>
                <w:sz w:val="18"/>
              </w:rPr>
              <w:t>Dr. Tharasi Dilleswar</w:t>
            </w:r>
          </w:p>
        </w:tc>
      </w:tr>
      <w:tr>
        <w:tc>
          <w:tcPr>
            <w:tcW w:type="dxa" w:w="2448"/>
            <w:vAlign w:val="center"/>
            <w:shd w:fill="FFFFFF"/>
            <w:shd w:fill="FFFFFF"/>
          </w:tcPr>
          <w:p>
            <w:pPr>
              <w:jc w:val="left"/>
            </w:pPr>
            <w:r>
              <w:rPr>
                <w:rFonts w:ascii="Aptos" w:hAnsi="Aptos"/>
                <w:b/>
                <w:color w:val="5B2333"/>
                <w:sz w:val="18"/>
              </w:rPr>
            </w:r>
            <w:r>
              <w:rPr>
                <w:rFonts w:ascii="Aptos" w:hAnsi="Aptos"/>
                <w:b/>
                <w:color w:val="5B2333"/>
                <w:sz w:val="18"/>
              </w:rPr>
              <w:t>Student 1</w:t>
            </w:r>
          </w:p>
        </w:tc>
        <w:tc>
          <w:tcPr>
            <w:tcW w:type="dxa" w:w="6624"/>
            <w:vAlign w:val="center"/>
            <w:shd w:fill="FFFFFF"/>
            <w:shd w:fill="FFFFFF"/>
          </w:tcPr>
          <w:p>
            <w:pPr>
              <w:jc w:val="left"/>
            </w:pPr>
            <w:r>
              <w:rPr>
                <w:rFonts w:ascii="Aptos" w:hAnsi="Aptos"/>
                <w:color w:val="252525"/>
                <w:sz w:val="18"/>
              </w:rPr>
            </w:r>
            <w:r>
              <w:rPr>
                <w:rFonts w:ascii="Aptos" w:hAnsi="Aptos"/>
                <w:b w:val="0"/>
                <w:color w:val="252525"/>
                <w:sz w:val="18"/>
              </w:rPr>
              <w:t>Shaik Sameer</w:t>
            </w:r>
          </w:p>
        </w:tc>
      </w:tr>
      <w:tr>
        <w:tc>
          <w:tcPr>
            <w:tcW w:type="dxa" w:w="2448"/>
            <w:vAlign w:val="center"/>
            <w:shd w:fill="F0F0F0"/>
            <w:shd w:fill="F4F0EB"/>
            <w:shd w:fill="F7F3F0"/>
          </w:tcPr>
          <w:p>
            <w:pPr>
              <w:jc w:val="left"/>
            </w:pPr>
            <w:r>
              <w:rPr>
                <w:rFonts w:ascii="Aptos" w:hAnsi="Aptos"/>
                <w:b/>
                <w:color w:val="5B2333"/>
                <w:sz w:val="18"/>
              </w:rPr>
            </w:r>
            <w:r>
              <w:rPr>
                <w:rFonts w:ascii="Aptos" w:hAnsi="Aptos"/>
                <w:b/>
                <w:color w:val="5B2333"/>
                <w:sz w:val="18"/>
              </w:rPr>
              <w:t>Reg. No.</w:t>
            </w:r>
          </w:p>
        </w:tc>
        <w:tc>
          <w:tcPr>
            <w:tcW w:type="dxa" w:w="6624"/>
            <w:vAlign w:val="center"/>
            <w:shd w:fill="F0F0F0"/>
            <w:shd w:fill="F4F0EB"/>
            <w:shd w:fill="F7F3F0"/>
          </w:tcPr>
          <w:p>
            <w:pPr>
              <w:jc w:val="left"/>
            </w:pPr>
            <w:r>
              <w:rPr>
                <w:rFonts w:ascii="Aptos" w:hAnsi="Aptos"/>
                <w:color w:val="252525"/>
                <w:sz w:val="18"/>
              </w:rPr>
            </w:r>
            <w:r>
              <w:rPr>
                <w:rFonts w:ascii="Aptos" w:hAnsi="Aptos"/>
                <w:b w:val="0"/>
                <w:color w:val="252525"/>
                <w:sz w:val="18"/>
              </w:rPr>
              <w:t>24BDS1154</w:t>
            </w:r>
          </w:p>
        </w:tc>
      </w:tr>
      <w:tr>
        <w:tc>
          <w:tcPr>
            <w:tcW w:type="dxa" w:w="2448"/>
            <w:vAlign w:val="center"/>
            <w:shd w:fill="FFFFFF"/>
            <w:shd w:fill="FFFFFF"/>
          </w:tcPr>
          <w:p>
            <w:pPr>
              <w:jc w:val="left"/>
            </w:pPr>
            <w:r>
              <w:rPr>
                <w:rFonts w:ascii="Aptos" w:hAnsi="Aptos"/>
                <w:b/>
                <w:color w:val="5B2333"/>
                <w:sz w:val="18"/>
              </w:rPr>
            </w:r>
            <w:r>
              <w:rPr>
                <w:rFonts w:ascii="Aptos" w:hAnsi="Aptos"/>
                <w:b/>
                <w:color w:val="5B2333"/>
                <w:sz w:val="18"/>
              </w:rPr>
              <w:t>Student 2</w:t>
            </w:r>
          </w:p>
        </w:tc>
        <w:tc>
          <w:tcPr>
            <w:tcW w:type="dxa" w:w="6624"/>
            <w:vAlign w:val="center"/>
            <w:shd w:fill="FFFFFF"/>
            <w:shd w:fill="FFFFFF"/>
          </w:tcPr>
          <w:p>
            <w:pPr>
              <w:jc w:val="left"/>
            </w:pPr>
            <w:r>
              <w:rPr>
                <w:rFonts w:ascii="Aptos" w:hAnsi="Aptos"/>
                <w:color w:val="252525"/>
                <w:sz w:val="18"/>
              </w:rPr>
            </w:r>
            <w:r>
              <w:rPr>
                <w:rFonts w:ascii="Aptos" w:hAnsi="Aptos"/>
                <w:b w:val="0"/>
                <w:color w:val="252525"/>
                <w:sz w:val="18"/>
              </w:rPr>
              <w:t>Joshita Chowdhary</w:t>
            </w:r>
          </w:p>
        </w:tc>
      </w:tr>
      <w:tr>
        <w:tc>
          <w:tcPr>
            <w:tcW w:type="dxa" w:w="2448"/>
            <w:vAlign w:val="center"/>
            <w:shd w:fill="F0F0F0"/>
            <w:shd w:fill="F4F0EB"/>
            <w:shd w:fill="F7F3F0"/>
          </w:tcPr>
          <w:p>
            <w:pPr>
              <w:jc w:val="left"/>
            </w:pPr>
            <w:r>
              <w:rPr>
                <w:rFonts w:ascii="Aptos" w:hAnsi="Aptos"/>
                <w:b/>
                <w:color w:val="5B2333"/>
                <w:sz w:val="18"/>
              </w:rPr>
            </w:r>
            <w:r>
              <w:rPr>
                <w:rFonts w:ascii="Aptos" w:hAnsi="Aptos"/>
                <w:b/>
                <w:color w:val="5B2333"/>
                <w:sz w:val="18"/>
              </w:rPr>
              <w:t>Reg. No.</w:t>
            </w:r>
          </w:p>
        </w:tc>
        <w:tc>
          <w:tcPr>
            <w:tcW w:type="dxa" w:w="6624"/>
            <w:vAlign w:val="center"/>
            <w:shd w:fill="F0F0F0"/>
            <w:shd w:fill="F4F0EB"/>
            <w:shd w:fill="F7F3F0"/>
          </w:tcPr>
          <w:p>
            <w:pPr>
              <w:jc w:val="left"/>
            </w:pPr>
            <w:r>
              <w:rPr>
                <w:rFonts w:ascii="Aptos" w:hAnsi="Aptos"/>
                <w:color w:val="252525"/>
                <w:sz w:val="18"/>
              </w:rPr>
            </w:r>
            <w:r>
              <w:rPr>
                <w:rFonts w:ascii="Aptos" w:hAnsi="Aptos"/>
                <w:b w:val="0"/>
                <w:color w:val="252525"/>
                <w:sz w:val="18"/>
              </w:rPr>
              <w:t>24BRS1313</w:t>
            </w:r>
          </w:p>
        </w:tc>
      </w:tr>
    </w:tbl>
    <w:p>
      <w:pPr>
        <w:spacing w:before="360"/>
        <w:jc w:val="center"/>
      </w:pPr>
      <w:r>
        <w:rPr>
          <w:rFonts w:ascii="Aptos" w:hAnsi="Aptos"/>
          <w:b/>
          <w:color w:val="5B2333"/>
          <w:sz w:val="24"/>
        </w:rPr>
        <w:t>F1 SLOT</w:t>
      </w:r>
    </w:p>
    <w:p>
      <w:pPr>
        <w:spacing w:before="600"/>
        <w:jc w:val="center"/>
      </w:pPr>
      <w:r>
        <w:rPr>
          <w:rFonts w:ascii="Georgia" w:hAnsi="Georgia"/>
          <w:i/>
          <w:color w:val="7A6A6E"/>
          <w:sz w:val="21"/>
        </w:rPr>
        <w:t>Statistical investigation using Benford’s Law and Chi-square goodness-of-fit</w:t>
      </w:r>
    </w:p>
    <w:p>
      <w:r>
        <w:br w:type="page"/>
      </w:r>
    </w:p>
    <w:tbl>
      <w:tblPr>
        <w:tblW w:type="auto" w:w="0"/>
        <w:jc w:val="center"/>
        <w:tblLayout w:type="autofit"/>
        <w:tblLook w:firstColumn="1" w:firstRow="1" w:lastColumn="0" w:lastRow="0" w:noHBand="0" w:noVBand="1" w:val="04A0"/>
      </w:tblPr>
      <w:tblGrid>
        <w:gridCol w:w="9936"/>
      </w:tblGrid>
      <w:tr>
        <w:tc>
          <w:tcPr>
            <w:tcW w:type="dxa" w:w="9936"/>
            <w:shd w:fill="333333"/>
            <w:vAlign w:val="center"/>
          </w:tcPr>
          <w:p>
            <w:pPr>
              <w:jc w:val="center"/>
            </w:pPr>
            <w:r/>
            <w:r>
              <w:rPr>
                <w:rFonts w:ascii="Aptos" w:hAnsi="Aptos"/>
                <w:b/>
                <w:color w:val="FFFFFF"/>
                <w:sz w:val="22"/>
              </w:rPr>
              <w:t>01  PROBLEM STATEMENT</w:t>
            </w:r>
          </w:p>
        </w:tc>
      </w:tr>
    </w:tbl>
    <w:p>
      <w:pPr>
        <w:spacing w:after="0"/>
      </w:pPr>
    </w:p>
    <w:p>
      <w:pPr>
        <w:spacing w:before="160"/>
      </w:pPr>
      <w:r>
        <w:t>Real-world datasets often contain large numbers of numerical records, and it can be difficult to identify unusual patterns by manual inspection alone. This project investigates whether statistical analysis can be used to flag numerical data that behaves differently from an expected first-digit pattern. The project uses Benford’s Law as the analysis framework and applies statistical testing to determine whether the observed digit distribution differs significantly from the expected distribution.</w:t>
      </w:r>
    </w:p>
    <w:tbl>
      <w:tblPr>
        <w:tblW w:type="auto" w:w="0"/>
        <w:tblLook w:firstColumn="1" w:firstRow="1" w:lastColumn="0" w:lastRow="0" w:noHBand="0" w:noVBand="1" w:val="04A0"/>
      </w:tblPr>
      <w:tblGrid>
        <w:gridCol w:w="9936"/>
      </w:tblGrid>
      <w:tr>
        <w:tc>
          <w:tcPr>
            <w:tcW w:type="dxa" w:w="9936"/>
            <w:shd w:fill="F0F0F0"/>
          </w:tcPr>
          <w:p>
            <w:r/>
            <w:r>
              <w:rPr>
                <w:b/>
                <w:color w:val="333333"/>
                <w:sz w:val="21"/>
              </w:rPr>
              <w:t>Important interpretation</w:t>
            </w:r>
          </w:p>
          <w:p>
            <w:pPr>
              <w:spacing w:after="0"/>
            </w:pPr>
            <w:r>
              <w:t>A significant deviation from Benford’s Law does not prove fraud or manipulation. It only identifies a statistically unusual pattern that may require further investigation.</w:t>
            </w:r>
          </w:p>
        </w:tc>
      </w:tr>
    </w:tbl>
    <w:tbl>
      <w:tblPr>
        <w:tblW w:type="auto" w:w="0"/>
        <w:jc w:val="center"/>
        <w:tblLayout w:type="autofit"/>
        <w:tblLook w:firstColumn="1" w:firstRow="1" w:lastColumn="0" w:lastRow="0" w:noHBand="0" w:noVBand="1" w:val="04A0"/>
      </w:tblPr>
      <w:tblGrid>
        <w:gridCol w:w="9936"/>
      </w:tblGrid>
      <w:tr>
        <w:tc>
          <w:tcPr>
            <w:tcW w:type="dxa" w:w="9936"/>
            <w:shd w:fill="333333"/>
            <w:vAlign w:val="center"/>
          </w:tcPr>
          <w:p>
            <w:pPr>
              <w:jc w:val="center"/>
            </w:pPr>
            <w:r/>
            <w:r>
              <w:rPr>
                <w:rFonts w:ascii="Aptos" w:hAnsi="Aptos"/>
                <w:b/>
                <w:color w:val="FFFFFF"/>
                <w:sz w:val="22"/>
              </w:rPr>
              <w:t>02  ABSTRACT</w:t>
            </w:r>
          </w:p>
        </w:tc>
      </w:tr>
    </w:tbl>
    <w:p>
      <w:pPr>
        <w:spacing w:after="0"/>
      </w:pPr>
    </w:p>
    <w:p>
      <w:pPr>
        <w:spacing w:before="160"/>
      </w:pPr>
      <w:r>
        <w:t>The project presents an R-based statistical approach for investigating anomalies in real-world numerical datasets. After importing and cleaning the data, suitable numerical values are examined through summary statistics and visualizations. The first digit of each valid observation is extracted and its observed frequency is compared with the theoretical first-digit distribution described by Benford’s Law. A Chi-square goodness-of-fit test is then used to assess whether the difference between the observed and expected frequencies is statistically significant. Datasets or subsets showing unusual behaviour are flagged for further investigation, while the final interpretation clearly distinguishes statistical evidence from proof of fraud.</w:t>
      </w:r>
    </w:p>
    <w:tbl>
      <w:tblPr>
        <w:tblW w:type="auto" w:w="0"/>
        <w:jc w:val="center"/>
        <w:tblLayout w:type="autofit"/>
        <w:tblLook w:firstColumn="1" w:firstRow="1" w:lastColumn="0" w:lastRow="0" w:noHBand="0" w:noVBand="1" w:val="04A0"/>
      </w:tblPr>
      <w:tblGrid>
        <w:gridCol w:w="9936"/>
      </w:tblGrid>
      <w:tr>
        <w:tc>
          <w:tcPr>
            <w:tcW w:type="dxa" w:w="9936"/>
            <w:shd w:fill="333333"/>
            <w:vAlign w:val="center"/>
          </w:tcPr>
          <w:p>
            <w:pPr>
              <w:jc w:val="center"/>
            </w:pPr>
            <w:r/>
            <w:r>
              <w:rPr>
                <w:rFonts w:ascii="Aptos" w:hAnsi="Aptos"/>
                <w:b/>
                <w:color w:val="FFFFFF"/>
                <w:sz w:val="22"/>
              </w:rPr>
              <w:t>03  PROJECT FLOW</w:t>
            </w:r>
          </w:p>
        </w:tc>
      </w:tr>
    </w:tbl>
    <w:p>
      <w:pPr>
        <w:spacing w:after="0"/>
      </w:pPr>
    </w:p>
    <w:tbl>
      <w:tblPr>
        <w:tblW w:type="auto" w:w="0"/>
        <w:jc w:val="center"/>
        <w:tblLook w:firstColumn="1" w:firstRow="1" w:lastColumn="0" w:lastRow="0" w:noHBand="0" w:noVBand="1" w:val="04A0"/>
      </w:tblPr>
      <w:tblGrid>
        <w:gridCol w:w="4968"/>
        <w:gridCol w:w="4968"/>
      </w:tblGrid>
      <w:tr>
        <w:tc>
          <w:tcPr>
            <w:tcW w:type="dxa" w:w="4968"/>
            <w:vAlign w:val="center"/>
            <w:shd w:fill="333333"/>
            <w:shd w:fill="5B2333"/>
          </w:tcPr>
          <w:p>
            <w:pPr>
              <w:jc w:val="left"/>
            </w:pPr>
            <w:r>
              <w:rPr>
                <w:rFonts w:ascii="Aptos" w:hAnsi="Aptos"/>
                <w:b/>
                <w:color w:val="FFFFFF"/>
                <w:sz w:val="18"/>
              </w:rPr>
            </w:r>
            <w:r>
              <w:rPr>
                <w:rFonts w:ascii="Aptos" w:hAnsi="Aptos"/>
                <w:b/>
                <w:color w:val="FFFFFF"/>
                <w:sz w:val="18"/>
              </w:rPr>
              <w:t>Stage</w:t>
            </w:r>
          </w:p>
        </w:tc>
        <w:tc>
          <w:tcPr>
            <w:tcW w:type="dxa" w:w="4968"/>
            <w:vAlign w:val="center"/>
            <w:shd w:fill="333333"/>
            <w:shd w:fill="5B2333"/>
          </w:tcPr>
          <w:p>
            <w:pPr>
              <w:jc w:val="left"/>
            </w:pPr>
            <w:r>
              <w:rPr>
                <w:rFonts w:ascii="Aptos" w:hAnsi="Aptos"/>
                <w:b/>
                <w:color w:val="FFFFFF"/>
                <w:sz w:val="18"/>
              </w:rPr>
            </w:r>
            <w:r>
              <w:rPr>
                <w:rFonts w:ascii="Aptos" w:hAnsi="Aptos"/>
                <w:b/>
                <w:color w:val="FFFFFF"/>
                <w:sz w:val="18"/>
              </w:rPr>
              <w:t>What happens</w:t>
            </w:r>
          </w:p>
        </w:tc>
      </w:tr>
      <w:tr>
        <w:tc>
          <w:tcPr>
            <w:tcW w:type="dxa" w:w="4968"/>
            <w:vAlign w:val="center"/>
            <w:shd w:fill="FFFFFF"/>
          </w:tcPr>
          <w:p>
            <w:pPr>
              <w:jc w:val="left"/>
            </w:pPr>
            <w:r>
              <w:rPr>
                <w:rFonts w:ascii="Aptos" w:hAnsi="Aptos"/>
                <w:color w:val="252525"/>
                <w:sz w:val="18"/>
              </w:rPr>
            </w:r>
            <w:r>
              <w:rPr>
                <w:rFonts w:ascii="Aptos" w:hAnsi="Aptos"/>
                <w:b/>
                <w:color w:val="5B2333"/>
                <w:sz w:val="18"/>
              </w:rPr>
              <w:t>1. Dataset Selection</w:t>
            </w:r>
          </w:p>
        </w:tc>
        <w:tc>
          <w:tcPr>
            <w:tcW w:type="dxa" w:w="4968"/>
            <w:vAlign w:val="center"/>
            <w:shd w:fill="FFFFFF"/>
          </w:tcPr>
          <w:p>
            <w:pPr>
              <w:jc w:val="left"/>
            </w:pPr>
            <w:r>
              <w:rPr>
                <w:rFonts w:ascii="Aptos" w:hAnsi="Aptos"/>
                <w:color w:val="252525"/>
                <w:sz w:val="18"/>
              </w:rPr>
            </w:r>
            <w:r>
              <w:rPr>
                <w:rFonts w:ascii="Aptos" w:hAnsi="Aptos"/>
                <w:b w:val="0"/>
                <w:color w:val="252525"/>
                <w:sz w:val="18"/>
              </w:rPr>
              <w:t>Select a real-world numerical dataset suitable for first-digit analysis.</w:t>
            </w:r>
          </w:p>
        </w:tc>
      </w:tr>
      <w:tr>
        <w:tc>
          <w:tcPr>
            <w:tcW w:type="dxa" w:w="4968"/>
            <w:vAlign w:val="center"/>
            <w:shd w:fill="F7F3F0"/>
          </w:tcPr>
          <w:p>
            <w:pPr>
              <w:jc w:val="left"/>
            </w:pPr>
            <w:r>
              <w:rPr>
                <w:rFonts w:ascii="Aptos" w:hAnsi="Aptos"/>
                <w:color w:val="252525"/>
                <w:sz w:val="18"/>
              </w:rPr>
            </w:r>
            <w:r>
              <w:rPr>
                <w:rFonts w:ascii="Aptos" w:hAnsi="Aptos"/>
                <w:b/>
                <w:color w:val="5B2333"/>
                <w:sz w:val="18"/>
              </w:rPr>
              <w:t>2. Data Preparation</w:t>
            </w:r>
          </w:p>
        </w:tc>
        <w:tc>
          <w:tcPr>
            <w:tcW w:type="dxa" w:w="4968"/>
            <w:vAlign w:val="center"/>
            <w:shd w:fill="F7F3F0"/>
          </w:tcPr>
          <w:p>
            <w:pPr>
              <w:jc w:val="left"/>
            </w:pPr>
            <w:r>
              <w:rPr>
                <w:rFonts w:ascii="Aptos" w:hAnsi="Aptos"/>
                <w:color w:val="252525"/>
                <w:sz w:val="18"/>
              </w:rPr>
            </w:r>
            <w:r>
              <w:rPr>
                <w:rFonts w:ascii="Aptos" w:hAnsi="Aptos"/>
                <w:b w:val="0"/>
                <w:color w:val="252525"/>
                <w:sz w:val="18"/>
              </w:rPr>
              <w:t>Import the dataset in R, inspect variables, remove invalid observations, and prepare the numerical field.</w:t>
            </w:r>
          </w:p>
        </w:tc>
      </w:tr>
      <w:tr>
        <w:tc>
          <w:tcPr>
            <w:tcW w:type="dxa" w:w="4968"/>
            <w:vAlign w:val="center"/>
            <w:shd w:fill="FFFFFF"/>
          </w:tcPr>
          <w:p>
            <w:pPr>
              <w:jc w:val="left"/>
            </w:pPr>
            <w:r>
              <w:rPr>
                <w:rFonts w:ascii="Aptos" w:hAnsi="Aptos"/>
                <w:color w:val="252525"/>
                <w:sz w:val="18"/>
              </w:rPr>
            </w:r>
            <w:r>
              <w:rPr>
                <w:rFonts w:ascii="Aptos" w:hAnsi="Aptos"/>
                <w:b/>
                <w:color w:val="5B2333"/>
                <w:sz w:val="18"/>
              </w:rPr>
              <w:t>3. Exploratory Analysis</w:t>
            </w:r>
          </w:p>
        </w:tc>
        <w:tc>
          <w:tcPr>
            <w:tcW w:type="dxa" w:w="4968"/>
            <w:vAlign w:val="center"/>
            <w:shd w:fill="FFFFFF"/>
          </w:tcPr>
          <w:p>
            <w:pPr>
              <w:jc w:val="left"/>
            </w:pPr>
            <w:r>
              <w:rPr>
                <w:rFonts w:ascii="Aptos" w:hAnsi="Aptos"/>
                <w:color w:val="252525"/>
                <w:sz w:val="18"/>
              </w:rPr>
            </w:r>
            <w:r>
              <w:rPr>
                <w:rFonts w:ascii="Aptos" w:hAnsi="Aptos"/>
                <w:b w:val="0"/>
                <w:color w:val="252525"/>
                <w:sz w:val="18"/>
              </w:rPr>
              <w:t>Calculate summary statistics and use appropriate graphs to understand the data before testing.</w:t>
            </w:r>
          </w:p>
        </w:tc>
      </w:tr>
      <w:tr>
        <w:tc>
          <w:tcPr>
            <w:tcW w:type="dxa" w:w="4968"/>
            <w:vAlign w:val="center"/>
            <w:shd w:fill="F7F3F0"/>
          </w:tcPr>
          <w:p>
            <w:pPr>
              <w:jc w:val="left"/>
            </w:pPr>
            <w:r>
              <w:rPr>
                <w:rFonts w:ascii="Aptos" w:hAnsi="Aptos"/>
                <w:color w:val="252525"/>
                <w:sz w:val="18"/>
              </w:rPr>
            </w:r>
            <w:r>
              <w:rPr>
                <w:rFonts w:ascii="Aptos" w:hAnsi="Aptos"/>
                <w:b/>
                <w:color w:val="5B2333"/>
                <w:sz w:val="18"/>
              </w:rPr>
              <w:t>4. First-Digit Extraction</w:t>
            </w:r>
          </w:p>
        </w:tc>
        <w:tc>
          <w:tcPr>
            <w:tcW w:type="dxa" w:w="4968"/>
            <w:vAlign w:val="center"/>
            <w:shd w:fill="F7F3F0"/>
          </w:tcPr>
          <w:p>
            <w:pPr>
              <w:jc w:val="left"/>
            </w:pPr>
            <w:r>
              <w:rPr>
                <w:rFonts w:ascii="Aptos" w:hAnsi="Aptos"/>
                <w:color w:val="252525"/>
                <w:sz w:val="18"/>
              </w:rPr>
            </w:r>
            <w:r>
              <w:rPr>
                <w:rFonts w:ascii="Aptos" w:hAnsi="Aptos"/>
                <w:b w:val="0"/>
                <w:color w:val="252525"/>
                <w:sz w:val="18"/>
              </w:rPr>
              <w:t>Extract the leading digit from each valid numerical observation and calculate observed frequencies.</w:t>
            </w:r>
          </w:p>
        </w:tc>
      </w:tr>
      <w:tr>
        <w:tc>
          <w:tcPr>
            <w:tcW w:type="dxa" w:w="4968"/>
            <w:vAlign w:val="center"/>
            <w:shd w:fill="FFFFFF"/>
          </w:tcPr>
          <w:p>
            <w:pPr>
              <w:jc w:val="left"/>
            </w:pPr>
            <w:r>
              <w:rPr>
                <w:rFonts w:ascii="Aptos" w:hAnsi="Aptos"/>
                <w:color w:val="252525"/>
                <w:sz w:val="18"/>
              </w:rPr>
            </w:r>
            <w:r>
              <w:rPr>
                <w:rFonts w:ascii="Aptos" w:hAnsi="Aptos"/>
                <w:b/>
                <w:color w:val="5B2333"/>
                <w:sz w:val="18"/>
              </w:rPr>
              <w:t>5. Benford Expected Distribution</w:t>
            </w:r>
          </w:p>
        </w:tc>
        <w:tc>
          <w:tcPr>
            <w:tcW w:type="dxa" w:w="4968"/>
            <w:vAlign w:val="center"/>
            <w:shd w:fill="FFFFFF"/>
          </w:tcPr>
          <w:p>
            <w:pPr>
              <w:jc w:val="left"/>
            </w:pPr>
            <w:r>
              <w:rPr>
                <w:rFonts w:ascii="Aptos" w:hAnsi="Aptos"/>
                <w:color w:val="252525"/>
                <w:sz w:val="18"/>
              </w:rPr>
            </w:r>
            <w:r>
              <w:rPr>
                <w:rFonts w:ascii="Aptos" w:hAnsi="Aptos"/>
                <w:b w:val="0"/>
                <w:color w:val="252525"/>
                <w:sz w:val="18"/>
              </w:rPr>
              <w:t>Calculate the theoretical expected probability for digits 1–9 using Benford’s Law.</w:t>
            </w:r>
          </w:p>
        </w:tc>
      </w:tr>
      <w:tr>
        <w:tc>
          <w:tcPr>
            <w:tcW w:type="dxa" w:w="4968"/>
            <w:vAlign w:val="center"/>
            <w:shd w:fill="F7F3F0"/>
          </w:tcPr>
          <w:p>
            <w:pPr>
              <w:jc w:val="left"/>
            </w:pPr>
            <w:r>
              <w:rPr>
                <w:rFonts w:ascii="Aptos" w:hAnsi="Aptos"/>
                <w:color w:val="252525"/>
                <w:sz w:val="18"/>
              </w:rPr>
            </w:r>
            <w:r>
              <w:rPr>
                <w:rFonts w:ascii="Aptos" w:hAnsi="Aptos"/>
                <w:b/>
                <w:color w:val="5B2333"/>
                <w:sz w:val="18"/>
              </w:rPr>
              <w:t>6. Statistical Comparison</w:t>
            </w:r>
          </w:p>
        </w:tc>
        <w:tc>
          <w:tcPr>
            <w:tcW w:type="dxa" w:w="4968"/>
            <w:vAlign w:val="center"/>
            <w:shd w:fill="F7F3F0"/>
          </w:tcPr>
          <w:p>
            <w:pPr>
              <w:jc w:val="left"/>
            </w:pPr>
            <w:r>
              <w:rPr>
                <w:rFonts w:ascii="Aptos" w:hAnsi="Aptos"/>
                <w:color w:val="252525"/>
                <w:sz w:val="18"/>
              </w:rPr>
            </w:r>
            <w:r>
              <w:rPr>
                <w:rFonts w:ascii="Aptos" w:hAnsi="Aptos"/>
                <w:b w:val="0"/>
                <w:color w:val="252525"/>
                <w:sz w:val="18"/>
              </w:rPr>
              <w:t>Compare observed and expected frequencies using the Chi-square goodness-of-fit test.</w:t>
            </w:r>
          </w:p>
        </w:tc>
      </w:tr>
      <w:tr>
        <w:tc>
          <w:tcPr>
            <w:tcW w:type="dxa" w:w="4968"/>
            <w:vAlign w:val="center"/>
            <w:shd w:fill="FFFFFF"/>
          </w:tcPr>
          <w:p>
            <w:pPr>
              <w:jc w:val="left"/>
            </w:pPr>
            <w:r>
              <w:rPr>
                <w:rFonts w:ascii="Aptos" w:hAnsi="Aptos"/>
                <w:color w:val="252525"/>
                <w:sz w:val="18"/>
              </w:rPr>
            </w:r>
            <w:r>
              <w:rPr>
                <w:rFonts w:ascii="Aptos" w:hAnsi="Aptos"/>
                <w:b/>
                <w:color w:val="5B2333"/>
                <w:sz w:val="18"/>
              </w:rPr>
              <w:t>7. Anomaly Flagging</w:t>
            </w:r>
          </w:p>
        </w:tc>
        <w:tc>
          <w:tcPr>
            <w:tcW w:type="dxa" w:w="4968"/>
            <w:vAlign w:val="center"/>
            <w:shd w:fill="FFFFFF"/>
          </w:tcPr>
          <w:p>
            <w:pPr>
              <w:jc w:val="left"/>
            </w:pPr>
            <w:r>
              <w:rPr>
                <w:rFonts w:ascii="Aptos" w:hAnsi="Aptos"/>
                <w:color w:val="252525"/>
                <w:sz w:val="18"/>
              </w:rPr>
            </w:r>
            <w:r>
              <w:rPr>
                <w:rFonts w:ascii="Aptos" w:hAnsi="Aptos"/>
                <w:b w:val="0"/>
                <w:color w:val="252525"/>
                <w:sz w:val="18"/>
              </w:rPr>
              <w:t>Identify datasets or meaningful subsets with statistically significant deviations.</w:t>
            </w:r>
          </w:p>
        </w:tc>
      </w:tr>
      <w:tr>
        <w:tc>
          <w:tcPr>
            <w:tcW w:type="dxa" w:w="4968"/>
            <w:vAlign w:val="center"/>
            <w:shd w:fill="F7F3F0"/>
          </w:tcPr>
          <w:p>
            <w:pPr>
              <w:jc w:val="left"/>
            </w:pPr>
            <w:r>
              <w:rPr>
                <w:rFonts w:ascii="Aptos" w:hAnsi="Aptos"/>
                <w:color w:val="252525"/>
                <w:sz w:val="18"/>
              </w:rPr>
            </w:r>
            <w:r>
              <w:rPr>
                <w:rFonts w:ascii="Aptos" w:hAnsi="Aptos"/>
                <w:b/>
                <w:color w:val="5B2333"/>
                <w:sz w:val="18"/>
              </w:rPr>
              <w:t>8. Interpretation</w:t>
            </w:r>
          </w:p>
        </w:tc>
        <w:tc>
          <w:tcPr>
            <w:tcW w:type="dxa" w:w="4968"/>
            <w:vAlign w:val="center"/>
            <w:shd w:fill="F7F3F0"/>
          </w:tcPr>
          <w:p>
            <w:pPr>
              <w:jc w:val="left"/>
            </w:pPr>
            <w:r>
              <w:rPr>
                <w:rFonts w:ascii="Aptos" w:hAnsi="Aptos"/>
                <w:color w:val="252525"/>
                <w:sz w:val="18"/>
              </w:rPr>
            </w:r>
            <w:r>
              <w:rPr>
                <w:rFonts w:ascii="Aptos" w:hAnsi="Aptos"/>
                <w:b w:val="0"/>
                <w:color w:val="252525"/>
                <w:sz w:val="18"/>
              </w:rPr>
              <w:t>Investigate possible explanations and report findings without treating deviation as proof of fraud.</w:t>
            </w:r>
          </w:p>
        </w:tc>
      </w:tr>
    </w:tbl>
    <w:p>
      <w:r>
        <w:br w:type="page"/>
      </w:r>
    </w:p>
    <w:tbl>
      <w:tblPr>
        <w:tblW w:type="auto" w:w="0"/>
        <w:jc w:val="center"/>
        <w:tblLayout w:type="autofit"/>
        <w:tblLook w:firstColumn="1" w:firstRow="1" w:lastColumn="0" w:lastRow="0" w:noHBand="0" w:noVBand="1" w:val="04A0"/>
      </w:tblPr>
      <w:tblGrid>
        <w:gridCol w:w="9936"/>
      </w:tblGrid>
      <w:tr>
        <w:tc>
          <w:tcPr>
            <w:tcW w:type="dxa" w:w="9936"/>
            <w:shd w:fill="333333"/>
            <w:vAlign w:val="center"/>
          </w:tcPr>
          <w:p>
            <w:pPr>
              <w:jc w:val="center"/>
            </w:pPr>
            <w:r/>
            <w:r>
              <w:rPr>
                <w:rFonts w:ascii="Aptos" w:hAnsi="Aptos"/>
                <w:b/>
                <w:color w:val="FFFFFF"/>
                <w:sz w:val="22"/>
              </w:rPr>
              <w:t>04  BENFORD’S LAW — CORE IDEA</w:t>
            </w:r>
          </w:p>
        </w:tc>
      </w:tr>
    </w:tbl>
    <w:p>
      <w:pPr>
        <w:spacing w:after="0"/>
      </w:pPr>
    </w:p>
    <w:p>
      <w:pPr>
        <w:spacing w:before="160"/>
      </w:pPr>
      <w:r>
        <w:t>Benford’s Law describes an unequal distribution of first digits in many naturally occurring numerical datasets. The digits 1–9 are therefore not expected to appear equally often as the leading digit. Under the standard first-digit model, digit 1 has the highest expected probability and digit 9 has the lowest.</w:t>
      </w:r>
    </w:p>
    <w:tbl>
      <w:tblPr>
        <w:tblW w:type="auto" w:w="0"/>
        <w:tblLook w:firstColumn="1" w:firstRow="1" w:lastColumn="0" w:lastRow="0" w:noHBand="0" w:noVBand="1" w:val="04A0"/>
      </w:tblPr>
      <w:tblGrid>
        <w:gridCol w:w="9936"/>
      </w:tblGrid>
      <w:tr>
        <w:tc>
          <w:tcPr>
            <w:tcW w:type="dxa" w:w="9936"/>
            <w:shd w:fill="F0F0F0"/>
          </w:tcPr>
          <w:p>
            <w:r/>
            <w:r>
              <w:rPr>
                <w:b/>
                <w:color w:val="333333"/>
                <w:sz w:val="21"/>
              </w:rPr>
              <w:t>Benford’s Law formula</w:t>
            </w:r>
          </w:p>
          <w:p>
            <w:pPr>
              <w:spacing w:after="0"/>
            </w:pPr>
            <w:r>
              <w:t>P(d) = log₁₀(1 + 1/d),   where d = 1, 2, …, 9</w:t>
            </w:r>
          </w:p>
        </w:tc>
      </w:tr>
    </w:tbl>
    <w:p>
      <w:r>
        <w:rPr>
          <w:b/>
        </w:rPr>
        <w:t>Expected first-digit probabilities:</w:t>
      </w:r>
    </w:p>
    <w:tbl>
      <w:tblPr>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vAlign w:val="center"/>
            <w:shd w:fill="555555"/>
            <w:shd w:fill="5B2333"/>
          </w:tcPr>
          <w:p>
            <w:pPr>
              <w:jc w:val="left"/>
            </w:pPr>
            <w:r>
              <w:rPr>
                <w:rFonts w:ascii="Aptos" w:hAnsi="Aptos"/>
                <w:b/>
                <w:color w:val="FFFFFF"/>
                <w:sz w:val="18"/>
              </w:rPr>
            </w:r>
            <w:r>
              <w:rPr>
                <w:rFonts w:ascii="Aptos" w:hAnsi="Aptos"/>
                <w:b/>
                <w:color w:val="FFFFFF"/>
                <w:sz w:val="18"/>
              </w:rPr>
              <w:t>1</w:t>
            </w:r>
          </w:p>
        </w:tc>
        <w:tc>
          <w:tcPr>
            <w:tcW w:type="dxa" w:w="1104"/>
            <w:vAlign w:val="center"/>
            <w:shd w:fill="555555"/>
            <w:shd w:fill="5B2333"/>
          </w:tcPr>
          <w:p>
            <w:pPr>
              <w:jc w:val="left"/>
            </w:pPr>
            <w:r>
              <w:rPr>
                <w:rFonts w:ascii="Aptos" w:hAnsi="Aptos"/>
                <w:b/>
                <w:color w:val="FFFFFF"/>
                <w:sz w:val="18"/>
              </w:rPr>
            </w:r>
            <w:r>
              <w:rPr>
                <w:rFonts w:ascii="Aptos" w:hAnsi="Aptos"/>
                <w:b/>
                <w:color w:val="FFFFFF"/>
                <w:sz w:val="18"/>
              </w:rPr>
              <w:t>2</w:t>
            </w:r>
          </w:p>
        </w:tc>
        <w:tc>
          <w:tcPr>
            <w:tcW w:type="dxa" w:w="1104"/>
            <w:vAlign w:val="center"/>
            <w:shd w:fill="555555"/>
            <w:shd w:fill="5B2333"/>
          </w:tcPr>
          <w:p>
            <w:pPr>
              <w:jc w:val="left"/>
            </w:pPr>
            <w:r>
              <w:rPr>
                <w:rFonts w:ascii="Aptos" w:hAnsi="Aptos"/>
                <w:b/>
                <w:color w:val="FFFFFF"/>
                <w:sz w:val="18"/>
              </w:rPr>
            </w:r>
            <w:r>
              <w:rPr>
                <w:rFonts w:ascii="Aptos" w:hAnsi="Aptos"/>
                <w:b/>
                <w:color w:val="FFFFFF"/>
                <w:sz w:val="18"/>
              </w:rPr>
              <w:t>3</w:t>
            </w:r>
          </w:p>
        </w:tc>
        <w:tc>
          <w:tcPr>
            <w:tcW w:type="dxa" w:w="1104"/>
            <w:vAlign w:val="center"/>
            <w:shd w:fill="555555"/>
            <w:shd w:fill="5B2333"/>
          </w:tcPr>
          <w:p>
            <w:pPr>
              <w:jc w:val="left"/>
            </w:pPr>
            <w:r>
              <w:rPr>
                <w:rFonts w:ascii="Aptos" w:hAnsi="Aptos"/>
                <w:b/>
                <w:color w:val="FFFFFF"/>
                <w:sz w:val="18"/>
              </w:rPr>
            </w:r>
            <w:r>
              <w:rPr>
                <w:rFonts w:ascii="Aptos" w:hAnsi="Aptos"/>
                <w:b/>
                <w:color w:val="FFFFFF"/>
                <w:sz w:val="18"/>
              </w:rPr>
              <w:t>4</w:t>
            </w:r>
          </w:p>
        </w:tc>
        <w:tc>
          <w:tcPr>
            <w:tcW w:type="dxa" w:w="1104"/>
            <w:vAlign w:val="center"/>
            <w:shd w:fill="555555"/>
            <w:shd w:fill="5B2333"/>
          </w:tcPr>
          <w:p>
            <w:pPr>
              <w:jc w:val="left"/>
            </w:pPr>
            <w:r>
              <w:rPr>
                <w:rFonts w:ascii="Aptos" w:hAnsi="Aptos"/>
                <w:b/>
                <w:color w:val="FFFFFF"/>
                <w:sz w:val="18"/>
              </w:rPr>
            </w:r>
            <w:r>
              <w:rPr>
                <w:rFonts w:ascii="Aptos" w:hAnsi="Aptos"/>
                <w:b/>
                <w:color w:val="FFFFFF"/>
                <w:sz w:val="18"/>
              </w:rPr>
              <w:t>5</w:t>
            </w:r>
          </w:p>
        </w:tc>
        <w:tc>
          <w:tcPr>
            <w:tcW w:type="dxa" w:w="1104"/>
            <w:vAlign w:val="center"/>
            <w:shd w:fill="555555"/>
            <w:shd w:fill="5B2333"/>
          </w:tcPr>
          <w:p>
            <w:pPr>
              <w:jc w:val="left"/>
            </w:pPr>
            <w:r>
              <w:rPr>
                <w:rFonts w:ascii="Aptos" w:hAnsi="Aptos"/>
                <w:b/>
                <w:color w:val="FFFFFF"/>
                <w:sz w:val="18"/>
              </w:rPr>
            </w:r>
            <w:r>
              <w:rPr>
                <w:rFonts w:ascii="Aptos" w:hAnsi="Aptos"/>
                <w:b/>
                <w:color w:val="FFFFFF"/>
                <w:sz w:val="18"/>
              </w:rPr>
              <w:t>6</w:t>
            </w:r>
          </w:p>
        </w:tc>
        <w:tc>
          <w:tcPr>
            <w:tcW w:type="dxa" w:w="1104"/>
            <w:vAlign w:val="center"/>
            <w:shd w:fill="555555"/>
            <w:shd w:fill="5B2333"/>
          </w:tcPr>
          <w:p>
            <w:pPr>
              <w:jc w:val="left"/>
            </w:pPr>
            <w:r>
              <w:rPr>
                <w:rFonts w:ascii="Aptos" w:hAnsi="Aptos"/>
                <w:b/>
                <w:color w:val="FFFFFF"/>
                <w:sz w:val="18"/>
              </w:rPr>
            </w:r>
            <w:r>
              <w:rPr>
                <w:rFonts w:ascii="Aptos" w:hAnsi="Aptos"/>
                <w:b/>
                <w:color w:val="FFFFFF"/>
                <w:sz w:val="18"/>
              </w:rPr>
              <w:t>7</w:t>
            </w:r>
          </w:p>
        </w:tc>
        <w:tc>
          <w:tcPr>
            <w:tcW w:type="dxa" w:w="1104"/>
            <w:vAlign w:val="center"/>
            <w:shd w:fill="555555"/>
            <w:shd w:fill="5B2333"/>
          </w:tcPr>
          <w:p>
            <w:pPr>
              <w:jc w:val="left"/>
            </w:pPr>
            <w:r>
              <w:rPr>
                <w:rFonts w:ascii="Aptos" w:hAnsi="Aptos"/>
                <w:b/>
                <w:color w:val="FFFFFF"/>
                <w:sz w:val="18"/>
              </w:rPr>
            </w:r>
            <w:r>
              <w:rPr>
                <w:rFonts w:ascii="Aptos" w:hAnsi="Aptos"/>
                <w:b/>
                <w:color w:val="FFFFFF"/>
                <w:sz w:val="18"/>
              </w:rPr>
              <w:t>8</w:t>
            </w:r>
          </w:p>
        </w:tc>
        <w:tc>
          <w:tcPr>
            <w:tcW w:type="dxa" w:w="1104"/>
            <w:vAlign w:val="center"/>
            <w:shd w:fill="555555"/>
            <w:shd w:fill="5B2333"/>
          </w:tcPr>
          <w:p>
            <w:pPr>
              <w:jc w:val="left"/>
            </w:pPr>
            <w:r>
              <w:rPr>
                <w:rFonts w:ascii="Aptos" w:hAnsi="Aptos"/>
                <w:b/>
                <w:color w:val="FFFFFF"/>
                <w:sz w:val="18"/>
              </w:rPr>
            </w:r>
            <w:r>
              <w:rPr>
                <w:rFonts w:ascii="Aptos" w:hAnsi="Aptos"/>
                <w:b/>
                <w:color w:val="FFFFFF"/>
                <w:sz w:val="18"/>
              </w:rPr>
              <w:t>9</w:t>
            </w:r>
          </w:p>
        </w:tc>
      </w:tr>
      <w:tr>
        <w:tc>
          <w:tcPr>
            <w:tcW w:type="dxa" w:w="1104"/>
            <w:vAlign w:val="center"/>
            <w:shd w:fill="F0F0F0"/>
            <w:shd w:fill="FFFFFF"/>
          </w:tcPr>
          <w:p>
            <w:pPr>
              <w:jc w:val="left"/>
            </w:pPr>
            <w:r>
              <w:rPr>
                <w:rFonts w:ascii="Aptos" w:hAnsi="Aptos"/>
                <w:color w:val="252525"/>
                <w:sz w:val="18"/>
              </w:rPr>
            </w:r>
            <w:r>
              <w:rPr>
                <w:rFonts w:ascii="Aptos" w:hAnsi="Aptos"/>
                <w:b w:val="0"/>
                <w:color w:val="252525"/>
                <w:sz w:val="18"/>
              </w:rPr>
              <w:t>30.10%</w:t>
            </w:r>
          </w:p>
        </w:tc>
        <w:tc>
          <w:tcPr>
            <w:tcW w:type="dxa" w:w="1104"/>
            <w:vAlign w:val="center"/>
            <w:shd w:fill="F0F0F0"/>
            <w:shd w:fill="FFFFFF"/>
          </w:tcPr>
          <w:p>
            <w:pPr>
              <w:jc w:val="left"/>
            </w:pPr>
            <w:r>
              <w:rPr>
                <w:rFonts w:ascii="Aptos" w:hAnsi="Aptos"/>
                <w:color w:val="252525"/>
                <w:sz w:val="18"/>
              </w:rPr>
            </w:r>
            <w:r>
              <w:rPr>
                <w:rFonts w:ascii="Aptos" w:hAnsi="Aptos"/>
                <w:b w:val="0"/>
                <w:color w:val="252525"/>
                <w:sz w:val="18"/>
              </w:rPr>
              <w:t>17.61%</w:t>
            </w:r>
          </w:p>
        </w:tc>
        <w:tc>
          <w:tcPr>
            <w:tcW w:type="dxa" w:w="1104"/>
            <w:vAlign w:val="center"/>
            <w:shd w:fill="F0F0F0"/>
            <w:shd w:fill="FFFFFF"/>
          </w:tcPr>
          <w:p>
            <w:pPr>
              <w:jc w:val="left"/>
            </w:pPr>
            <w:r>
              <w:rPr>
                <w:rFonts w:ascii="Aptos" w:hAnsi="Aptos"/>
                <w:color w:val="252525"/>
                <w:sz w:val="18"/>
              </w:rPr>
            </w:r>
            <w:r>
              <w:rPr>
                <w:rFonts w:ascii="Aptos" w:hAnsi="Aptos"/>
                <w:b w:val="0"/>
                <w:color w:val="252525"/>
                <w:sz w:val="18"/>
              </w:rPr>
              <w:t>12.49%</w:t>
            </w:r>
          </w:p>
        </w:tc>
        <w:tc>
          <w:tcPr>
            <w:tcW w:type="dxa" w:w="1104"/>
            <w:vAlign w:val="center"/>
            <w:shd w:fill="F0F0F0"/>
            <w:shd w:fill="FFFFFF"/>
          </w:tcPr>
          <w:p>
            <w:pPr>
              <w:jc w:val="left"/>
            </w:pPr>
            <w:r>
              <w:rPr>
                <w:rFonts w:ascii="Aptos" w:hAnsi="Aptos"/>
                <w:color w:val="252525"/>
                <w:sz w:val="18"/>
              </w:rPr>
            </w:r>
            <w:r>
              <w:rPr>
                <w:rFonts w:ascii="Aptos" w:hAnsi="Aptos"/>
                <w:b w:val="0"/>
                <w:color w:val="252525"/>
                <w:sz w:val="18"/>
              </w:rPr>
              <w:t>9.69%</w:t>
            </w:r>
          </w:p>
        </w:tc>
        <w:tc>
          <w:tcPr>
            <w:tcW w:type="dxa" w:w="1104"/>
            <w:vAlign w:val="center"/>
            <w:shd w:fill="F0F0F0"/>
            <w:shd w:fill="FFFFFF"/>
          </w:tcPr>
          <w:p>
            <w:pPr>
              <w:jc w:val="left"/>
            </w:pPr>
            <w:r>
              <w:rPr>
                <w:rFonts w:ascii="Aptos" w:hAnsi="Aptos"/>
                <w:color w:val="252525"/>
                <w:sz w:val="18"/>
              </w:rPr>
            </w:r>
            <w:r>
              <w:rPr>
                <w:rFonts w:ascii="Aptos" w:hAnsi="Aptos"/>
                <w:b w:val="0"/>
                <w:color w:val="252525"/>
                <w:sz w:val="18"/>
              </w:rPr>
              <w:t>7.92%</w:t>
            </w:r>
          </w:p>
        </w:tc>
        <w:tc>
          <w:tcPr>
            <w:tcW w:type="dxa" w:w="1104"/>
            <w:vAlign w:val="center"/>
            <w:shd w:fill="F0F0F0"/>
            <w:shd w:fill="FFFFFF"/>
          </w:tcPr>
          <w:p>
            <w:pPr>
              <w:jc w:val="left"/>
            </w:pPr>
            <w:r>
              <w:rPr>
                <w:rFonts w:ascii="Aptos" w:hAnsi="Aptos"/>
                <w:color w:val="252525"/>
                <w:sz w:val="18"/>
              </w:rPr>
            </w:r>
            <w:r>
              <w:rPr>
                <w:rFonts w:ascii="Aptos" w:hAnsi="Aptos"/>
                <w:b w:val="0"/>
                <w:color w:val="252525"/>
                <w:sz w:val="18"/>
              </w:rPr>
              <w:t>6.69%</w:t>
            </w:r>
          </w:p>
        </w:tc>
        <w:tc>
          <w:tcPr>
            <w:tcW w:type="dxa" w:w="1104"/>
            <w:vAlign w:val="center"/>
            <w:shd w:fill="F0F0F0"/>
            <w:shd w:fill="FFFFFF"/>
          </w:tcPr>
          <w:p>
            <w:pPr>
              <w:jc w:val="left"/>
            </w:pPr>
            <w:r>
              <w:rPr>
                <w:rFonts w:ascii="Aptos" w:hAnsi="Aptos"/>
                <w:color w:val="252525"/>
                <w:sz w:val="18"/>
              </w:rPr>
            </w:r>
            <w:r>
              <w:rPr>
                <w:rFonts w:ascii="Aptos" w:hAnsi="Aptos"/>
                <w:b w:val="0"/>
                <w:color w:val="252525"/>
                <w:sz w:val="18"/>
              </w:rPr>
              <w:t>5.80%</w:t>
            </w:r>
          </w:p>
        </w:tc>
        <w:tc>
          <w:tcPr>
            <w:tcW w:type="dxa" w:w="1104"/>
            <w:vAlign w:val="center"/>
            <w:shd w:fill="F0F0F0"/>
            <w:shd w:fill="FFFFFF"/>
          </w:tcPr>
          <w:p>
            <w:pPr>
              <w:jc w:val="left"/>
            </w:pPr>
            <w:r>
              <w:rPr>
                <w:rFonts w:ascii="Aptos" w:hAnsi="Aptos"/>
                <w:color w:val="252525"/>
                <w:sz w:val="18"/>
              </w:rPr>
            </w:r>
            <w:r>
              <w:rPr>
                <w:rFonts w:ascii="Aptos" w:hAnsi="Aptos"/>
                <w:b w:val="0"/>
                <w:color w:val="252525"/>
                <w:sz w:val="18"/>
              </w:rPr>
              <w:t>5.12%</w:t>
            </w:r>
          </w:p>
        </w:tc>
        <w:tc>
          <w:tcPr>
            <w:tcW w:type="dxa" w:w="1104"/>
            <w:vAlign w:val="center"/>
            <w:shd w:fill="F0F0F0"/>
            <w:shd w:fill="FFFFFF"/>
          </w:tcPr>
          <w:p>
            <w:pPr>
              <w:jc w:val="left"/>
            </w:pPr>
            <w:r>
              <w:rPr>
                <w:rFonts w:ascii="Aptos" w:hAnsi="Aptos"/>
                <w:color w:val="252525"/>
                <w:sz w:val="18"/>
              </w:rPr>
            </w:r>
            <w:r>
              <w:rPr>
                <w:rFonts w:ascii="Aptos" w:hAnsi="Aptos"/>
                <w:b w:val="0"/>
                <w:color w:val="252525"/>
                <w:sz w:val="18"/>
              </w:rPr>
              <w:t>4.58%</w:t>
            </w:r>
          </w:p>
        </w:tc>
      </w:tr>
    </w:tbl>
    <w:p>
      <w:pPr>
        <w:spacing w:before="160"/>
      </w:pPr>
      <w:r>
        <w:t>These are theoretical probabilities, not values estimated from our dataset. For a dataset containing N valid observations, the expected count for a digit is obtained by multiplying N by that digit’s Benford probability.</w:t>
      </w:r>
    </w:p>
    <w:tbl>
      <w:tblPr>
        <w:tblW w:type="auto" w:w="0"/>
        <w:tblLook w:firstColumn="1" w:firstRow="1" w:lastColumn="0" w:lastRow="0" w:noHBand="0" w:noVBand="1" w:val="04A0"/>
      </w:tblPr>
      <w:tblGrid>
        <w:gridCol w:w="9936"/>
      </w:tblGrid>
      <w:tr>
        <w:tc>
          <w:tcPr>
            <w:tcW w:type="dxa" w:w="9936"/>
            <w:shd w:fill="F0F0F0"/>
          </w:tcPr>
          <w:p>
            <w:r/>
            <w:r>
              <w:rPr>
                <w:b/>
                <w:color w:val="333333"/>
                <w:sz w:val="21"/>
              </w:rPr>
              <w:t>Example</w:t>
            </w:r>
          </w:p>
          <w:p>
            <w:pPr>
              <w:spacing w:after="0"/>
            </w:pPr>
            <w:r>
              <w:t>If there are 10,000 valid observations, the expected number beginning with digit 1 is approximately 10,000 × 0.3010 = 3,010.</w:t>
            </w:r>
          </w:p>
        </w:tc>
      </w:tr>
    </w:tbl>
    <w:tbl>
      <w:tblPr>
        <w:tblW w:type="auto" w:w="0"/>
        <w:jc w:val="center"/>
        <w:tblLayout w:type="autofit"/>
        <w:tblLook w:firstColumn="1" w:firstRow="1" w:lastColumn="0" w:lastRow="0" w:noHBand="0" w:noVBand="1" w:val="04A0"/>
      </w:tblPr>
      <w:tblGrid>
        <w:gridCol w:w="9936"/>
      </w:tblGrid>
      <w:tr>
        <w:tc>
          <w:tcPr>
            <w:tcW w:type="dxa" w:w="9936"/>
            <w:shd w:fill="333333"/>
            <w:vAlign w:val="center"/>
          </w:tcPr>
          <w:p>
            <w:pPr>
              <w:jc w:val="center"/>
            </w:pPr>
            <w:r/>
            <w:r>
              <w:rPr>
                <w:rFonts w:ascii="Aptos" w:hAnsi="Aptos"/>
                <w:b/>
                <w:color w:val="FFFFFF"/>
                <w:sz w:val="22"/>
              </w:rPr>
              <w:t>05  OBSERVED VS EXPECTED</w:t>
            </w:r>
          </w:p>
        </w:tc>
      </w:tr>
    </w:tbl>
    <w:p>
      <w:pPr>
        <w:spacing w:after="0"/>
      </w:pPr>
    </w:p>
    <w:p>
      <w:pPr>
        <w:spacing w:before="160"/>
      </w:pPr>
      <w:r>
        <w:t>The project keeps two distributions separate. The observed distribution comes directly from the dataset after extracting the first digit. The expected distribution comes from the Benford formula. The central question is whether the difference between these two distributions is larger than would reasonably be expected from random variation.</w:t>
      </w:r>
    </w:p>
    <w:tbl>
      <w:tblPr>
        <w:tblW w:type="auto" w:w="0"/>
        <w:jc w:val="center"/>
        <w:tblLook w:firstColumn="1" w:firstRow="1" w:lastColumn="0" w:lastRow="0" w:noHBand="0" w:noVBand="1" w:val="04A0"/>
      </w:tblPr>
      <w:tblGrid>
        <w:gridCol w:w="3312"/>
        <w:gridCol w:w="3312"/>
        <w:gridCol w:w="3312"/>
      </w:tblGrid>
      <w:tr>
        <w:tc>
          <w:tcPr>
            <w:tcW w:type="dxa" w:w="3312"/>
            <w:vAlign w:val="center"/>
            <w:shd w:fill="333333"/>
            <w:shd w:fill="5B2333"/>
          </w:tcPr>
          <w:p>
            <w:pPr>
              <w:jc w:val="left"/>
            </w:pPr>
            <w:r>
              <w:rPr>
                <w:rFonts w:ascii="Aptos" w:hAnsi="Aptos"/>
                <w:b/>
                <w:color w:val="FFFFFF"/>
                <w:sz w:val="18"/>
              </w:rPr>
            </w:r>
            <w:r>
              <w:rPr>
                <w:rFonts w:ascii="Aptos" w:hAnsi="Aptos"/>
                <w:b/>
                <w:color w:val="FFFFFF"/>
                <w:sz w:val="18"/>
              </w:rPr>
              <w:t>Digit</w:t>
            </w:r>
          </w:p>
        </w:tc>
        <w:tc>
          <w:tcPr>
            <w:tcW w:type="dxa" w:w="3312"/>
            <w:vAlign w:val="center"/>
            <w:shd w:fill="333333"/>
            <w:shd w:fill="5B2333"/>
          </w:tcPr>
          <w:p>
            <w:pPr>
              <w:jc w:val="left"/>
            </w:pPr>
            <w:r>
              <w:rPr>
                <w:rFonts w:ascii="Aptos" w:hAnsi="Aptos"/>
                <w:b/>
                <w:color w:val="FFFFFF"/>
                <w:sz w:val="18"/>
              </w:rPr>
            </w:r>
            <w:r>
              <w:rPr>
                <w:rFonts w:ascii="Aptos" w:hAnsi="Aptos"/>
                <w:b/>
                <w:color w:val="FFFFFF"/>
                <w:sz w:val="18"/>
              </w:rPr>
              <w:t>Observed frequency</w:t>
            </w:r>
          </w:p>
        </w:tc>
        <w:tc>
          <w:tcPr>
            <w:tcW w:type="dxa" w:w="3312"/>
            <w:vAlign w:val="center"/>
            <w:shd w:fill="333333"/>
            <w:shd w:fill="5B2333"/>
          </w:tcPr>
          <w:p>
            <w:pPr>
              <w:jc w:val="left"/>
            </w:pPr>
            <w:r>
              <w:rPr>
                <w:rFonts w:ascii="Aptos" w:hAnsi="Aptos"/>
                <w:b/>
                <w:color w:val="FFFFFF"/>
                <w:sz w:val="18"/>
              </w:rPr>
            </w:r>
            <w:r>
              <w:rPr>
                <w:rFonts w:ascii="Aptos" w:hAnsi="Aptos"/>
                <w:b/>
                <w:color w:val="FFFFFF"/>
                <w:sz w:val="18"/>
              </w:rPr>
              <w:t>Expected frequency</w:t>
            </w:r>
          </w:p>
        </w:tc>
      </w:tr>
      <w:tr>
        <w:tc>
          <w:tcPr>
            <w:tcW w:type="dxa" w:w="3312"/>
            <w:vAlign w:val="center"/>
            <w:shd w:fill="FFFFFF"/>
          </w:tcPr>
          <w:p>
            <w:pPr>
              <w:jc w:val="left"/>
            </w:pPr>
            <w:r>
              <w:rPr>
                <w:rFonts w:ascii="Aptos" w:hAnsi="Aptos"/>
                <w:color w:val="252525"/>
                <w:sz w:val="18"/>
              </w:rPr>
            </w:r>
            <w:r>
              <w:rPr>
                <w:rFonts w:ascii="Aptos" w:hAnsi="Aptos"/>
                <w:b/>
                <w:color w:val="5B2333"/>
                <w:sz w:val="18"/>
              </w:rPr>
              <w:t>1</w:t>
            </w:r>
          </w:p>
        </w:tc>
        <w:tc>
          <w:tcPr>
            <w:tcW w:type="dxa" w:w="3312"/>
            <w:vAlign w:val="center"/>
            <w:shd w:fill="FFFFFF"/>
          </w:tcPr>
          <w:p>
            <w:pPr>
              <w:jc w:val="left"/>
            </w:pPr>
            <w:r>
              <w:rPr>
                <w:rFonts w:ascii="Aptos" w:hAnsi="Aptos"/>
                <w:color w:val="252525"/>
                <w:sz w:val="18"/>
              </w:rPr>
            </w:r>
            <w:r>
              <w:rPr>
                <w:rFonts w:ascii="Aptos" w:hAnsi="Aptos"/>
                <w:b w:val="0"/>
                <w:color w:val="252525"/>
                <w:sz w:val="18"/>
              </w:rPr>
              <w:t>Calculated from dataset</w:t>
            </w:r>
          </w:p>
        </w:tc>
        <w:tc>
          <w:tcPr>
            <w:tcW w:type="dxa" w:w="3312"/>
            <w:vAlign w:val="center"/>
            <w:shd w:fill="FFFFFF"/>
          </w:tcPr>
          <w:p>
            <w:pPr>
              <w:jc w:val="left"/>
            </w:pPr>
            <w:r>
              <w:rPr>
                <w:rFonts w:ascii="Aptos" w:hAnsi="Aptos"/>
                <w:color w:val="252525"/>
                <w:sz w:val="18"/>
              </w:rPr>
            </w:r>
            <w:r>
              <w:rPr>
                <w:rFonts w:ascii="Aptos" w:hAnsi="Aptos"/>
                <w:b w:val="0"/>
                <w:color w:val="252525"/>
                <w:sz w:val="18"/>
              </w:rPr>
              <w:t>Calculated from Benford’s Law</w:t>
            </w:r>
          </w:p>
        </w:tc>
      </w:tr>
      <w:tr>
        <w:tc>
          <w:tcPr>
            <w:tcW w:type="dxa" w:w="3312"/>
            <w:vAlign w:val="center"/>
            <w:shd w:fill="F7F3F0"/>
          </w:tcPr>
          <w:p>
            <w:pPr>
              <w:jc w:val="left"/>
            </w:pPr>
            <w:r>
              <w:rPr>
                <w:rFonts w:ascii="Aptos" w:hAnsi="Aptos"/>
                <w:color w:val="252525"/>
                <w:sz w:val="18"/>
              </w:rPr>
            </w:r>
            <w:r>
              <w:rPr>
                <w:rFonts w:ascii="Aptos" w:hAnsi="Aptos"/>
                <w:b/>
                <w:color w:val="5B2333"/>
                <w:sz w:val="18"/>
              </w:rPr>
              <w:t>2</w:t>
            </w:r>
          </w:p>
        </w:tc>
        <w:tc>
          <w:tcPr>
            <w:tcW w:type="dxa" w:w="3312"/>
            <w:vAlign w:val="center"/>
            <w:shd w:fill="F7F3F0"/>
          </w:tcPr>
          <w:p>
            <w:pPr>
              <w:jc w:val="left"/>
            </w:pPr>
            <w:r>
              <w:rPr>
                <w:rFonts w:ascii="Aptos" w:hAnsi="Aptos"/>
                <w:color w:val="252525"/>
                <w:sz w:val="18"/>
              </w:rPr>
            </w:r>
            <w:r>
              <w:rPr>
                <w:rFonts w:ascii="Aptos" w:hAnsi="Aptos"/>
                <w:b w:val="0"/>
                <w:color w:val="252525"/>
                <w:sz w:val="18"/>
              </w:rPr>
              <w:t>Calculated from dataset</w:t>
            </w:r>
          </w:p>
        </w:tc>
        <w:tc>
          <w:tcPr>
            <w:tcW w:type="dxa" w:w="3312"/>
            <w:vAlign w:val="center"/>
            <w:shd w:fill="F7F3F0"/>
          </w:tcPr>
          <w:p>
            <w:pPr>
              <w:jc w:val="left"/>
            </w:pPr>
            <w:r>
              <w:rPr>
                <w:rFonts w:ascii="Aptos" w:hAnsi="Aptos"/>
                <w:color w:val="252525"/>
                <w:sz w:val="18"/>
              </w:rPr>
            </w:r>
            <w:r>
              <w:rPr>
                <w:rFonts w:ascii="Aptos" w:hAnsi="Aptos"/>
                <w:b w:val="0"/>
                <w:color w:val="252525"/>
                <w:sz w:val="18"/>
              </w:rPr>
              <w:t>Calculated from Benford’s Law</w:t>
            </w:r>
          </w:p>
        </w:tc>
      </w:tr>
      <w:tr>
        <w:tc>
          <w:tcPr>
            <w:tcW w:type="dxa" w:w="3312"/>
            <w:vAlign w:val="center"/>
            <w:shd w:fill="FFFFFF"/>
          </w:tcPr>
          <w:p>
            <w:pPr>
              <w:jc w:val="left"/>
            </w:pPr>
            <w:r>
              <w:rPr>
                <w:rFonts w:ascii="Aptos" w:hAnsi="Aptos"/>
                <w:color w:val="252525"/>
                <w:sz w:val="18"/>
              </w:rPr>
            </w:r>
            <w:r>
              <w:rPr>
                <w:rFonts w:ascii="Aptos" w:hAnsi="Aptos"/>
                <w:b/>
                <w:color w:val="5B2333"/>
                <w:sz w:val="18"/>
              </w:rPr>
              <w:t>3</w:t>
            </w:r>
          </w:p>
        </w:tc>
        <w:tc>
          <w:tcPr>
            <w:tcW w:type="dxa" w:w="3312"/>
            <w:vAlign w:val="center"/>
            <w:shd w:fill="FFFFFF"/>
          </w:tcPr>
          <w:p>
            <w:pPr>
              <w:jc w:val="left"/>
            </w:pPr>
            <w:r>
              <w:rPr>
                <w:rFonts w:ascii="Aptos" w:hAnsi="Aptos"/>
                <w:color w:val="252525"/>
                <w:sz w:val="18"/>
              </w:rPr>
            </w:r>
            <w:r>
              <w:rPr>
                <w:rFonts w:ascii="Aptos" w:hAnsi="Aptos"/>
                <w:b w:val="0"/>
                <w:color w:val="252525"/>
                <w:sz w:val="18"/>
              </w:rPr>
              <w:t>Calculated from dataset</w:t>
            </w:r>
          </w:p>
        </w:tc>
        <w:tc>
          <w:tcPr>
            <w:tcW w:type="dxa" w:w="3312"/>
            <w:vAlign w:val="center"/>
            <w:shd w:fill="FFFFFF"/>
          </w:tcPr>
          <w:p>
            <w:pPr>
              <w:jc w:val="left"/>
            </w:pPr>
            <w:r>
              <w:rPr>
                <w:rFonts w:ascii="Aptos" w:hAnsi="Aptos"/>
                <w:color w:val="252525"/>
                <w:sz w:val="18"/>
              </w:rPr>
            </w:r>
            <w:r>
              <w:rPr>
                <w:rFonts w:ascii="Aptos" w:hAnsi="Aptos"/>
                <w:b w:val="0"/>
                <w:color w:val="252525"/>
                <w:sz w:val="18"/>
              </w:rPr>
              <w:t>Calculated from Benford’s Law</w:t>
            </w:r>
          </w:p>
        </w:tc>
      </w:tr>
      <w:tr>
        <w:tc>
          <w:tcPr>
            <w:tcW w:type="dxa" w:w="3312"/>
            <w:vAlign w:val="center"/>
            <w:shd w:fill="F7F3F0"/>
          </w:tcPr>
          <w:p>
            <w:pPr>
              <w:jc w:val="left"/>
            </w:pPr>
            <w:r>
              <w:rPr>
                <w:rFonts w:ascii="Aptos" w:hAnsi="Aptos"/>
                <w:color w:val="252525"/>
                <w:sz w:val="18"/>
              </w:rPr>
            </w:r>
            <w:r>
              <w:rPr>
                <w:rFonts w:ascii="Aptos" w:hAnsi="Aptos"/>
                <w:b/>
                <w:color w:val="5B2333"/>
                <w:sz w:val="18"/>
              </w:rPr>
              <w:t>4</w:t>
            </w:r>
          </w:p>
        </w:tc>
        <w:tc>
          <w:tcPr>
            <w:tcW w:type="dxa" w:w="3312"/>
            <w:vAlign w:val="center"/>
            <w:shd w:fill="F7F3F0"/>
          </w:tcPr>
          <w:p>
            <w:pPr>
              <w:jc w:val="left"/>
            </w:pPr>
            <w:r>
              <w:rPr>
                <w:rFonts w:ascii="Aptos" w:hAnsi="Aptos"/>
                <w:color w:val="252525"/>
                <w:sz w:val="18"/>
              </w:rPr>
            </w:r>
            <w:r>
              <w:rPr>
                <w:rFonts w:ascii="Aptos" w:hAnsi="Aptos"/>
                <w:b w:val="0"/>
                <w:color w:val="252525"/>
                <w:sz w:val="18"/>
              </w:rPr>
              <w:t>Calculated from dataset</w:t>
            </w:r>
          </w:p>
        </w:tc>
        <w:tc>
          <w:tcPr>
            <w:tcW w:type="dxa" w:w="3312"/>
            <w:vAlign w:val="center"/>
            <w:shd w:fill="F7F3F0"/>
          </w:tcPr>
          <w:p>
            <w:pPr>
              <w:jc w:val="left"/>
            </w:pPr>
            <w:r>
              <w:rPr>
                <w:rFonts w:ascii="Aptos" w:hAnsi="Aptos"/>
                <w:color w:val="252525"/>
                <w:sz w:val="18"/>
              </w:rPr>
            </w:r>
            <w:r>
              <w:rPr>
                <w:rFonts w:ascii="Aptos" w:hAnsi="Aptos"/>
                <w:b w:val="0"/>
                <w:color w:val="252525"/>
                <w:sz w:val="18"/>
              </w:rPr>
              <w:t>Calculated from Benford’s Law</w:t>
            </w:r>
          </w:p>
        </w:tc>
      </w:tr>
      <w:tr>
        <w:tc>
          <w:tcPr>
            <w:tcW w:type="dxa" w:w="3312"/>
            <w:vAlign w:val="center"/>
            <w:shd w:fill="FFFFFF"/>
          </w:tcPr>
          <w:p>
            <w:pPr>
              <w:jc w:val="left"/>
            </w:pPr>
            <w:r>
              <w:rPr>
                <w:rFonts w:ascii="Aptos" w:hAnsi="Aptos"/>
                <w:color w:val="252525"/>
                <w:sz w:val="18"/>
              </w:rPr>
            </w:r>
            <w:r>
              <w:rPr>
                <w:rFonts w:ascii="Aptos" w:hAnsi="Aptos"/>
                <w:b/>
                <w:color w:val="5B2333"/>
                <w:sz w:val="18"/>
              </w:rPr>
              <w:t>5</w:t>
            </w:r>
          </w:p>
        </w:tc>
        <w:tc>
          <w:tcPr>
            <w:tcW w:type="dxa" w:w="3312"/>
            <w:vAlign w:val="center"/>
            <w:shd w:fill="FFFFFF"/>
          </w:tcPr>
          <w:p>
            <w:pPr>
              <w:jc w:val="left"/>
            </w:pPr>
            <w:r>
              <w:rPr>
                <w:rFonts w:ascii="Aptos" w:hAnsi="Aptos"/>
                <w:color w:val="252525"/>
                <w:sz w:val="18"/>
              </w:rPr>
            </w:r>
            <w:r>
              <w:rPr>
                <w:rFonts w:ascii="Aptos" w:hAnsi="Aptos"/>
                <w:b w:val="0"/>
                <w:color w:val="252525"/>
                <w:sz w:val="18"/>
              </w:rPr>
              <w:t>Calculated from dataset</w:t>
            </w:r>
          </w:p>
        </w:tc>
        <w:tc>
          <w:tcPr>
            <w:tcW w:type="dxa" w:w="3312"/>
            <w:vAlign w:val="center"/>
            <w:shd w:fill="FFFFFF"/>
          </w:tcPr>
          <w:p>
            <w:pPr>
              <w:jc w:val="left"/>
            </w:pPr>
            <w:r>
              <w:rPr>
                <w:rFonts w:ascii="Aptos" w:hAnsi="Aptos"/>
                <w:color w:val="252525"/>
                <w:sz w:val="18"/>
              </w:rPr>
            </w:r>
            <w:r>
              <w:rPr>
                <w:rFonts w:ascii="Aptos" w:hAnsi="Aptos"/>
                <w:b w:val="0"/>
                <w:color w:val="252525"/>
                <w:sz w:val="18"/>
              </w:rPr>
              <w:t>Calculated from Benford’s Law</w:t>
            </w:r>
          </w:p>
        </w:tc>
      </w:tr>
      <w:tr>
        <w:tc>
          <w:tcPr>
            <w:tcW w:type="dxa" w:w="3312"/>
            <w:vAlign w:val="center"/>
            <w:shd w:fill="F7F3F0"/>
          </w:tcPr>
          <w:p>
            <w:pPr>
              <w:jc w:val="left"/>
            </w:pPr>
            <w:r>
              <w:rPr>
                <w:rFonts w:ascii="Aptos" w:hAnsi="Aptos"/>
                <w:color w:val="252525"/>
                <w:sz w:val="18"/>
              </w:rPr>
            </w:r>
            <w:r>
              <w:rPr>
                <w:rFonts w:ascii="Aptos" w:hAnsi="Aptos"/>
                <w:b/>
                <w:color w:val="5B2333"/>
                <w:sz w:val="18"/>
              </w:rPr>
              <w:t>6</w:t>
            </w:r>
          </w:p>
        </w:tc>
        <w:tc>
          <w:tcPr>
            <w:tcW w:type="dxa" w:w="3312"/>
            <w:vAlign w:val="center"/>
            <w:shd w:fill="F7F3F0"/>
          </w:tcPr>
          <w:p>
            <w:pPr>
              <w:jc w:val="left"/>
            </w:pPr>
            <w:r>
              <w:rPr>
                <w:rFonts w:ascii="Aptos" w:hAnsi="Aptos"/>
                <w:color w:val="252525"/>
                <w:sz w:val="18"/>
              </w:rPr>
            </w:r>
            <w:r>
              <w:rPr>
                <w:rFonts w:ascii="Aptos" w:hAnsi="Aptos"/>
                <w:b w:val="0"/>
                <w:color w:val="252525"/>
                <w:sz w:val="18"/>
              </w:rPr>
              <w:t>Calculated from dataset</w:t>
            </w:r>
          </w:p>
        </w:tc>
        <w:tc>
          <w:tcPr>
            <w:tcW w:type="dxa" w:w="3312"/>
            <w:vAlign w:val="center"/>
            <w:shd w:fill="F7F3F0"/>
          </w:tcPr>
          <w:p>
            <w:pPr>
              <w:jc w:val="left"/>
            </w:pPr>
            <w:r>
              <w:rPr>
                <w:rFonts w:ascii="Aptos" w:hAnsi="Aptos"/>
                <w:color w:val="252525"/>
                <w:sz w:val="18"/>
              </w:rPr>
            </w:r>
            <w:r>
              <w:rPr>
                <w:rFonts w:ascii="Aptos" w:hAnsi="Aptos"/>
                <w:b w:val="0"/>
                <w:color w:val="252525"/>
                <w:sz w:val="18"/>
              </w:rPr>
              <w:t>Calculated from Benford’s Law</w:t>
            </w:r>
          </w:p>
        </w:tc>
      </w:tr>
      <w:tr>
        <w:tc>
          <w:tcPr>
            <w:tcW w:type="dxa" w:w="3312"/>
            <w:vAlign w:val="center"/>
            <w:shd w:fill="FFFFFF"/>
          </w:tcPr>
          <w:p>
            <w:pPr>
              <w:jc w:val="left"/>
            </w:pPr>
            <w:r>
              <w:rPr>
                <w:rFonts w:ascii="Aptos" w:hAnsi="Aptos"/>
                <w:color w:val="252525"/>
                <w:sz w:val="18"/>
              </w:rPr>
            </w:r>
            <w:r>
              <w:rPr>
                <w:rFonts w:ascii="Aptos" w:hAnsi="Aptos"/>
                <w:b/>
                <w:color w:val="5B2333"/>
                <w:sz w:val="18"/>
              </w:rPr>
              <w:t>7</w:t>
            </w:r>
          </w:p>
        </w:tc>
        <w:tc>
          <w:tcPr>
            <w:tcW w:type="dxa" w:w="3312"/>
            <w:vAlign w:val="center"/>
            <w:shd w:fill="FFFFFF"/>
          </w:tcPr>
          <w:p>
            <w:pPr>
              <w:jc w:val="left"/>
            </w:pPr>
            <w:r>
              <w:rPr>
                <w:rFonts w:ascii="Aptos" w:hAnsi="Aptos"/>
                <w:color w:val="252525"/>
                <w:sz w:val="18"/>
              </w:rPr>
            </w:r>
            <w:r>
              <w:rPr>
                <w:rFonts w:ascii="Aptos" w:hAnsi="Aptos"/>
                <w:b w:val="0"/>
                <w:color w:val="252525"/>
                <w:sz w:val="18"/>
              </w:rPr>
              <w:t>Calculated from dataset</w:t>
            </w:r>
          </w:p>
        </w:tc>
        <w:tc>
          <w:tcPr>
            <w:tcW w:type="dxa" w:w="3312"/>
            <w:vAlign w:val="center"/>
            <w:shd w:fill="FFFFFF"/>
          </w:tcPr>
          <w:p>
            <w:pPr>
              <w:jc w:val="left"/>
            </w:pPr>
            <w:r>
              <w:rPr>
                <w:rFonts w:ascii="Aptos" w:hAnsi="Aptos"/>
                <w:color w:val="252525"/>
                <w:sz w:val="18"/>
              </w:rPr>
            </w:r>
            <w:r>
              <w:rPr>
                <w:rFonts w:ascii="Aptos" w:hAnsi="Aptos"/>
                <w:b w:val="0"/>
                <w:color w:val="252525"/>
                <w:sz w:val="18"/>
              </w:rPr>
              <w:t>Calculated from Benford’s Law</w:t>
            </w:r>
          </w:p>
        </w:tc>
      </w:tr>
      <w:tr>
        <w:tc>
          <w:tcPr>
            <w:tcW w:type="dxa" w:w="3312"/>
            <w:vAlign w:val="center"/>
            <w:shd w:fill="F7F3F0"/>
          </w:tcPr>
          <w:p>
            <w:pPr>
              <w:jc w:val="left"/>
            </w:pPr>
            <w:r>
              <w:rPr>
                <w:rFonts w:ascii="Aptos" w:hAnsi="Aptos"/>
                <w:color w:val="252525"/>
                <w:sz w:val="18"/>
              </w:rPr>
            </w:r>
            <w:r>
              <w:rPr>
                <w:rFonts w:ascii="Aptos" w:hAnsi="Aptos"/>
                <w:b/>
                <w:color w:val="5B2333"/>
                <w:sz w:val="18"/>
              </w:rPr>
              <w:t>8</w:t>
            </w:r>
          </w:p>
        </w:tc>
        <w:tc>
          <w:tcPr>
            <w:tcW w:type="dxa" w:w="3312"/>
            <w:vAlign w:val="center"/>
            <w:shd w:fill="F7F3F0"/>
          </w:tcPr>
          <w:p>
            <w:pPr>
              <w:jc w:val="left"/>
            </w:pPr>
            <w:r>
              <w:rPr>
                <w:rFonts w:ascii="Aptos" w:hAnsi="Aptos"/>
                <w:color w:val="252525"/>
                <w:sz w:val="18"/>
              </w:rPr>
            </w:r>
            <w:r>
              <w:rPr>
                <w:rFonts w:ascii="Aptos" w:hAnsi="Aptos"/>
                <w:b w:val="0"/>
                <w:color w:val="252525"/>
                <w:sz w:val="18"/>
              </w:rPr>
              <w:t>Calculated from dataset</w:t>
            </w:r>
          </w:p>
        </w:tc>
        <w:tc>
          <w:tcPr>
            <w:tcW w:type="dxa" w:w="3312"/>
            <w:vAlign w:val="center"/>
            <w:shd w:fill="F7F3F0"/>
          </w:tcPr>
          <w:p>
            <w:pPr>
              <w:jc w:val="left"/>
            </w:pPr>
            <w:r>
              <w:rPr>
                <w:rFonts w:ascii="Aptos" w:hAnsi="Aptos"/>
                <w:color w:val="252525"/>
                <w:sz w:val="18"/>
              </w:rPr>
            </w:r>
            <w:r>
              <w:rPr>
                <w:rFonts w:ascii="Aptos" w:hAnsi="Aptos"/>
                <w:b w:val="0"/>
                <w:color w:val="252525"/>
                <w:sz w:val="18"/>
              </w:rPr>
              <w:t>Calculated from Benford’s Law</w:t>
            </w:r>
          </w:p>
        </w:tc>
      </w:tr>
      <w:tr>
        <w:tc>
          <w:tcPr>
            <w:tcW w:type="dxa" w:w="3312"/>
            <w:vAlign w:val="center"/>
            <w:shd w:fill="FFFFFF"/>
          </w:tcPr>
          <w:p>
            <w:pPr>
              <w:jc w:val="left"/>
            </w:pPr>
            <w:r>
              <w:rPr>
                <w:rFonts w:ascii="Aptos" w:hAnsi="Aptos"/>
                <w:color w:val="252525"/>
                <w:sz w:val="18"/>
              </w:rPr>
            </w:r>
            <w:r>
              <w:rPr>
                <w:rFonts w:ascii="Aptos" w:hAnsi="Aptos"/>
                <w:b/>
                <w:color w:val="5B2333"/>
                <w:sz w:val="18"/>
              </w:rPr>
              <w:t>9</w:t>
            </w:r>
          </w:p>
        </w:tc>
        <w:tc>
          <w:tcPr>
            <w:tcW w:type="dxa" w:w="3312"/>
            <w:vAlign w:val="center"/>
            <w:shd w:fill="FFFFFF"/>
          </w:tcPr>
          <w:p>
            <w:pPr>
              <w:jc w:val="left"/>
            </w:pPr>
            <w:r>
              <w:rPr>
                <w:rFonts w:ascii="Aptos" w:hAnsi="Aptos"/>
                <w:color w:val="252525"/>
                <w:sz w:val="18"/>
              </w:rPr>
            </w:r>
            <w:r>
              <w:rPr>
                <w:rFonts w:ascii="Aptos" w:hAnsi="Aptos"/>
                <w:b w:val="0"/>
                <w:color w:val="252525"/>
                <w:sz w:val="18"/>
              </w:rPr>
              <w:t>Calculated from dataset</w:t>
            </w:r>
          </w:p>
        </w:tc>
        <w:tc>
          <w:tcPr>
            <w:tcW w:type="dxa" w:w="3312"/>
            <w:vAlign w:val="center"/>
            <w:shd w:fill="FFFFFF"/>
          </w:tcPr>
          <w:p>
            <w:pPr>
              <w:jc w:val="left"/>
            </w:pPr>
            <w:r>
              <w:rPr>
                <w:rFonts w:ascii="Aptos" w:hAnsi="Aptos"/>
                <w:color w:val="252525"/>
                <w:sz w:val="18"/>
              </w:rPr>
            </w:r>
            <w:r>
              <w:rPr>
                <w:rFonts w:ascii="Aptos" w:hAnsi="Aptos"/>
                <w:b w:val="0"/>
                <w:color w:val="252525"/>
                <w:sz w:val="18"/>
              </w:rPr>
              <w:t>Calculated from Benford’s Law</w:t>
            </w:r>
          </w:p>
        </w:tc>
      </w:tr>
    </w:tbl>
    <w:p>
      <w:r>
        <w:br w:type="page"/>
      </w:r>
    </w:p>
    <w:tbl>
      <w:tblPr>
        <w:tblW w:type="auto" w:w="0"/>
        <w:jc w:val="center"/>
        <w:tblLayout w:type="autofit"/>
        <w:tblLook w:firstColumn="1" w:firstRow="1" w:lastColumn="0" w:lastRow="0" w:noHBand="0" w:noVBand="1" w:val="04A0"/>
      </w:tblPr>
      <w:tblGrid>
        <w:gridCol w:w="9936"/>
      </w:tblGrid>
      <w:tr>
        <w:tc>
          <w:tcPr>
            <w:tcW w:type="dxa" w:w="9936"/>
            <w:shd w:fill="333333"/>
            <w:vAlign w:val="center"/>
          </w:tcPr>
          <w:p>
            <w:pPr>
              <w:jc w:val="center"/>
            </w:pPr>
            <w:r/>
            <w:r>
              <w:rPr>
                <w:rFonts w:ascii="Aptos" w:hAnsi="Aptos"/>
                <w:b/>
                <w:color w:val="FFFFFF"/>
                <w:sz w:val="22"/>
              </w:rPr>
              <w:t>06  STATISTICAL TESTING</w:t>
            </w:r>
          </w:p>
        </w:tc>
      </w:tr>
    </w:tbl>
    <w:p>
      <w:pPr>
        <w:spacing w:after="0"/>
      </w:pPr>
    </w:p>
    <w:p>
      <w:pPr>
        <w:spacing w:before="160"/>
      </w:pPr>
      <w:r>
        <w:t>The Chi-square goodness-of-fit test is used to determine whether the observed first-digit frequencies are consistent with the expected Benford distribution.</w:t>
      </w:r>
    </w:p>
    <w:tbl>
      <w:tblPr>
        <w:tblW w:type="auto" w:w="0"/>
        <w:tblLook w:firstColumn="1" w:firstRow="1" w:lastColumn="0" w:lastRow="0" w:noHBand="0" w:noVBand="1" w:val="04A0"/>
      </w:tblPr>
      <w:tblGrid>
        <w:gridCol w:w="9936"/>
      </w:tblGrid>
      <w:tr>
        <w:tc>
          <w:tcPr>
            <w:tcW w:type="dxa" w:w="9936"/>
            <w:shd w:fill="F0F0F0"/>
          </w:tcPr>
          <w:p>
            <w:r/>
            <w:r>
              <w:rPr>
                <w:b/>
                <w:color w:val="333333"/>
                <w:sz w:val="21"/>
              </w:rPr>
              <w:t>Null hypothesis (H₀)</w:t>
            </w:r>
          </w:p>
          <w:p>
            <w:pPr>
              <w:spacing w:after="0"/>
            </w:pPr>
            <w:r>
              <w:t>The observed first-digit distribution is consistent with the expected Benford distribution.</w:t>
            </w:r>
          </w:p>
        </w:tc>
      </w:tr>
    </w:tbl>
    <w:tbl>
      <w:tblPr>
        <w:tblW w:type="auto" w:w="0"/>
        <w:tblLook w:firstColumn="1" w:firstRow="1" w:lastColumn="0" w:lastRow="0" w:noHBand="0" w:noVBand="1" w:val="04A0"/>
      </w:tblPr>
      <w:tblGrid>
        <w:gridCol w:w="9936"/>
      </w:tblGrid>
      <w:tr>
        <w:tc>
          <w:tcPr>
            <w:tcW w:type="dxa" w:w="9936"/>
            <w:shd w:fill="F0F0F0"/>
          </w:tcPr>
          <w:p>
            <w:r/>
            <w:r>
              <w:rPr>
                <w:b/>
                <w:color w:val="333333"/>
                <w:sz w:val="21"/>
              </w:rPr>
              <w:t>Alternative hypothesis (H₁)</w:t>
            </w:r>
          </w:p>
          <w:p>
            <w:pPr>
              <w:spacing w:after="0"/>
            </w:pPr>
            <w:r>
              <w:t>The observed first-digit distribution differs significantly from the expected Benford distribution.</w:t>
            </w:r>
          </w:p>
        </w:tc>
      </w:tr>
    </w:tbl>
    <w:tbl>
      <w:tblPr>
        <w:tblW w:type="auto" w:w="0"/>
        <w:tblLook w:firstColumn="1" w:firstRow="1" w:lastColumn="0" w:lastRow="0" w:noHBand="0" w:noVBand="1" w:val="04A0"/>
      </w:tblPr>
      <w:tblGrid>
        <w:gridCol w:w="9936"/>
      </w:tblGrid>
      <w:tr>
        <w:tc>
          <w:tcPr>
            <w:tcW w:type="dxa" w:w="9936"/>
            <w:shd w:fill="F0F0F0"/>
          </w:tcPr>
          <w:p>
            <w:r/>
            <w:r>
              <w:rPr>
                <w:b/>
                <w:color w:val="333333"/>
                <w:sz w:val="21"/>
              </w:rPr>
              <w:t>Decision rule</w:t>
            </w:r>
          </w:p>
          <w:p>
            <w:pPr>
              <w:spacing w:after="0"/>
            </w:pPr>
            <w:r>
              <w:t>At a chosen significance level such as 0.05, a p-value below the significance level provides evidence against H₀.</w:t>
            </w:r>
          </w:p>
        </w:tc>
      </w:tr>
    </w:tbl>
    <w:p>
      <w:r>
        <w:rPr>
          <w:b/>
        </w:rPr>
        <w:t xml:space="preserve">Chi-square goodness-of-fit concept: </w:t>
      </w:r>
      <w:r>
        <w:t>the test compares observed and expected frequencies across the nine first-digit categories. The resulting test statistic and p-value provide the basis for the statistical decision.</w:t>
      </w:r>
    </w:p>
    <w:tbl>
      <w:tblPr>
        <w:tblW w:type="auto" w:w="0"/>
        <w:jc w:val="center"/>
        <w:tblLayout w:type="autofit"/>
        <w:tblLook w:firstColumn="1" w:firstRow="1" w:lastColumn="0" w:lastRow="0" w:noHBand="0" w:noVBand="1" w:val="04A0"/>
      </w:tblPr>
      <w:tblGrid>
        <w:gridCol w:w="9936"/>
      </w:tblGrid>
      <w:tr>
        <w:tc>
          <w:tcPr>
            <w:tcW w:type="dxa" w:w="9936"/>
            <w:shd w:fill="333333"/>
            <w:vAlign w:val="center"/>
          </w:tcPr>
          <w:p>
            <w:pPr>
              <w:jc w:val="center"/>
            </w:pPr>
            <w:r/>
            <w:r>
              <w:rPr>
                <w:rFonts w:ascii="Aptos" w:hAnsi="Aptos"/>
                <w:b/>
                <w:color w:val="FFFFFF"/>
                <w:sz w:val="22"/>
              </w:rPr>
              <w:t>07  SYLLABUS MAPPING — BMAT202P</w:t>
            </w:r>
          </w:p>
        </w:tc>
      </w:tr>
    </w:tbl>
    <w:p>
      <w:pPr>
        <w:spacing w:after="0"/>
      </w:pPr>
    </w:p>
    <w:tbl>
      <w:tblPr>
        <w:tblW w:type="auto" w:w="0"/>
        <w:jc w:val="center"/>
        <w:tblLook w:firstColumn="1" w:firstRow="1" w:lastColumn="0" w:lastRow="0" w:noHBand="0" w:noVBand="1" w:val="04A0"/>
      </w:tblPr>
      <w:tblGrid>
        <w:gridCol w:w="3312"/>
        <w:gridCol w:w="3312"/>
        <w:gridCol w:w="3312"/>
      </w:tblGrid>
      <w:tr>
        <w:tc>
          <w:tcPr>
            <w:tcW w:type="dxa" w:w="3312"/>
            <w:vAlign w:val="center"/>
            <w:shd w:fill="333333"/>
            <w:shd w:fill="5B2333"/>
          </w:tcPr>
          <w:p>
            <w:pPr>
              <w:jc w:val="left"/>
            </w:pPr>
            <w:r>
              <w:rPr>
                <w:rFonts w:ascii="Aptos" w:hAnsi="Aptos"/>
                <w:b/>
                <w:color w:val="FFFFFF"/>
                <w:sz w:val="18"/>
              </w:rPr>
            </w:r>
            <w:r>
              <w:rPr>
                <w:rFonts w:ascii="Aptos" w:hAnsi="Aptos"/>
                <w:b/>
                <w:color w:val="FFFFFF"/>
                <w:sz w:val="18"/>
              </w:rPr>
              <w:t>Syllabus area</w:t>
            </w:r>
          </w:p>
        </w:tc>
        <w:tc>
          <w:tcPr>
            <w:tcW w:type="dxa" w:w="3312"/>
            <w:vAlign w:val="center"/>
            <w:shd w:fill="333333"/>
            <w:shd w:fill="5B2333"/>
          </w:tcPr>
          <w:p>
            <w:pPr>
              <w:jc w:val="left"/>
            </w:pPr>
            <w:r>
              <w:rPr>
                <w:rFonts w:ascii="Aptos" w:hAnsi="Aptos"/>
                <w:b/>
                <w:color w:val="FFFFFF"/>
                <w:sz w:val="18"/>
              </w:rPr>
            </w:r>
            <w:r>
              <w:rPr>
                <w:rFonts w:ascii="Aptos" w:hAnsi="Aptos"/>
                <w:b/>
                <w:color w:val="FFFFFF"/>
                <w:sz w:val="18"/>
              </w:rPr>
              <w:t>How it appears in the project</w:t>
            </w:r>
          </w:p>
        </w:tc>
        <w:tc>
          <w:tcPr>
            <w:tcW w:type="dxa" w:w="3312"/>
            <w:vAlign w:val="center"/>
            <w:shd w:fill="333333"/>
            <w:shd w:fill="5B2333"/>
          </w:tcPr>
          <w:p>
            <w:pPr>
              <w:jc w:val="left"/>
            </w:pPr>
            <w:r>
              <w:rPr>
                <w:rFonts w:ascii="Aptos" w:hAnsi="Aptos"/>
                <w:b/>
                <w:color w:val="FFFFFF"/>
                <w:sz w:val="18"/>
              </w:rPr>
            </w:r>
            <w:r>
              <w:rPr>
                <w:rFonts w:ascii="Aptos" w:hAnsi="Aptos"/>
                <w:b/>
                <w:color w:val="FFFFFF"/>
                <w:sz w:val="18"/>
              </w:rPr>
              <w:t>Status</w:t>
            </w:r>
          </w:p>
        </w:tc>
      </w:tr>
      <w:tr>
        <w:tc>
          <w:tcPr>
            <w:tcW w:type="dxa" w:w="3312"/>
            <w:vAlign w:val="center"/>
            <w:shd w:fill="F0F0F0"/>
            <w:shd w:fill="FFFFFF"/>
          </w:tcPr>
          <w:p>
            <w:pPr>
              <w:jc w:val="left"/>
            </w:pPr>
            <w:r>
              <w:rPr>
                <w:rFonts w:ascii="Aptos" w:hAnsi="Aptos"/>
                <w:color w:val="252525"/>
                <w:sz w:val="18"/>
              </w:rPr>
            </w:r>
            <w:r>
              <w:rPr>
                <w:rFonts w:ascii="Aptos" w:hAnsi="Aptos"/>
                <w:b w:val="0"/>
                <w:color w:val="252525"/>
                <w:sz w:val="18"/>
              </w:rPr>
              <w:t>Data import and data types</w:t>
            </w:r>
          </w:p>
        </w:tc>
        <w:tc>
          <w:tcPr>
            <w:tcW w:type="dxa" w:w="3312"/>
            <w:vAlign w:val="center"/>
            <w:shd w:fill="F0F0F0"/>
            <w:shd w:fill="FFFFFF"/>
          </w:tcPr>
          <w:p>
            <w:pPr>
              <w:jc w:val="left"/>
            </w:pPr>
            <w:r>
              <w:rPr>
                <w:rFonts w:ascii="Aptos" w:hAnsi="Aptos"/>
                <w:color w:val="252525"/>
                <w:sz w:val="18"/>
              </w:rPr>
            </w:r>
            <w:r>
              <w:rPr>
                <w:rFonts w:ascii="Aptos" w:hAnsi="Aptos"/>
                <w:b w:val="0"/>
                <w:color w:val="252525"/>
                <w:sz w:val="18"/>
              </w:rPr>
              <w:t>Import, inspect and prepare the real dataset in R.</w:t>
            </w:r>
          </w:p>
        </w:tc>
        <w:tc>
          <w:tcPr>
            <w:tcW w:type="dxa" w:w="3312"/>
            <w:vAlign w:val="center"/>
            <w:shd w:fill="F0F0F0"/>
            <w:shd w:fill="FFFFFF"/>
          </w:tcPr>
          <w:p>
            <w:pPr>
              <w:jc w:val="left"/>
            </w:pPr>
            <w:r>
              <w:rPr>
                <w:rFonts w:ascii="Aptos" w:hAnsi="Aptos"/>
                <w:color w:val="252525"/>
                <w:sz w:val="18"/>
              </w:rPr>
            </w:r>
            <w:r>
              <w:rPr>
                <w:rFonts w:ascii="Aptos" w:hAnsi="Aptos"/>
                <w:b/>
                <w:color w:val="5B2333"/>
                <w:sz w:val="18"/>
              </w:rPr>
              <w:t>Direct</w:t>
            </w:r>
          </w:p>
        </w:tc>
      </w:tr>
      <w:tr>
        <w:tc>
          <w:tcPr>
            <w:tcW w:type="dxa" w:w="3312"/>
            <w:vAlign w:val="center"/>
            <w:shd w:fill="F7F3F0"/>
          </w:tcPr>
          <w:p>
            <w:pPr>
              <w:jc w:val="left"/>
            </w:pPr>
            <w:r>
              <w:rPr>
                <w:rFonts w:ascii="Aptos" w:hAnsi="Aptos"/>
                <w:color w:val="252525"/>
                <w:sz w:val="18"/>
              </w:rPr>
            </w:r>
            <w:r>
              <w:rPr>
                <w:rFonts w:ascii="Aptos" w:hAnsi="Aptos"/>
                <w:b w:val="0"/>
                <w:color w:val="252525"/>
                <w:sz w:val="18"/>
              </w:rPr>
              <w:t>Summary statistics</w:t>
            </w:r>
          </w:p>
        </w:tc>
        <w:tc>
          <w:tcPr>
            <w:tcW w:type="dxa" w:w="3312"/>
            <w:vAlign w:val="center"/>
            <w:shd w:fill="F7F3F0"/>
          </w:tcPr>
          <w:p>
            <w:pPr>
              <w:jc w:val="left"/>
            </w:pPr>
            <w:r>
              <w:rPr>
                <w:rFonts w:ascii="Aptos" w:hAnsi="Aptos"/>
                <w:color w:val="252525"/>
                <w:sz w:val="18"/>
              </w:rPr>
            </w:r>
            <w:r>
              <w:rPr>
                <w:rFonts w:ascii="Aptos" w:hAnsi="Aptos"/>
                <w:b w:val="0"/>
                <w:color w:val="252525"/>
                <w:sz w:val="18"/>
              </w:rPr>
              <w:t>Describe the numerical data before digit analysis.</w:t>
            </w:r>
          </w:p>
        </w:tc>
        <w:tc>
          <w:tcPr>
            <w:tcW w:type="dxa" w:w="3312"/>
            <w:vAlign w:val="center"/>
            <w:shd w:fill="F7F3F0"/>
          </w:tcPr>
          <w:p>
            <w:pPr>
              <w:jc w:val="left"/>
            </w:pPr>
            <w:r>
              <w:rPr>
                <w:rFonts w:ascii="Aptos" w:hAnsi="Aptos"/>
                <w:color w:val="252525"/>
                <w:sz w:val="18"/>
              </w:rPr>
            </w:r>
            <w:r>
              <w:rPr>
                <w:rFonts w:ascii="Aptos" w:hAnsi="Aptos"/>
                <w:b/>
                <w:color w:val="5B2333"/>
                <w:sz w:val="18"/>
              </w:rPr>
              <w:t>Direct</w:t>
            </w:r>
          </w:p>
        </w:tc>
      </w:tr>
      <w:tr>
        <w:tc>
          <w:tcPr>
            <w:tcW w:type="dxa" w:w="3312"/>
            <w:vAlign w:val="center"/>
            <w:shd w:fill="F0F0F0"/>
            <w:shd w:fill="FFFFFF"/>
          </w:tcPr>
          <w:p>
            <w:pPr>
              <w:jc w:val="left"/>
            </w:pPr>
            <w:r>
              <w:rPr>
                <w:rFonts w:ascii="Aptos" w:hAnsi="Aptos"/>
                <w:color w:val="252525"/>
                <w:sz w:val="18"/>
              </w:rPr>
            </w:r>
            <w:r>
              <w:rPr>
                <w:rFonts w:ascii="Aptos" w:hAnsi="Aptos"/>
                <w:b w:val="0"/>
                <w:color w:val="252525"/>
                <w:sz w:val="18"/>
              </w:rPr>
              <w:t>Graphical representation</w:t>
            </w:r>
          </w:p>
        </w:tc>
        <w:tc>
          <w:tcPr>
            <w:tcW w:type="dxa" w:w="3312"/>
            <w:vAlign w:val="center"/>
            <w:shd w:fill="F0F0F0"/>
            <w:shd w:fill="FFFFFF"/>
          </w:tcPr>
          <w:p>
            <w:pPr>
              <w:jc w:val="left"/>
            </w:pPr>
            <w:r>
              <w:rPr>
                <w:rFonts w:ascii="Aptos" w:hAnsi="Aptos"/>
                <w:color w:val="252525"/>
                <w:sz w:val="18"/>
              </w:rPr>
            </w:r>
            <w:r>
              <w:rPr>
                <w:rFonts w:ascii="Aptos" w:hAnsi="Aptos"/>
                <w:b w:val="0"/>
                <w:color w:val="252525"/>
                <w:sz w:val="18"/>
              </w:rPr>
              <w:t>Use plots and tables to understand and present the data.</w:t>
            </w:r>
          </w:p>
        </w:tc>
        <w:tc>
          <w:tcPr>
            <w:tcW w:type="dxa" w:w="3312"/>
            <w:vAlign w:val="center"/>
            <w:shd w:fill="F0F0F0"/>
            <w:shd w:fill="FFFFFF"/>
          </w:tcPr>
          <w:p>
            <w:pPr>
              <w:jc w:val="left"/>
            </w:pPr>
            <w:r>
              <w:rPr>
                <w:rFonts w:ascii="Aptos" w:hAnsi="Aptos"/>
                <w:color w:val="252525"/>
                <w:sz w:val="18"/>
              </w:rPr>
            </w:r>
            <w:r>
              <w:rPr>
                <w:rFonts w:ascii="Aptos" w:hAnsi="Aptos"/>
                <w:b/>
                <w:color w:val="5B2333"/>
                <w:sz w:val="18"/>
              </w:rPr>
              <w:t>Direct</w:t>
            </w:r>
          </w:p>
        </w:tc>
      </w:tr>
      <w:tr>
        <w:tc>
          <w:tcPr>
            <w:tcW w:type="dxa" w:w="3312"/>
            <w:vAlign w:val="center"/>
            <w:shd w:fill="F7F3F0"/>
          </w:tcPr>
          <w:p>
            <w:pPr>
              <w:jc w:val="left"/>
            </w:pPr>
            <w:r>
              <w:rPr>
                <w:rFonts w:ascii="Aptos" w:hAnsi="Aptos"/>
                <w:color w:val="252525"/>
                <w:sz w:val="18"/>
              </w:rPr>
            </w:r>
            <w:r>
              <w:rPr>
                <w:rFonts w:ascii="Aptos" w:hAnsi="Aptos"/>
                <w:b w:val="0"/>
                <w:color w:val="252525"/>
                <w:sz w:val="18"/>
              </w:rPr>
              <w:t>Probability distributions</w:t>
            </w:r>
          </w:p>
        </w:tc>
        <w:tc>
          <w:tcPr>
            <w:tcW w:type="dxa" w:w="3312"/>
            <w:vAlign w:val="center"/>
            <w:shd w:fill="F7F3F0"/>
          </w:tcPr>
          <w:p>
            <w:pPr>
              <w:jc w:val="left"/>
            </w:pPr>
            <w:r>
              <w:rPr>
                <w:rFonts w:ascii="Aptos" w:hAnsi="Aptos"/>
                <w:color w:val="252525"/>
                <w:sz w:val="18"/>
              </w:rPr>
            </w:r>
            <w:r>
              <w:rPr>
                <w:rFonts w:ascii="Aptos" w:hAnsi="Aptos"/>
                <w:b w:val="0"/>
                <w:color w:val="252525"/>
                <w:sz w:val="18"/>
              </w:rPr>
              <w:t>Use the theoretical Benford first-digit distribution as the project’s statistical context.</w:t>
            </w:r>
          </w:p>
        </w:tc>
        <w:tc>
          <w:tcPr>
            <w:tcW w:type="dxa" w:w="3312"/>
            <w:vAlign w:val="center"/>
            <w:shd w:fill="F7F3F0"/>
          </w:tcPr>
          <w:p>
            <w:pPr>
              <w:jc w:val="left"/>
            </w:pPr>
            <w:r>
              <w:rPr>
                <w:rFonts w:ascii="Aptos" w:hAnsi="Aptos"/>
                <w:color w:val="252525"/>
                <w:sz w:val="18"/>
              </w:rPr>
            </w:r>
            <w:r>
              <w:rPr>
                <w:rFonts w:ascii="Aptos" w:hAnsi="Aptos"/>
                <w:b/>
                <w:color w:val="5B2333"/>
                <w:sz w:val="18"/>
              </w:rPr>
              <w:t>Related / application</w:t>
            </w:r>
          </w:p>
        </w:tc>
      </w:tr>
      <w:tr>
        <w:tc>
          <w:tcPr>
            <w:tcW w:type="dxa" w:w="3312"/>
            <w:vAlign w:val="center"/>
            <w:shd w:fill="F0F0F0"/>
            <w:shd w:fill="FFFFFF"/>
          </w:tcPr>
          <w:p>
            <w:pPr>
              <w:jc w:val="left"/>
            </w:pPr>
            <w:r>
              <w:rPr>
                <w:rFonts w:ascii="Aptos" w:hAnsi="Aptos"/>
                <w:color w:val="252525"/>
                <w:sz w:val="18"/>
              </w:rPr>
            </w:r>
            <w:r>
              <w:rPr>
                <w:rFonts w:ascii="Aptos" w:hAnsi="Aptos"/>
                <w:b w:val="0"/>
                <w:color w:val="252525"/>
                <w:sz w:val="18"/>
              </w:rPr>
              <w:t>Hypothesis testing</w:t>
            </w:r>
          </w:p>
        </w:tc>
        <w:tc>
          <w:tcPr>
            <w:tcW w:type="dxa" w:w="3312"/>
            <w:vAlign w:val="center"/>
            <w:shd w:fill="F0F0F0"/>
            <w:shd w:fill="FFFFFF"/>
          </w:tcPr>
          <w:p>
            <w:pPr>
              <w:jc w:val="left"/>
            </w:pPr>
            <w:r>
              <w:rPr>
                <w:rFonts w:ascii="Aptos" w:hAnsi="Aptos"/>
                <w:color w:val="252525"/>
                <w:sz w:val="18"/>
              </w:rPr>
            </w:r>
            <w:r>
              <w:rPr>
                <w:rFonts w:ascii="Aptos" w:hAnsi="Aptos"/>
                <w:b w:val="0"/>
                <w:color w:val="252525"/>
                <w:sz w:val="18"/>
              </w:rPr>
              <w:t>Form H₀/H₁ and make a statistical decision from the test result.</w:t>
            </w:r>
          </w:p>
        </w:tc>
        <w:tc>
          <w:tcPr>
            <w:tcW w:type="dxa" w:w="3312"/>
            <w:vAlign w:val="center"/>
            <w:shd w:fill="F0F0F0"/>
            <w:shd w:fill="FFFFFF"/>
          </w:tcPr>
          <w:p>
            <w:pPr>
              <w:jc w:val="left"/>
            </w:pPr>
            <w:r>
              <w:rPr>
                <w:rFonts w:ascii="Aptos" w:hAnsi="Aptos"/>
                <w:color w:val="252525"/>
                <w:sz w:val="18"/>
              </w:rPr>
            </w:r>
            <w:r>
              <w:rPr>
                <w:rFonts w:ascii="Aptos" w:hAnsi="Aptos"/>
                <w:b/>
                <w:color w:val="5B2333"/>
                <w:sz w:val="18"/>
              </w:rPr>
              <w:t>Direct</w:t>
            </w:r>
          </w:p>
        </w:tc>
      </w:tr>
      <w:tr>
        <w:tc>
          <w:tcPr>
            <w:tcW w:type="dxa" w:w="3312"/>
            <w:vAlign w:val="center"/>
            <w:shd w:fill="F7F3F0"/>
          </w:tcPr>
          <w:p>
            <w:pPr>
              <w:jc w:val="left"/>
            </w:pPr>
            <w:r>
              <w:rPr>
                <w:rFonts w:ascii="Aptos" w:hAnsi="Aptos"/>
                <w:color w:val="252525"/>
                <w:sz w:val="18"/>
              </w:rPr>
            </w:r>
            <w:r>
              <w:rPr>
                <w:rFonts w:ascii="Aptos" w:hAnsi="Aptos"/>
                <w:b w:val="0"/>
                <w:color w:val="252525"/>
                <w:sz w:val="18"/>
              </w:rPr>
              <w:t>Chi-square goodness-of-fit</w:t>
            </w:r>
          </w:p>
        </w:tc>
        <w:tc>
          <w:tcPr>
            <w:tcW w:type="dxa" w:w="3312"/>
            <w:vAlign w:val="center"/>
            <w:shd w:fill="F7F3F0"/>
          </w:tcPr>
          <w:p>
            <w:pPr>
              <w:jc w:val="left"/>
            </w:pPr>
            <w:r>
              <w:rPr>
                <w:rFonts w:ascii="Aptos" w:hAnsi="Aptos"/>
                <w:color w:val="252525"/>
                <w:sz w:val="18"/>
              </w:rPr>
            </w:r>
            <w:r>
              <w:rPr>
                <w:rFonts w:ascii="Aptos" w:hAnsi="Aptos"/>
                <w:b w:val="0"/>
                <w:color w:val="252525"/>
                <w:sz w:val="18"/>
              </w:rPr>
              <w:t>Test observed first-digit frequencies against expected frequencies.</w:t>
            </w:r>
          </w:p>
        </w:tc>
        <w:tc>
          <w:tcPr>
            <w:tcW w:type="dxa" w:w="3312"/>
            <w:vAlign w:val="center"/>
            <w:shd w:fill="F7F3F0"/>
          </w:tcPr>
          <w:p>
            <w:pPr>
              <w:jc w:val="left"/>
            </w:pPr>
            <w:r>
              <w:rPr>
                <w:rFonts w:ascii="Aptos" w:hAnsi="Aptos"/>
                <w:color w:val="252525"/>
                <w:sz w:val="18"/>
              </w:rPr>
            </w:r>
            <w:r>
              <w:rPr>
                <w:rFonts w:ascii="Aptos" w:hAnsi="Aptos"/>
                <w:b/>
                <w:color w:val="5B2333"/>
                <w:sz w:val="18"/>
              </w:rPr>
              <w:t>Direct / core</w:t>
            </w:r>
          </w:p>
        </w:tc>
      </w:tr>
      <w:tr>
        <w:tc>
          <w:tcPr>
            <w:tcW w:type="dxa" w:w="3312"/>
            <w:vAlign w:val="center"/>
            <w:shd w:fill="F0F0F0"/>
            <w:shd w:fill="FFFFFF"/>
          </w:tcPr>
          <w:p>
            <w:pPr>
              <w:jc w:val="left"/>
            </w:pPr>
            <w:r>
              <w:rPr>
                <w:rFonts w:ascii="Aptos" w:hAnsi="Aptos"/>
                <w:color w:val="252525"/>
                <w:sz w:val="18"/>
              </w:rPr>
            </w:r>
            <w:r>
              <w:rPr>
                <w:rFonts w:ascii="Aptos" w:hAnsi="Aptos"/>
                <w:b w:val="0"/>
                <w:color w:val="252525"/>
                <w:sz w:val="18"/>
              </w:rPr>
              <w:t>Correlation / regression</w:t>
            </w:r>
          </w:p>
        </w:tc>
        <w:tc>
          <w:tcPr>
            <w:tcW w:type="dxa" w:w="3312"/>
            <w:vAlign w:val="center"/>
            <w:shd w:fill="F0F0F0"/>
            <w:shd w:fill="FFFFFF"/>
          </w:tcPr>
          <w:p>
            <w:pPr>
              <w:jc w:val="left"/>
            </w:pPr>
            <w:r>
              <w:rPr>
                <w:rFonts w:ascii="Aptos" w:hAnsi="Aptos"/>
                <w:color w:val="252525"/>
                <w:sz w:val="18"/>
              </w:rPr>
            </w:r>
            <w:r>
              <w:rPr>
                <w:rFonts w:ascii="Aptos" w:hAnsi="Aptos"/>
                <w:b w:val="0"/>
                <w:color w:val="252525"/>
                <w:sz w:val="18"/>
              </w:rPr>
              <w:t>Use only if the final dataset provides a meaningful secondary research question.</w:t>
            </w:r>
          </w:p>
        </w:tc>
        <w:tc>
          <w:tcPr>
            <w:tcW w:type="dxa" w:w="3312"/>
            <w:vAlign w:val="center"/>
            <w:shd w:fill="F0F0F0"/>
            <w:shd w:fill="FFFFFF"/>
          </w:tcPr>
          <w:p>
            <w:pPr>
              <w:jc w:val="left"/>
            </w:pPr>
            <w:r>
              <w:rPr>
                <w:rFonts w:ascii="Aptos" w:hAnsi="Aptos"/>
                <w:color w:val="252525"/>
                <w:sz w:val="18"/>
              </w:rPr>
            </w:r>
            <w:r>
              <w:rPr>
                <w:rFonts w:ascii="Aptos" w:hAnsi="Aptos"/>
                <w:b/>
                <w:color w:val="5B2333"/>
                <w:sz w:val="18"/>
              </w:rPr>
              <w:t>Optional</w:t>
            </w:r>
          </w:p>
        </w:tc>
      </w:tr>
      <w:tr>
        <w:tc>
          <w:tcPr>
            <w:tcW w:type="dxa" w:w="3312"/>
            <w:vAlign w:val="center"/>
            <w:shd w:fill="F7F3F0"/>
          </w:tcPr>
          <w:p>
            <w:pPr>
              <w:jc w:val="left"/>
            </w:pPr>
            <w:r>
              <w:rPr>
                <w:rFonts w:ascii="Aptos" w:hAnsi="Aptos"/>
                <w:color w:val="252525"/>
                <w:sz w:val="18"/>
              </w:rPr>
            </w:r>
            <w:r>
              <w:rPr>
                <w:rFonts w:ascii="Aptos" w:hAnsi="Aptos"/>
                <w:b w:val="0"/>
                <w:color w:val="252525"/>
                <w:sz w:val="18"/>
              </w:rPr>
              <w:t>t-test / ANOVA</w:t>
            </w:r>
          </w:p>
        </w:tc>
        <w:tc>
          <w:tcPr>
            <w:tcW w:type="dxa" w:w="3312"/>
            <w:vAlign w:val="center"/>
            <w:shd w:fill="F7F3F0"/>
          </w:tcPr>
          <w:p>
            <w:pPr>
              <w:jc w:val="left"/>
            </w:pPr>
            <w:r>
              <w:rPr>
                <w:rFonts w:ascii="Aptos" w:hAnsi="Aptos"/>
                <w:color w:val="252525"/>
                <w:sz w:val="18"/>
              </w:rPr>
            </w:r>
            <w:r>
              <w:rPr>
                <w:rFonts w:ascii="Aptos" w:hAnsi="Aptos"/>
                <w:b w:val="0"/>
                <w:color w:val="252525"/>
                <w:sz w:val="18"/>
              </w:rPr>
              <w:t>Use only if a valid group-comparison question arises from the chosen dataset.</w:t>
            </w:r>
          </w:p>
        </w:tc>
        <w:tc>
          <w:tcPr>
            <w:tcW w:type="dxa" w:w="3312"/>
            <w:vAlign w:val="center"/>
            <w:shd w:fill="F7F3F0"/>
          </w:tcPr>
          <w:p>
            <w:pPr>
              <w:jc w:val="left"/>
            </w:pPr>
            <w:r>
              <w:rPr>
                <w:rFonts w:ascii="Aptos" w:hAnsi="Aptos"/>
                <w:color w:val="252525"/>
                <w:sz w:val="18"/>
              </w:rPr>
            </w:r>
            <w:r>
              <w:rPr>
                <w:rFonts w:ascii="Aptos" w:hAnsi="Aptos"/>
                <w:b/>
                <w:color w:val="5B2333"/>
                <w:sz w:val="18"/>
              </w:rPr>
              <w:t>Optional</w:t>
            </w:r>
          </w:p>
        </w:tc>
      </w:tr>
    </w:tbl>
    <w:tbl>
      <w:tblPr>
        <w:tblW w:type="auto" w:w="0"/>
        <w:jc w:val="center"/>
        <w:tblLayout w:type="autofit"/>
        <w:tblLook w:firstColumn="1" w:firstRow="1" w:lastColumn="0" w:lastRow="0" w:noHBand="0" w:noVBand="1" w:val="04A0"/>
      </w:tblPr>
      <w:tblGrid>
        <w:gridCol w:w="9936"/>
      </w:tblGrid>
      <w:tr>
        <w:tc>
          <w:tcPr>
            <w:tcW w:type="dxa" w:w="9936"/>
            <w:shd w:fill="333333"/>
            <w:vAlign w:val="center"/>
          </w:tcPr>
          <w:p>
            <w:pPr>
              <w:jc w:val="center"/>
            </w:pPr>
            <w:r/>
            <w:r>
              <w:rPr>
                <w:rFonts w:ascii="Aptos" w:hAnsi="Aptos"/>
                <w:b/>
                <w:color w:val="FFFFFF"/>
                <w:sz w:val="22"/>
              </w:rPr>
              <w:t>08  SOFTWARES AND TOOLS</w:t>
            </w:r>
          </w:p>
        </w:tc>
      </w:tr>
    </w:tbl>
    <w:p>
      <w:pPr>
        <w:spacing w:after="0"/>
      </w:pPr>
    </w:p>
    <w:tbl>
      <w:tblPr>
        <w:tblW w:type="auto" w:w="0"/>
        <w:jc w:val="center"/>
        <w:tblLook w:firstColumn="1" w:firstRow="1" w:lastColumn="0" w:lastRow="0" w:noHBand="0" w:noVBand="1" w:val="04A0"/>
      </w:tblPr>
      <w:tblGrid>
        <w:gridCol w:w="4968"/>
        <w:gridCol w:w="4968"/>
      </w:tblGrid>
      <w:tr>
        <w:tc>
          <w:tcPr>
            <w:tcW w:type="dxa" w:w="4968"/>
            <w:vAlign w:val="center"/>
            <w:shd w:fill="333333"/>
            <w:shd w:fill="5B2333"/>
          </w:tcPr>
          <w:p>
            <w:pPr>
              <w:jc w:val="left"/>
            </w:pPr>
            <w:r>
              <w:rPr>
                <w:rFonts w:ascii="Aptos" w:hAnsi="Aptos"/>
                <w:b/>
                <w:color w:val="FFFFFF"/>
                <w:sz w:val="18"/>
              </w:rPr>
            </w:r>
            <w:r>
              <w:rPr>
                <w:rFonts w:ascii="Aptos" w:hAnsi="Aptos"/>
                <w:b/>
                <w:color w:val="FFFFFF"/>
                <w:sz w:val="18"/>
              </w:rPr>
              <w:t>Tool</w:t>
            </w:r>
          </w:p>
        </w:tc>
        <w:tc>
          <w:tcPr>
            <w:tcW w:type="dxa" w:w="4968"/>
            <w:vAlign w:val="center"/>
            <w:shd w:fill="333333"/>
            <w:shd w:fill="5B2333"/>
          </w:tcPr>
          <w:p>
            <w:pPr>
              <w:jc w:val="left"/>
            </w:pPr>
            <w:r>
              <w:rPr>
                <w:rFonts w:ascii="Aptos" w:hAnsi="Aptos"/>
                <w:b/>
                <w:color w:val="FFFFFF"/>
                <w:sz w:val="18"/>
              </w:rPr>
            </w:r>
            <w:r>
              <w:rPr>
                <w:rFonts w:ascii="Aptos" w:hAnsi="Aptos"/>
                <w:b/>
                <w:color w:val="FFFFFF"/>
                <w:sz w:val="18"/>
              </w:rPr>
              <w:t>Purpose</w:t>
            </w:r>
          </w:p>
        </w:tc>
      </w:tr>
      <w:tr>
        <w:tc>
          <w:tcPr>
            <w:tcW w:type="dxa" w:w="4968"/>
            <w:vAlign w:val="center"/>
            <w:shd w:fill="FFFFFF"/>
          </w:tcPr>
          <w:p>
            <w:pPr>
              <w:jc w:val="left"/>
            </w:pPr>
            <w:r>
              <w:rPr>
                <w:rFonts w:ascii="Aptos" w:hAnsi="Aptos"/>
                <w:color w:val="252525"/>
                <w:sz w:val="18"/>
              </w:rPr>
            </w:r>
            <w:r>
              <w:rPr>
                <w:rFonts w:ascii="Aptos" w:hAnsi="Aptos"/>
                <w:b/>
                <w:color w:val="5B2333"/>
                <w:sz w:val="18"/>
              </w:rPr>
              <w:t>R</w:t>
            </w:r>
          </w:p>
        </w:tc>
        <w:tc>
          <w:tcPr>
            <w:tcW w:type="dxa" w:w="4968"/>
            <w:vAlign w:val="center"/>
            <w:shd w:fill="FFFFFF"/>
          </w:tcPr>
          <w:p>
            <w:pPr>
              <w:jc w:val="left"/>
            </w:pPr>
            <w:r>
              <w:rPr>
                <w:rFonts w:ascii="Aptos" w:hAnsi="Aptos"/>
                <w:color w:val="252525"/>
                <w:sz w:val="18"/>
              </w:rPr>
            </w:r>
            <w:r>
              <w:rPr>
                <w:rFonts w:ascii="Aptos" w:hAnsi="Aptos"/>
                <w:b w:val="0"/>
                <w:color w:val="252525"/>
                <w:sz w:val="18"/>
              </w:rPr>
              <w:t>Primary language for data import, preprocessing, statistical analysis and reproducible results.</w:t>
            </w:r>
          </w:p>
        </w:tc>
      </w:tr>
      <w:tr>
        <w:tc>
          <w:tcPr>
            <w:tcW w:type="dxa" w:w="4968"/>
            <w:vAlign w:val="center"/>
            <w:shd w:fill="F7F3F0"/>
          </w:tcPr>
          <w:p>
            <w:pPr>
              <w:jc w:val="left"/>
            </w:pPr>
            <w:r>
              <w:rPr>
                <w:rFonts w:ascii="Aptos" w:hAnsi="Aptos"/>
                <w:color w:val="252525"/>
                <w:sz w:val="18"/>
              </w:rPr>
            </w:r>
            <w:r>
              <w:rPr>
                <w:rFonts w:ascii="Aptos" w:hAnsi="Aptos"/>
                <w:b/>
                <w:color w:val="5B2333"/>
                <w:sz w:val="18"/>
              </w:rPr>
              <w:t>RStudio</w:t>
            </w:r>
          </w:p>
        </w:tc>
        <w:tc>
          <w:tcPr>
            <w:tcW w:type="dxa" w:w="4968"/>
            <w:vAlign w:val="center"/>
            <w:shd w:fill="F7F3F0"/>
          </w:tcPr>
          <w:p>
            <w:pPr>
              <w:jc w:val="left"/>
            </w:pPr>
            <w:r>
              <w:rPr>
                <w:rFonts w:ascii="Aptos" w:hAnsi="Aptos"/>
                <w:color w:val="252525"/>
                <w:sz w:val="18"/>
              </w:rPr>
            </w:r>
            <w:r>
              <w:rPr>
                <w:rFonts w:ascii="Aptos" w:hAnsi="Aptos"/>
                <w:b w:val="0"/>
                <w:color w:val="252525"/>
                <w:sz w:val="18"/>
              </w:rPr>
              <w:t>Development environment for writing, running and organizing the R analysis.</w:t>
            </w:r>
          </w:p>
        </w:tc>
      </w:tr>
      <w:tr>
        <w:tc>
          <w:tcPr>
            <w:tcW w:type="dxa" w:w="4968"/>
            <w:vAlign w:val="center"/>
            <w:shd w:fill="FFFFFF"/>
          </w:tcPr>
          <w:p>
            <w:pPr>
              <w:jc w:val="left"/>
            </w:pPr>
            <w:r>
              <w:rPr>
                <w:rFonts w:ascii="Aptos" w:hAnsi="Aptos"/>
                <w:color w:val="252525"/>
                <w:sz w:val="18"/>
              </w:rPr>
            </w:r>
            <w:r>
              <w:rPr>
                <w:rFonts w:ascii="Aptos" w:hAnsi="Aptos"/>
                <w:b/>
                <w:color w:val="5B2333"/>
                <w:sz w:val="18"/>
              </w:rPr>
              <w:t>R packages</w:t>
            </w:r>
          </w:p>
        </w:tc>
        <w:tc>
          <w:tcPr>
            <w:tcW w:type="dxa" w:w="4968"/>
            <w:vAlign w:val="center"/>
            <w:shd w:fill="FFFFFF"/>
          </w:tcPr>
          <w:p>
            <w:pPr>
              <w:jc w:val="left"/>
            </w:pPr>
            <w:r>
              <w:rPr>
                <w:rFonts w:ascii="Aptos" w:hAnsi="Aptos"/>
                <w:color w:val="252525"/>
                <w:sz w:val="18"/>
              </w:rPr>
            </w:r>
            <w:r>
              <w:rPr>
                <w:rFonts w:ascii="Aptos" w:hAnsi="Aptos"/>
                <w:b w:val="0"/>
                <w:color w:val="252525"/>
                <w:sz w:val="18"/>
              </w:rPr>
              <w:t>Packages will be selected only where they support data handling, visualization and the required statistical analysis.</w:t>
            </w:r>
          </w:p>
        </w:tc>
      </w:tr>
      <w:tr>
        <w:tc>
          <w:tcPr>
            <w:tcW w:type="dxa" w:w="4968"/>
            <w:vAlign w:val="center"/>
            <w:shd w:fill="F7F3F0"/>
          </w:tcPr>
          <w:p>
            <w:pPr>
              <w:jc w:val="left"/>
            </w:pPr>
            <w:r>
              <w:rPr>
                <w:rFonts w:ascii="Aptos" w:hAnsi="Aptos"/>
                <w:color w:val="252525"/>
                <w:sz w:val="18"/>
              </w:rPr>
            </w:r>
            <w:r>
              <w:rPr>
                <w:rFonts w:ascii="Aptos" w:hAnsi="Aptos"/>
                <w:b/>
                <w:color w:val="5B2333"/>
                <w:sz w:val="18"/>
              </w:rPr>
              <w:t>CSV / tabular datasets</w:t>
            </w:r>
          </w:p>
        </w:tc>
        <w:tc>
          <w:tcPr>
            <w:tcW w:type="dxa" w:w="4968"/>
            <w:vAlign w:val="center"/>
            <w:shd w:fill="F7F3F0"/>
          </w:tcPr>
          <w:p>
            <w:pPr>
              <w:jc w:val="left"/>
            </w:pPr>
            <w:r>
              <w:rPr>
                <w:rFonts w:ascii="Aptos" w:hAnsi="Aptos"/>
                <w:color w:val="252525"/>
                <w:sz w:val="18"/>
              </w:rPr>
            </w:r>
            <w:r>
              <w:rPr>
                <w:rFonts w:ascii="Aptos" w:hAnsi="Aptos"/>
                <w:b w:val="0"/>
                <w:color w:val="252525"/>
                <w:sz w:val="18"/>
              </w:rPr>
              <w:t>Primary data format for importing and documenting the selected real-world data.</w:t>
            </w:r>
          </w:p>
        </w:tc>
      </w:tr>
    </w:tbl>
    <w:p>
      <w:r>
        <w:br w:type="page"/>
      </w:r>
    </w:p>
    <w:tbl>
      <w:tblPr>
        <w:tblW w:type="auto" w:w="0"/>
        <w:jc w:val="center"/>
        <w:tblLayout w:type="autofit"/>
        <w:tblLook w:firstColumn="1" w:firstRow="1" w:lastColumn="0" w:lastRow="0" w:noHBand="0" w:noVBand="1" w:val="04A0"/>
      </w:tblPr>
      <w:tblGrid>
        <w:gridCol w:w="9936"/>
      </w:tblGrid>
      <w:tr>
        <w:tc>
          <w:tcPr>
            <w:tcW w:type="dxa" w:w="9936"/>
            <w:shd w:fill="333333"/>
            <w:vAlign w:val="center"/>
          </w:tcPr>
          <w:p>
            <w:pPr>
              <w:jc w:val="center"/>
            </w:pPr>
            <w:r/>
            <w:r>
              <w:rPr>
                <w:rFonts w:ascii="Aptos" w:hAnsi="Aptos"/>
                <w:b/>
                <w:color w:val="FFFFFF"/>
                <w:sz w:val="22"/>
              </w:rPr>
              <w:t>09  EXPECTED PROJECT OUTPUT</w:t>
            </w:r>
          </w:p>
        </w:tc>
      </w:tr>
    </w:tbl>
    <w:p>
      <w:pPr>
        <w:spacing w:after="0"/>
      </w:pPr>
    </w:p>
    <w:p>
      <w:pPr>
        <w:spacing w:after="80"/>
        <w:ind w:left="288"/>
      </w:pPr>
      <w:r>
        <w:rPr>
          <w:b/>
          <w:color w:val="555555"/>
        </w:rPr>
        <w:t xml:space="preserve">• </w:t>
      </w:r>
      <w:r>
        <w:t>A cleaned and documented real-world numerical dataset.</w:t>
      </w:r>
    </w:p>
    <w:p>
      <w:pPr>
        <w:spacing w:after="80"/>
        <w:ind w:left="288"/>
      </w:pPr>
      <w:r>
        <w:rPr>
          <w:b/>
          <w:color w:val="555555"/>
        </w:rPr>
        <w:t xml:space="preserve">• </w:t>
      </w:r>
      <w:r>
        <w:t>Summary statistics and exploratory visualizations.</w:t>
      </w:r>
    </w:p>
    <w:p>
      <w:pPr>
        <w:spacing w:after="80"/>
        <w:ind w:left="288"/>
      </w:pPr>
      <w:r>
        <w:rPr>
          <w:b/>
          <w:color w:val="555555"/>
        </w:rPr>
        <w:t xml:space="preserve">• </w:t>
      </w:r>
      <w:r>
        <w:t>Observed first-digit frequency distribution.</w:t>
      </w:r>
    </w:p>
    <w:p>
      <w:pPr>
        <w:spacing w:after="80"/>
        <w:ind w:left="288"/>
      </w:pPr>
      <w:r>
        <w:rPr>
          <w:b/>
          <w:color w:val="555555"/>
        </w:rPr>
        <w:t xml:space="preserve">• </w:t>
      </w:r>
      <w:r>
        <w:t>Theoretical Benford expected distribution.</w:t>
      </w:r>
    </w:p>
    <w:p>
      <w:pPr>
        <w:spacing w:after="80"/>
        <w:ind w:left="288"/>
      </w:pPr>
      <w:r>
        <w:rPr>
          <w:b/>
          <w:color w:val="555555"/>
        </w:rPr>
        <w:t xml:space="preserve">• </w:t>
      </w:r>
      <w:r>
        <w:t>Observed-versus-expected comparison table and visualization.</w:t>
      </w:r>
    </w:p>
    <w:p>
      <w:pPr>
        <w:spacing w:after="80"/>
        <w:ind w:left="288"/>
      </w:pPr>
      <w:r>
        <w:rPr>
          <w:b/>
          <w:color w:val="555555"/>
        </w:rPr>
        <w:t xml:space="preserve">• </w:t>
      </w:r>
      <w:r>
        <w:t>Chi-square goodness-of-fit statistic and p-value.</w:t>
      </w:r>
    </w:p>
    <w:p>
      <w:pPr>
        <w:spacing w:after="80"/>
        <w:ind w:left="288"/>
      </w:pPr>
      <w:r>
        <w:rPr>
          <w:b/>
          <w:color w:val="555555"/>
        </w:rPr>
        <w:t xml:space="preserve">• </w:t>
      </w:r>
      <w:r>
        <w:t>A statistical conclusion for each analysed dataset or subset.</w:t>
      </w:r>
    </w:p>
    <w:p>
      <w:pPr>
        <w:spacing w:after="80"/>
        <w:ind w:left="288"/>
      </w:pPr>
      <w:r>
        <w:rPr>
          <w:b/>
          <w:color w:val="555555"/>
        </w:rPr>
        <w:t xml:space="preserve">• </w:t>
      </w:r>
      <w:r>
        <w:t>Anomaly flags accompanied by appropriate limitations and explanations.</w:t>
      </w:r>
    </w:p>
    <w:tbl>
      <w:tblPr>
        <w:tblW w:type="auto" w:w="0"/>
        <w:jc w:val="center"/>
        <w:tblLayout w:type="autofit"/>
        <w:tblLook w:firstColumn="1" w:firstRow="1" w:lastColumn="0" w:lastRow="0" w:noHBand="0" w:noVBand="1" w:val="04A0"/>
      </w:tblPr>
      <w:tblGrid>
        <w:gridCol w:w="9936"/>
      </w:tblGrid>
      <w:tr>
        <w:tc>
          <w:tcPr>
            <w:tcW w:type="dxa" w:w="9936"/>
            <w:shd w:fill="333333"/>
            <w:vAlign w:val="center"/>
          </w:tcPr>
          <w:p>
            <w:pPr>
              <w:jc w:val="center"/>
            </w:pPr>
            <w:r/>
            <w:r>
              <w:rPr>
                <w:rFonts w:ascii="Aptos" w:hAnsi="Aptos"/>
                <w:b/>
                <w:color w:val="FFFFFF"/>
                <w:sz w:val="22"/>
              </w:rPr>
              <w:t>10  PROJECT BOUNDARY</w:t>
            </w:r>
          </w:p>
        </w:tc>
      </w:tr>
    </w:tbl>
    <w:p>
      <w:pPr>
        <w:spacing w:after="0"/>
      </w:pPr>
    </w:p>
    <w:tbl>
      <w:tblPr>
        <w:tblW w:type="auto" w:w="0"/>
        <w:tblLook w:firstColumn="1" w:firstRow="1" w:lastColumn="0" w:lastRow="0" w:noHBand="0" w:noVBand="1" w:val="04A0"/>
      </w:tblPr>
      <w:tblGrid>
        <w:gridCol w:w="9936"/>
      </w:tblGrid>
      <w:tr>
        <w:tc>
          <w:tcPr>
            <w:tcW w:type="dxa" w:w="9936"/>
            <w:shd w:fill="F0F0F0"/>
          </w:tcPr>
          <w:p>
            <w:r/>
            <w:r>
              <w:rPr>
                <w:b/>
                <w:color w:val="333333"/>
                <w:sz w:val="21"/>
              </w:rPr>
              <w:t>What the project will say</w:t>
            </w:r>
          </w:p>
          <w:p>
            <w:pPr>
              <w:spacing w:after="0"/>
            </w:pPr>
            <w:r>
              <w:t>The analysis will identify statistically unusual first-digit patterns and flag them for further investigation.</w:t>
            </w:r>
          </w:p>
        </w:tc>
      </w:tr>
    </w:tbl>
    <w:tbl>
      <w:tblPr>
        <w:tblW w:type="auto" w:w="0"/>
        <w:tblLook w:firstColumn="1" w:firstRow="1" w:lastColumn="0" w:lastRow="0" w:noHBand="0" w:noVBand="1" w:val="04A0"/>
      </w:tblPr>
      <w:tblGrid>
        <w:gridCol w:w="9936"/>
      </w:tblGrid>
      <w:tr>
        <w:tc>
          <w:tcPr>
            <w:tcW w:type="dxa" w:w="9936"/>
            <w:shd w:fill="F0F0F0"/>
          </w:tcPr>
          <w:p>
            <w:r/>
            <w:r>
              <w:rPr>
                <w:b/>
                <w:color w:val="333333"/>
                <w:sz w:val="21"/>
              </w:rPr>
              <w:t>What the project will NOT say</w:t>
            </w:r>
          </w:p>
          <w:p>
            <w:pPr>
              <w:spacing w:after="0"/>
            </w:pPr>
            <w:r>
              <w:t>A deviation from Benford’s Law is not treated as proof of fraud, manipulation or intentional wrongdoing. Dataset suitability, data-generation processes and other legitimate explanations must be considered.</w:t>
            </w:r>
          </w:p>
        </w:tc>
      </w:tr>
    </w:tbl>
    <w:p>
      <w:pPr>
        <w:spacing w:before="360"/>
        <w:jc w:val="center"/>
      </w:pPr>
      <w:r>
        <w:rPr>
          <w:i/>
          <w:color w:val="666666"/>
          <w:sz w:val="18"/>
        </w:rPr>
        <w:t>Project Review 1 • Benford’s Law-based statistical anomaly investigation</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A6A6E"/>
        <w:sz w:val="16"/>
      </w:rPr>
      <w:t>Probability and Statistics Project  •  Project Review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5252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5B2333"/>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B233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2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52525"/>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