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1F4E79"/>
          <w:sz w:val="48"/>
          <w:szCs w:val="48"/>
        </w:rPr>
        <w:t xml:space="preserve">Supermarket Sales Analysis</w:t>
      </w:r>
    </w:p>
    <w:p>
      <w:pPr>
        <w:pBdr>
          <w:bottom w:val="single" w:color="1F4E79" w:sz="8" w:space="4"/>
        </w:pBdr>
        <w:spacing w:after="200"/>
      </w:pPr>
      <w:r>
        <w:rPr>
          <w:rFonts w:ascii="Calibri" w:cs="Calibri" w:eastAsia="Calibri" w:hAnsi="Calibri"/>
          <w:color w:val="595959"/>
          <w:sz w:val="22"/>
          <w:szCs w:val="22"/>
        </w:rPr>
        <w:t xml:space="preserve">Data Analytics Project  |  500 transactions, Jan – Jul 2026</w:t>
      </w:r>
    </w:p>
    <w:p>
      <w:pPr>
        <w:pStyle w:val="Heading1"/>
        <w:spacing w:after="120" w:before="300"/>
      </w:pPr>
      <w:r>
        <w:rPr>
          <w:rFonts w:ascii="Calibri" w:cs="Calibri" w:eastAsia="Calibri" w:hAnsi="Calibri"/>
          <w:b/>
          <w:bCs/>
          <w:color w:val="1F4E79"/>
          <w:sz w:val="30"/>
          <w:szCs w:val="30"/>
        </w:rPr>
        <w:t xml:space="preserve">1. Problem Statement</w:t>
      </w:r>
    </w:p>
    <w:p>
      <w:pPr>
        <w:spacing w:after="120" w:line="276"/>
      </w:pPr>
      <w:r>
        <w:rPr>
          <w:rFonts w:ascii="Calibri" w:cs="Calibri" w:eastAsia="Calibri" w:hAnsi="Calibri"/>
          <w:sz w:val="22"/>
          <w:szCs w:val="22"/>
        </w:rPr>
        <w:t xml:space="preserve">The aim of this project is to analyze supermarket sales data and find useful information about products, branches, categories, customers, payments, and ratings.</w:t>
      </w:r>
    </w:p>
    <w:p>
      <w:pPr>
        <w:pStyle w:val="Heading1"/>
        <w:spacing w:after="120" w:before="300"/>
      </w:pPr>
      <w:r>
        <w:rPr>
          <w:rFonts w:ascii="Calibri" w:cs="Calibri" w:eastAsia="Calibri" w:hAnsi="Calibri"/>
          <w:b/>
          <w:bCs/>
          <w:color w:val="1F4E79"/>
          <w:sz w:val="30"/>
          <w:szCs w:val="30"/>
        </w:rPr>
        <w:t xml:space="preserve">2. Dataset</w:t>
      </w:r>
    </w:p>
    <w:p>
      <w:pPr>
        <w:spacing w:after="120" w:line="276"/>
      </w:pPr>
      <w:r>
        <w:rPr>
          <w:rFonts w:ascii="Calibri" w:cs="Calibri" w:eastAsia="Calibri" w:hAnsi="Calibri"/>
          <w:sz w:val="22"/>
          <w:szCs w:val="22"/>
        </w:rPr>
        <w:t xml:space="preserve">The dataset contains 500 sales transactions from four branches (Jaipur, Delhi, Mumbai, Bengaluru), dated 1 January to 1 July 2026. Each record includes invoice ID, date, branch, city, customer type, gender, product, category, quantity, unit price, payment method, rating, and sales.</w:t>
      </w:r>
    </w:p>
    <w:p>
      <w:pPr>
        <w:spacing w:after="120"/>
      </w:pPr>
      <w:r>
        <w:rPr>
          <w:rFonts w:ascii="Calibri" w:cs="Calibri" w:eastAsia="Calibri" w:hAnsi="Calibri"/>
          <w:sz w:val="22"/>
          <w:szCs w:val="22"/>
        </w:rPr>
        <w:t xml:space="preserve">Dataset link: </w:t>
      </w:r>
      <w:hyperlink w:history="1" r:id="rId07valu0zk-ivylq7ypgal">
        <w:r>
          <w:rPr>
            <w:rFonts w:ascii="Calibri" w:cs="Calibri" w:eastAsia="Calibri" w:hAnsi="Calibri"/>
            <w:color w:val="0563C1"/>
            <w:sz w:val="22"/>
            <w:szCs w:val="22"/>
            <w:u w:val="single"/>
          </w:rPr>
          <w:t xml:space="preserve">Google Sheets</w:t>
        </w:r>
      </w:hyperlink>
    </w:p>
    <w:p>
      <w:pPr>
        <w:pStyle w:val="Heading1"/>
        <w:spacing w:after="120" w:before="300"/>
      </w:pPr>
      <w:r>
        <w:rPr>
          <w:rFonts w:ascii="Calibri" w:cs="Calibri" w:eastAsia="Calibri" w:hAnsi="Calibri"/>
          <w:b/>
          <w:bCs/>
          <w:color w:val="1F4E79"/>
          <w:sz w:val="30"/>
          <w:szCs w:val="30"/>
        </w:rPr>
        <w:t xml:space="preserve">3. Steps Used for Analysis</w:t>
      </w:r>
    </w:p>
    <w:p>
      <w:pPr>
        <w:pStyle w:val="ListParagraph"/>
        <w:numPr>
          <w:ilvl w:val="0"/>
          <w:numId w:val="2"/>
        </w:numPr>
        <w:spacing w:after="80"/>
      </w:pPr>
      <w:r>
        <w:rPr>
          <w:rFonts w:ascii="Calibri" w:cs="Calibri" w:eastAsia="Calibri" w:hAnsi="Calibri"/>
          <w:sz w:val="22"/>
          <w:szCs w:val="22"/>
        </w:rPr>
        <w:t xml:space="preserve">Collect and load the dataset.</w:t>
      </w:r>
    </w:p>
    <w:p>
      <w:pPr>
        <w:pStyle w:val="ListParagraph"/>
        <w:numPr>
          <w:ilvl w:val="0"/>
          <w:numId w:val="2"/>
        </w:numPr>
        <w:spacing w:after="80"/>
      </w:pPr>
      <w:r>
        <w:rPr>
          <w:rFonts w:ascii="Calibri" w:cs="Calibri" w:eastAsia="Calibri" w:hAnsi="Calibri"/>
          <w:sz w:val="22"/>
          <w:szCs w:val="22"/>
        </w:rPr>
        <w:t xml:space="preserve">Check the data for missing or incorrect values. No missing values or duplicate invoice IDs were found.</w:t>
      </w:r>
    </w:p>
    <w:p>
      <w:pPr>
        <w:pStyle w:val="ListParagraph"/>
        <w:numPr>
          <w:ilvl w:val="0"/>
          <w:numId w:val="2"/>
        </w:numPr>
        <w:spacing w:after="80"/>
      </w:pPr>
      <w:r>
        <w:rPr>
          <w:rFonts w:ascii="Calibri" w:cs="Calibri" w:eastAsia="Calibri" w:hAnsi="Calibri"/>
          <w:sz w:val="22"/>
          <w:szCs w:val="22"/>
        </w:rPr>
        <w:t xml:space="preserve">Verify Sales = Quantity × Unit Price. The formula matched on all 500 rows.</w:t>
      </w:r>
    </w:p>
    <w:p>
      <w:pPr>
        <w:pStyle w:val="ListParagraph"/>
        <w:numPr>
          <w:ilvl w:val="0"/>
          <w:numId w:val="2"/>
        </w:numPr>
        <w:spacing w:after="80"/>
      </w:pPr>
      <w:r>
        <w:rPr>
          <w:rFonts w:ascii="Calibri" w:cs="Calibri" w:eastAsia="Calibri" w:hAnsi="Calibri"/>
          <w:sz w:val="22"/>
          <w:szCs w:val="22"/>
        </w:rPr>
        <w:t xml:space="preserve">Group and summarize the data using totals, counts, and averages.</w:t>
      </w:r>
    </w:p>
    <w:p>
      <w:pPr>
        <w:pStyle w:val="ListParagraph"/>
        <w:numPr>
          <w:ilvl w:val="0"/>
          <w:numId w:val="2"/>
        </w:numPr>
        <w:spacing w:after="80"/>
      </w:pPr>
      <w:r>
        <w:rPr>
          <w:rFonts w:ascii="Calibri" w:cs="Calibri" w:eastAsia="Calibri" w:hAnsi="Calibri"/>
          <w:sz w:val="22"/>
          <w:szCs w:val="22"/>
        </w:rPr>
        <w:t xml:space="preserve">Create charts to compare the results.</w:t>
      </w:r>
    </w:p>
    <w:p>
      <w:pPr>
        <w:pStyle w:val="ListParagraph"/>
        <w:numPr>
          <w:ilvl w:val="0"/>
          <w:numId w:val="2"/>
        </w:numPr>
        <w:spacing w:after="80"/>
      </w:pPr>
      <w:r>
        <w:rPr>
          <w:rFonts w:ascii="Calibri" w:cs="Calibri" w:eastAsia="Calibri" w:hAnsi="Calibri"/>
          <w:sz w:val="22"/>
          <w:szCs w:val="22"/>
        </w:rPr>
        <w:t xml:space="preserve">Use the results to make business decisions.</w:t>
      </w:r>
    </w:p>
    <w:p>
      <w:pPr>
        <w:pStyle w:val="Heading1"/>
        <w:spacing w:after="120" w:before="300"/>
      </w:pPr>
      <w:r>
        <w:rPr>
          <w:rFonts w:ascii="Calibri" w:cs="Calibri" w:eastAsia="Calibri" w:hAnsi="Calibri"/>
          <w:b/>
          <w:bCs/>
          <w:color w:val="1F4E79"/>
          <w:sz w:val="30"/>
          <w:szCs w:val="30"/>
        </w:rPr>
        <w:t xml:space="preserve">4. Key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1"/>
                <w:szCs w:val="21"/>
              </w:rPr>
              <w:t xml:space="preserve">Metric</w:t>
            </w:r>
          </w:p>
        </w:tc>
        <w:tc>
          <w:tcPr>
            <w:tcW w:type="dxa" w:w="451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1"/>
                <w:szCs w:val="21"/>
              </w:rPr>
              <w:t xml:space="preserve">Value</w:t>
            </w:r>
          </w:p>
        </w:tc>
      </w:tr>
      <w:tr>
        <w:trPr>
          <w:tblHeader w:val="false"/>
        </w:trP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Total sales</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₹2,44,411.08</w:t>
            </w:r>
          </w:p>
        </w:tc>
      </w:tr>
      <w:tr>
        <w:trPr>
          <w:tblHeader w:val="false"/>
        </w:trPr>
        <w:tc>
          <w:tcPr>
            <w:tcW w:type="dxa" w:w="4513"/>
            <w:tcBorders>
              <w:top w:val="single" w:color="BFBFBF" w:sz="4"/>
              <w:left w:val="single" w:color="BFBFBF" w:sz="4"/>
              <w:bottom w:val="single" w:color="BFBFBF" w:sz="4"/>
              <w:right w:val="single" w:color="BFBFBF" w:sz="4"/>
            </w:tcBorders>
            <w:shd w:fill="EEF3F8" w:color="auto"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Transactions</w:t>
            </w:r>
          </w:p>
        </w:tc>
        <w:tc>
          <w:tcPr>
            <w:tcW w:type="dxa" w:w="4513"/>
            <w:tcBorders>
              <w:top w:val="single" w:color="BFBFBF" w:sz="4"/>
              <w:left w:val="single" w:color="BFBFBF" w:sz="4"/>
              <w:bottom w:val="single" w:color="BFBFBF" w:sz="4"/>
              <w:right w:val="single" w:color="BFBFBF" w:sz="4"/>
            </w:tcBorders>
            <w:shd w:fill="EEF3F8" w:color="auto"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500</w:t>
            </w:r>
          </w:p>
        </w:tc>
      </w:tr>
      <w:tr>
        <w:trPr>
          <w:tblHeader w:val="false"/>
        </w:trPr>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Average sales per transaction</w:t>
            </w:r>
          </w:p>
        </w:tc>
        <w:tc>
          <w:tcPr>
            <w:tcW w:type="dxa" w:w="4513"/>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₹488.82</w:t>
            </w:r>
          </w:p>
        </w:tc>
      </w:tr>
      <w:tr>
        <w:trPr>
          <w:tblHeader w:val="false"/>
        </w:trPr>
        <w:tc>
          <w:tcPr>
            <w:tcW w:type="dxa" w:w="4513"/>
            <w:tcBorders>
              <w:top w:val="single" w:color="BFBFBF" w:sz="4"/>
              <w:left w:val="single" w:color="BFBFBF" w:sz="4"/>
              <w:bottom w:val="single" w:color="BFBFBF" w:sz="4"/>
              <w:right w:val="single" w:color="BFBFBF" w:sz="4"/>
            </w:tcBorders>
            <w:shd w:fill="EEF3F8" w:color="auto"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Average customer rating</w:t>
            </w:r>
          </w:p>
        </w:tc>
        <w:tc>
          <w:tcPr>
            <w:tcW w:type="dxa" w:w="4513"/>
            <w:tcBorders>
              <w:top w:val="single" w:color="BFBFBF" w:sz="4"/>
              <w:left w:val="single" w:color="BFBFBF" w:sz="4"/>
              <w:bottom w:val="single" w:color="BFBFBF" w:sz="4"/>
              <w:right w:val="single" w:color="BFBFBF" w:sz="4"/>
            </w:tcBorders>
            <w:shd w:fill="EEF3F8" w:color="auto"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3.99 / 5</w:t>
            </w:r>
          </w:p>
        </w:tc>
      </w:tr>
    </w:tbl>
    <w:p>
      <w:pPr>
        <w:pStyle w:val="Heading1"/>
        <w:spacing w:after="120" w:before="300"/>
      </w:pPr>
      <w:r>
        <w:rPr>
          <w:rFonts w:ascii="Calibri" w:cs="Calibri" w:eastAsia="Calibri" w:hAnsi="Calibri"/>
          <w:b/>
          <w:bCs/>
          <w:color w:val="1F4E79"/>
          <w:sz w:val="30"/>
          <w:szCs w:val="30"/>
        </w:rPr>
        <w:t xml:space="preserve">5. Analysis</w:t>
      </w:r>
    </w:p>
    <w:p>
      <w:pPr>
        <w:keepNext/>
        <w:spacing w:after="60" w:before="160"/>
      </w:pPr>
      <w:r>
        <w:rPr>
          <w:rFonts w:ascii="Calibri" w:cs="Calibri" w:eastAsia="Calibri" w:hAnsi="Calibri"/>
          <w:b/>
          <w:bCs/>
          <w:color w:val="1F4E79"/>
          <w:sz w:val="22"/>
          <w:szCs w:val="22"/>
        </w:rPr>
        <w:t xml:space="preserve">Which product generates the highest sales?</w:t>
      </w:r>
    </w:p>
    <w:p>
      <w:pPr>
        <w:spacing w:after="120" w:line="276"/>
      </w:pPr>
      <w:r>
        <w:rPr>
          <w:rFonts w:ascii="Calibri" w:cs="Calibri" w:eastAsia="Calibri" w:hAnsi="Calibri"/>
          <w:sz w:val="22"/>
          <w:szCs w:val="22"/>
        </w:rPr>
        <w:t xml:space="preserve">Cheese generated the highest sales: ₹27,906.30. Coffee (₹27,694.87) and Shampoo (₹27,497.48) are very close behind, so the top three products are almost level.</w:t>
      </w:r>
    </w:p>
    <w:p>
      <w:pPr>
        <w:spacing w:after="160" w:before="80"/>
        <w:jc w:val="center"/>
      </w:pPr>
      <w:r>
        <w:drawing>
          <wp:inline distT="0" distB="0" distL="0" distR="0">
            <wp:extent cx="4953000" cy="2571750"/>
            <wp:effectExtent t="0" r="0" b="0" l="0"/>
            <wp:docPr id="1" name="c_product.png" descr="c_product.png" title="c_produ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571750"/>
                    </a:xfrm>
                    <a:prstGeom prst="rect">
                      <a:avLst/>
                    </a:prstGeom>
                  </pic:spPr>
                </pic:pic>
              </a:graphicData>
            </a:graphic>
          </wp:inline>
        </w:drawing>
      </w:r>
    </w:p>
    <w:p>
      <w:pPr>
        <w:keepNext/>
        <w:spacing w:after="60" w:before="160"/>
      </w:pPr>
      <w:r>
        <w:rPr>
          <w:rFonts w:ascii="Calibri" w:cs="Calibri" w:eastAsia="Calibri" w:hAnsi="Calibri"/>
          <w:b/>
          <w:bCs/>
          <w:color w:val="1F4E79"/>
          <w:sz w:val="22"/>
          <w:szCs w:val="22"/>
        </w:rPr>
        <w:t xml:space="preserve">Which branch performs best?</w:t>
      </w:r>
    </w:p>
    <w:p>
      <w:pPr>
        <w:spacing w:after="120" w:line="276"/>
      </w:pPr>
      <w:r>
        <w:rPr>
          <w:rFonts w:ascii="Calibri" w:cs="Calibri" w:eastAsia="Calibri" w:hAnsi="Calibri"/>
          <w:sz w:val="22"/>
          <w:szCs w:val="22"/>
        </w:rPr>
        <w:t xml:space="preserve">Branch C (Mumbai) performed best with sales of ₹72,469.45, about 30% of total sales. Its lead comes mainly from volume (143 transactions), and its average transaction (₹507) is also the highest.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tblHeader/>
        </w:trPr>
        <w:tc>
          <w:tcPr>
            <w:tcW w:type="dxa" w:w="225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1"/>
                <w:szCs w:val="21"/>
              </w:rPr>
              <w:t xml:space="preserve">Branch</w:t>
            </w:r>
          </w:p>
        </w:tc>
        <w:tc>
          <w:tcPr>
            <w:tcW w:type="dxa" w:w="225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1"/>
                <w:szCs w:val="21"/>
              </w:rPr>
              <w:t xml:space="preserve">Sales (₹)</w:t>
            </w:r>
          </w:p>
        </w:tc>
        <w:tc>
          <w:tcPr>
            <w:tcW w:type="dxa" w:w="225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1"/>
                <w:szCs w:val="21"/>
              </w:rPr>
              <w:t xml:space="preserve">Transactions</w:t>
            </w:r>
          </w:p>
        </w:tc>
        <w:tc>
          <w:tcPr>
            <w:tcW w:type="dxa" w:w="225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r>
              <w:rPr>
                <w:rFonts w:ascii="Calibri" w:cs="Calibri" w:eastAsia="Calibri" w:hAnsi="Calibri"/>
                <w:b/>
                <w:bCs/>
                <w:color w:val="FFFFFF"/>
                <w:sz w:val="21"/>
                <w:szCs w:val="21"/>
              </w:rPr>
              <w:t xml:space="preserve">Avg per transaction</w:t>
            </w:r>
          </w:p>
        </w:tc>
      </w:tr>
      <w:tr>
        <w:trPr>
          <w:tblHeader w:val="false"/>
        </w:trPr>
        <w:tc>
          <w:tcPr>
            <w:tcW w:type="dxa" w:w="225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C – Mumbai</w:t>
            </w:r>
          </w:p>
        </w:tc>
        <w:tc>
          <w:tcPr>
            <w:tcW w:type="dxa" w:w="225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72,469.45</w:t>
            </w:r>
          </w:p>
        </w:tc>
        <w:tc>
          <w:tcPr>
            <w:tcW w:type="dxa" w:w="2257"/>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143</w:t>
            </w:r>
          </w:p>
        </w:tc>
        <w:tc>
          <w:tcPr>
            <w:tcW w:type="dxa" w:w="2257"/>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₹507</w:t>
            </w:r>
          </w:p>
        </w:tc>
      </w:tr>
      <w:tr>
        <w:trPr>
          <w:tblHeader w:val="false"/>
        </w:trPr>
        <w:tc>
          <w:tcPr>
            <w:tcW w:type="dxa" w:w="2256"/>
            <w:tcBorders>
              <w:top w:val="single" w:color="BFBFBF" w:sz="4"/>
              <w:left w:val="single" w:color="BFBFBF" w:sz="4"/>
              <w:bottom w:val="single" w:color="BFBFBF" w:sz="4"/>
              <w:right w:val="single" w:color="BFBFBF" w:sz="4"/>
            </w:tcBorders>
            <w:shd w:fill="EEF3F8" w:color="auto"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B – Delhi</w:t>
            </w:r>
          </w:p>
        </w:tc>
        <w:tc>
          <w:tcPr>
            <w:tcW w:type="dxa" w:w="2256"/>
            <w:tcBorders>
              <w:top w:val="single" w:color="BFBFBF" w:sz="4"/>
              <w:left w:val="single" w:color="BFBFBF" w:sz="4"/>
              <w:bottom w:val="single" w:color="BFBFBF" w:sz="4"/>
              <w:right w:val="single" w:color="BFBFBF" w:sz="4"/>
            </w:tcBorders>
            <w:shd w:fill="EEF3F8" w:color="auto"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64,116.26</w:t>
            </w:r>
          </w:p>
        </w:tc>
        <w:tc>
          <w:tcPr>
            <w:tcW w:type="dxa" w:w="2257"/>
            <w:tcBorders>
              <w:top w:val="single" w:color="BFBFBF" w:sz="4"/>
              <w:left w:val="single" w:color="BFBFBF" w:sz="4"/>
              <w:bottom w:val="single" w:color="BFBFBF" w:sz="4"/>
              <w:right w:val="single" w:color="BFBFBF" w:sz="4"/>
            </w:tcBorders>
            <w:shd w:fill="EEF3F8" w:color="auto"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133</w:t>
            </w:r>
          </w:p>
        </w:tc>
        <w:tc>
          <w:tcPr>
            <w:tcW w:type="dxa" w:w="2257"/>
            <w:tcBorders>
              <w:top w:val="single" w:color="BFBFBF" w:sz="4"/>
              <w:left w:val="single" w:color="BFBFBF" w:sz="4"/>
              <w:bottom w:val="single" w:color="BFBFBF" w:sz="4"/>
              <w:right w:val="single" w:color="BFBFBF" w:sz="4"/>
            </w:tcBorders>
            <w:shd w:fill="EEF3F8" w:color="auto"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₹482</w:t>
            </w:r>
          </w:p>
        </w:tc>
      </w:tr>
      <w:tr>
        <w:trPr>
          <w:tblHeader w:val="false"/>
        </w:trPr>
        <w:tc>
          <w:tcPr>
            <w:tcW w:type="dxa" w:w="225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D – Bengaluru</w:t>
            </w:r>
          </w:p>
        </w:tc>
        <w:tc>
          <w:tcPr>
            <w:tcW w:type="dxa" w:w="225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55,468.29</w:t>
            </w:r>
          </w:p>
        </w:tc>
        <w:tc>
          <w:tcPr>
            <w:tcW w:type="dxa" w:w="2257"/>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119</w:t>
            </w:r>
          </w:p>
        </w:tc>
        <w:tc>
          <w:tcPr>
            <w:tcW w:type="dxa" w:w="2257"/>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₹466</w:t>
            </w:r>
          </w:p>
        </w:tc>
      </w:tr>
      <w:tr>
        <w:trPr>
          <w:tblHeader w:val="false"/>
        </w:trPr>
        <w:tc>
          <w:tcPr>
            <w:tcW w:type="dxa" w:w="2256"/>
            <w:tcBorders>
              <w:top w:val="single" w:color="BFBFBF" w:sz="4"/>
              <w:left w:val="single" w:color="BFBFBF" w:sz="4"/>
              <w:bottom w:val="single" w:color="BFBFBF" w:sz="4"/>
              <w:right w:val="single" w:color="BFBFBF" w:sz="4"/>
            </w:tcBorders>
            <w:shd w:fill="EEF3F8" w:color="auto"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A – Jaipur</w:t>
            </w:r>
          </w:p>
        </w:tc>
        <w:tc>
          <w:tcPr>
            <w:tcW w:type="dxa" w:w="2256"/>
            <w:tcBorders>
              <w:top w:val="single" w:color="BFBFBF" w:sz="4"/>
              <w:left w:val="single" w:color="BFBFBF" w:sz="4"/>
              <w:bottom w:val="single" w:color="BFBFBF" w:sz="4"/>
              <w:right w:val="single" w:color="BFBFBF" w:sz="4"/>
            </w:tcBorders>
            <w:shd w:fill="EEF3F8" w:color="auto"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52,357.08</w:t>
            </w:r>
          </w:p>
        </w:tc>
        <w:tc>
          <w:tcPr>
            <w:tcW w:type="dxa" w:w="2257"/>
            <w:tcBorders>
              <w:top w:val="single" w:color="BFBFBF" w:sz="4"/>
              <w:left w:val="single" w:color="BFBFBF" w:sz="4"/>
              <w:bottom w:val="single" w:color="BFBFBF" w:sz="4"/>
              <w:right w:val="single" w:color="BFBFBF" w:sz="4"/>
            </w:tcBorders>
            <w:shd w:fill="EEF3F8" w:color="auto"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105</w:t>
            </w:r>
          </w:p>
        </w:tc>
        <w:tc>
          <w:tcPr>
            <w:tcW w:type="dxa" w:w="2257"/>
            <w:tcBorders>
              <w:top w:val="single" w:color="BFBFBF" w:sz="4"/>
              <w:left w:val="single" w:color="BFBFBF" w:sz="4"/>
              <w:bottom w:val="single" w:color="BFBFBF" w:sz="4"/>
              <w:right w:val="single" w:color="BFBFBF" w:sz="4"/>
            </w:tcBorders>
            <w:shd w:fill="EEF3F8" w:color="auto" w:val="clear"/>
            <w:tcMar>
              <w:top w:type="dxa" w:w="70"/>
              <w:left w:type="dxa" w:w="110"/>
              <w:bottom w:type="dxa" w:w="70"/>
              <w:right w:type="dxa" w:w="110"/>
            </w:tcMar>
          </w:tcPr>
          <w:p>
            <w:r>
              <w:rPr>
                <w:rFonts w:ascii="Calibri" w:cs="Calibri" w:eastAsia="Calibri" w:hAnsi="Calibri"/>
                <w:b w:val="false"/>
                <w:bCs w:val="false"/>
                <w:color w:val="000000"/>
                <w:sz w:val="21"/>
                <w:szCs w:val="21"/>
              </w:rPr>
              <w:t xml:space="preserve">₹499</w:t>
            </w:r>
          </w:p>
        </w:tc>
      </w:tr>
    </w:tbl>
    <w:p>
      <w:pPr>
        <w:spacing w:after="160" w:before="80"/>
        <w:jc w:val="center"/>
      </w:pPr>
      <w:r>
        <w:drawing>
          <wp:inline distT="0" distB="0" distL="0" distR="0">
            <wp:extent cx="4953000" cy="2571750"/>
            <wp:effectExtent t="0" r="0" b="0" l="0"/>
            <wp:docPr id="1" name="c_branch.png" descr="c_branch.png" title="c_bran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571750"/>
                    </a:xfrm>
                    <a:prstGeom prst="rect">
                      <a:avLst/>
                    </a:prstGeom>
                  </pic:spPr>
                </pic:pic>
              </a:graphicData>
            </a:graphic>
          </wp:inline>
        </w:drawing>
      </w:r>
    </w:p>
    <w:p>
      <w:pPr>
        <w:keepNext/>
        <w:spacing w:after="60" w:before="160"/>
      </w:pPr>
      <w:r>
        <w:rPr>
          <w:rFonts w:ascii="Calibri" w:cs="Calibri" w:eastAsia="Calibri" w:hAnsi="Calibri"/>
          <w:b/>
          <w:bCs/>
          <w:color w:val="1F4E79"/>
          <w:sz w:val="22"/>
          <w:szCs w:val="22"/>
        </w:rPr>
        <w:t xml:space="preserve">Which category sells the most?</w:t>
      </w:r>
    </w:p>
    <w:p>
      <w:pPr>
        <w:spacing w:after="120" w:line="276"/>
      </w:pPr>
      <w:r>
        <w:rPr>
          <w:rFonts w:ascii="Calibri" w:cs="Calibri" w:eastAsia="Calibri" w:hAnsi="Calibri"/>
          <w:sz w:val="22"/>
          <w:szCs w:val="22"/>
        </w:rPr>
        <w:t xml:space="preserve">Beverages had the highest sales with ₹56,108.24 (about 23% of total), followed by Personal Care (₹45,943.96) and Dairy (₹43,992.00). Bakery is the lowest at ₹6,516.10.</w:t>
      </w:r>
    </w:p>
    <w:p>
      <w:pPr>
        <w:spacing w:after="160" w:before="80"/>
        <w:jc w:val="center"/>
      </w:pPr>
      <w:r>
        <w:drawing>
          <wp:inline distT="0" distB="0" distL="0" distR="0">
            <wp:extent cx="4953000" cy="2571750"/>
            <wp:effectExtent t="0" r="0" b="0" l="0"/>
            <wp:docPr id="1" name="c_cat.png" descr="c_cat.png" title="c_c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571750"/>
                    </a:xfrm>
                    <a:prstGeom prst="rect">
                      <a:avLst/>
                    </a:prstGeom>
                  </pic:spPr>
                </pic:pic>
              </a:graphicData>
            </a:graphic>
          </wp:inline>
        </w:drawing>
      </w:r>
    </w:p>
    <w:p>
      <w:pPr>
        <w:keepNext/>
        <w:spacing w:after="60" w:before="160"/>
      </w:pPr>
      <w:r>
        <w:rPr>
          <w:rFonts w:ascii="Calibri" w:cs="Calibri" w:eastAsia="Calibri" w:hAnsi="Calibri"/>
          <w:b/>
          <w:bCs/>
          <w:color w:val="1F4E79"/>
          <w:sz w:val="22"/>
          <w:szCs w:val="22"/>
        </w:rPr>
        <w:t xml:space="preserve">What is the most popular payment method?</w:t>
      </w:r>
    </w:p>
    <w:p>
      <w:pPr>
        <w:spacing w:after="120" w:line="276"/>
      </w:pPr>
      <w:r>
        <w:rPr>
          <w:rFonts w:ascii="Calibri" w:cs="Calibri" w:eastAsia="Calibri" w:hAnsi="Calibri"/>
          <w:sz w:val="22"/>
          <w:szCs w:val="22"/>
        </w:rPr>
        <w:t xml:space="preserve">UPI was the most used payment method with 127 transactions. However, the split is almost even: Net Banking 126, Card 125, and Cash 122. No single method clearly dominates.</w:t>
      </w:r>
    </w:p>
    <w:p>
      <w:pPr>
        <w:keepNext/>
        <w:spacing w:after="60" w:before="160"/>
      </w:pPr>
      <w:r>
        <w:rPr>
          <w:rFonts w:ascii="Calibri" w:cs="Calibri" w:eastAsia="Calibri" w:hAnsi="Calibri"/>
          <w:b/>
          <w:bCs/>
          <w:color w:val="1F4E79"/>
          <w:sz w:val="22"/>
          <w:szCs w:val="22"/>
        </w:rPr>
        <w:t xml:space="preserve">Do Members spend more than Normal customers?</w:t>
      </w:r>
    </w:p>
    <w:p>
      <w:pPr>
        <w:spacing w:after="120" w:line="276"/>
      </w:pPr>
      <w:r>
        <w:rPr>
          <w:rFonts w:ascii="Calibri" w:cs="Calibri" w:eastAsia="Calibri" w:hAnsi="Calibri"/>
          <w:sz w:val="22"/>
          <w:szCs w:val="22"/>
        </w:rPr>
        <w:t xml:space="preserve">No. The average Member transaction was ₹483.14, while Normal customers averaged ₹497.07. The gap is small (about 3%). Members make up 59% of transactions (296 of 500).</w:t>
      </w:r>
    </w:p>
    <w:p>
      <w:pPr>
        <w:keepNext/>
        <w:spacing w:after="60" w:before="160"/>
      </w:pPr>
      <w:r>
        <w:rPr>
          <w:rFonts w:ascii="Calibri" w:cs="Calibri" w:eastAsia="Calibri" w:hAnsi="Calibri"/>
          <w:b/>
          <w:bCs/>
          <w:color w:val="1F4E79"/>
          <w:sz w:val="22"/>
          <w:szCs w:val="22"/>
        </w:rPr>
        <w:t xml:space="preserve">What is the average customer rating?</w:t>
      </w:r>
    </w:p>
    <w:p>
      <w:pPr>
        <w:spacing w:after="120" w:line="276"/>
      </w:pPr>
      <w:r>
        <w:rPr>
          <w:rFonts w:ascii="Calibri" w:cs="Calibri" w:eastAsia="Calibri" w:hAnsi="Calibri"/>
          <w:sz w:val="22"/>
          <w:szCs w:val="22"/>
        </w:rPr>
        <w:t xml:space="preserve">The average customer rating was 3.99 out of 5.</w:t>
      </w:r>
    </w:p>
    <w:p>
      <w:pPr>
        <w:keepNext/>
        <w:spacing w:after="60" w:before="160"/>
      </w:pPr>
      <w:r>
        <w:rPr>
          <w:rFonts w:ascii="Calibri" w:cs="Calibri" w:eastAsia="Calibri" w:hAnsi="Calibri"/>
          <w:b/>
          <w:bCs/>
          <w:color w:val="1F4E79"/>
          <w:sz w:val="22"/>
          <w:szCs w:val="22"/>
        </w:rPr>
        <w:t xml:space="preserve">How do sales change over time?</w:t>
      </w:r>
    </w:p>
    <w:p>
      <w:pPr>
        <w:spacing w:after="120" w:line="276"/>
      </w:pPr>
      <w:r>
        <w:rPr>
          <w:rFonts w:ascii="Calibri" w:cs="Calibri" w:eastAsia="Calibri" w:hAnsi="Calibri"/>
          <w:sz w:val="22"/>
          <w:szCs w:val="22"/>
        </w:rPr>
        <w:t xml:space="preserve">Sales were highest in April (₹52,569.77) and lowest in February (₹30,068.15). July is excluded from the chart because the data contains only 1 July.</w:t>
      </w:r>
    </w:p>
    <w:p>
      <w:pPr>
        <w:spacing w:after="160" w:before="80"/>
        <w:jc w:val="center"/>
      </w:pPr>
      <w:r>
        <w:drawing>
          <wp:inline distT="0" distB="0" distL="0" distR="0">
            <wp:extent cx="4953000" cy="2571750"/>
            <wp:effectExtent t="0" r="0" b="0" l="0"/>
            <wp:docPr id="1" name="c_month.png" descr="c_month.png" title="c_mon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571750"/>
                    </a:xfrm>
                    <a:prstGeom prst="rect">
                      <a:avLst/>
                    </a:prstGeom>
                  </pic:spPr>
                </pic:pic>
              </a:graphicData>
            </a:graphic>
          </wp:inline>
        </w:drawing>
      </w:r>
    </w:p>
    <w:p>
      <w:pPr>
        <w:pStyle w:val="Heading1"/>
        <w:spacing w:after="120" w:before="300"/>
      </w:pPr>
      <w:r>
        <w:rPr>
          <w:rFonts w:ascii="Calibri" w:cs="Calibri" w:eastAsia="Calibri" w:hAnsi="Calibri"/>
          <w:b/>
          <w:bCs/>
          <w:color w:val="1F4E79"/>
          <w:sz w:val="30"/>
          <w:szCs w:val="30"/>
        </w:rPr>
        <w:t xml:space="preserve">6. Business Decisions</w:t>
      </w:r>
    </w:p>
    <w:p>
      <w:pPr>
        <w:pStyle w:val="ListParagraph"/>
        <w:numPr>
          <w:ilvl w:val="0"/>
          <w:numId w:val="3"/>
        </w:numPr>
        <w:spacing w:after="80"/>
      </w:pPr>
      <w:r>
        <w:rPr>
          <w:rFonts w:ascii="Calibri" w:cs="Calibri" w:eastAsia="Calibri" w:hAnsi="Calibri"/>
          <w:sz w:val="22"/>
          <w:szCs w:val="22"/>
        </w:rPr>
        <w:t xml:space="preserve">Keep more stock of high-selling items: Beverages, Cheese, Coffee, and Shampoo.</w:t>
      </w:r>
    </w:p>
    <w:p>
      <w:pPr>
        <w:pStyle w:val="ListParagraph"/>
        <w:numPr>
          <w:ilvl w:val="0"/>
          <w:numId w:val="3"/>
        </w:numPr>
        <w:spacing w:after="80"/>
      </w:pPr>
      <w:r>
        <w:rPr>
          <w:rFonts w:ascii="Calibri" w:cs="Calibri" w:eastAsia="Calibri" w:hAnsi="Calibri"/>
          <w:sz w:val="22"/>
          <w:szCs w:val="22"/>
        </w:rPr>
        <w:t xml:space="preserve">Study why Mumbai performs strongly (product mix, footfall) and apply it in Bengaluru, which has the lowest average transaction (₹466).</w:t>
      </w:r>
    </w:p>
    <w:p>
      <w:pPr>
        <w:pStyle w:val="ListParagraph"/>
        <w:numPr>
          <w:ilvl w:val="0"/>
          <w:numId w:val="3"/>
        </w:numPr>
        <w:spacing w:after="80"/>
      </w:pPr>
      <w:r>
        <w:rPr>
          <w:rFonts w:ascii="Calibri" w:cs="Calibri" w:eastAsia="Calibri" w:hAnsi="Calibri"/>
          <w:sz w:val="22"/>
          <w:szCs w:val="22"/>
        </w:rPr>
        <w:t xml:space="preserve">Support all payment methods, since UPI leads only slightly.</w:t>
      </w:r>
    </w:p>
    <w:p>
      <w:pPr>
        <w:pStyle w:val="ListParagraph"/>
        <w:numPr>
          <w:ilvl w:val="0"/>
          <w:numId w:val="3"/>
        </w:numPr>
        <w:spacing w:after="80"/>
      </w:pPr>
      <w:r>
        <w:rPr>
          <w:rFonts w:ascii="Calibri" w:cs="Calibri" w:eastAsia="Calibri" w:hAnsi="Calibri"/>
          <w:sz w:val="22"/>
          <w:szCs w:val="22"/>
        </w:rPr>
        <w:t xml:space="preserve">Members do not spend more per visit, so use offers that increase basket size (bundles, minimum-spend rewards) instead of plain discounts.</w:t>
      </w:r>
    </w:p>
    <w:p>
      <w:pPr>
        <w:pStyle w:val="ListParagraph"/>
        <w:numPr>
          <w:ilvl w:val="0"/>
          <w:numId w:val="3"/>
        </w:numPr>
        <w:spacing w:after="80"/>
      </w:pPr>
      <w:r>
        <w:rPr>
          <w:rFonts w:ascii="Calibri" w:cs="Calibri" w:eastAsia="Calibri" w:hAnsi="Calibri"/>
          <w:sz w:val="22"/>
          <w:szCs w:val="22"/>
        </w:rPr>
        <w:t xml:space="preserve">Improve customer service to raise the average rating above 3.99.</w:t>
      </w:r>
    </w:p>
    <w:p>
      <w:pPr>
        <w:pStyle w:val="ListParagraph"/>
        <w:numPr>
          <w:ilvl w:val="0"/>
          <w:numId w:val="3"/>
        </w:numPr>
        <w:spacing w:after="80"/>
      </w:pPr>
      <w:r>
        <w:rPr>
          <w:rFonts w:ascii="Calibri" w:cs="Calibri" w:eastAsia="Calibri" w:hAnsi="Calibri"/>
          <w:sz w:val="22"/>
          <w:szCs w:val="22"/>
        </w:rPr>
        <w:t xml:space="preserve">Review Bakery and Vegetables, which have low sales value, to decide whether to promote or reduce them.</w:t>
      </w:r>
    </w:p>
    <w:p>
      <w:pPr>
        <w:pStyle w:val="Heading1"/>
        <w:spacing w:after="120" w:before="300"/>
      </w:pPr>
      <w:r>
        <w:rPr>
          <w:rFonts w:ascii="Calibri" w:cs="Calibri" w:eastAsia="Calibri" w:hAnsi="Calibri"/>
          <w:b/>
          <w:bCs/>
          <w:color w:val="1F4E79"/>
          <w:sz w:val="30"/>
          <w:szCs w:val="30"/>
        </w:rPr>
        <w:t xml:space="preserve">7. Conclusion</w:t>
      </w:r>
    </w:p>
    <w:p>
      <w:pPr>
        <w:spacing w:after="120" w:line="276"/>
      </w:pPr>
      <w:r>
        <w:rPr>
          <w:rFonts w:ascii="Calibri" w:cs="Calibri" w:eastAsia="Calibri" w:hAnsi="Calibri"/>
          <w:sz w:val="22"/>
          <w:szCs w:val="22"/>
        </w:rPr>
        <w:t xml:space="preserve">This analysis shows how sales data can be converted into simple insights that help a supermarket understand performance and make better decisions. Beverages, Cheese, and the Mumbai branch drive the most sales, payments are evenly spread, and membership offers should focus on larger baskets rather than discounts.</w:t>
      </w:r>
    </w:p>
    <w:p>
      <w:pPr>
        <w:spacing w:after="120" w:line="276"/>
      </w:pPr>
      <w:r>
        <w:rPr>
          <w:rFonts w:ascii="Calibri" w:cs="Calibri" w:eastAsia="Calibri" w:hAnsi="Calibri"/>
          <w:i/>
          <w:iCs/>
          <w:color w:val="595959"/>
          <w:sz w:val="20"/>
          <w:szCs w:val="20"/>
        </w:rPr>
        <w:t xml:space="preserve">Note: the dataset has no currency or cost column, so values are assumed to be in rupees and profit could not be analyzed.</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7valu0zk-ivylq7ypgal" Type="http://schemas.openxmlformats.org/officeDocument/2006/relationships/hyperlink" Target="https://docs.google.com/spreadsheets/d/1QIX__4VObHFMEXnRM2xJyXmB5JAB2peHrJcQ41_U9TE/edit?usp=sharing" TargetMode="External"/><Relationship Id="rId7" Type="http://schemas.openxmlformats.org/officeDocument/2006/relationships/image" Target="media/867b1c0f9ca79ec101027591ff90b39176e41c0c.png"/><Relationship Id="rId8" Type="http://schemas.openxmlformats.org/officeDocument/2006/relationships/image" Target="media/23be422f2e5216e52d7d9abdbd0d295c84838154.png"/><Relationship Id="rId9" Type="http://schemas.openxmlformats.org/officeDocument/2006/relationships/image" Target="media/44f5ca9a11c015bd636c7a8edd3bcf98aa3a742d.png"/><Relationship Id="rId10" Type="http://schemas.openxmlformats.org/officeDocument/2006/relationships/image" Target="media/9d463b0a777b24cc6c85a71546c620e102971af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2026-10-05T07:05:09.754Z</dcterms:created>
  <dcterms:modified xsi:type="dcterms:W3CDTF">2026-10-05T07:05:09.757Z</dcterms:modified>
</cp:coreProperties>
</file>

<file path=docProps/custom.xml><?xml version="1.0" encoding="utf-8"?>
<Properties xmlns="http://schemas.openxmlformats.org/officeDocument/2006/custom-properties" xmlns:vt="http://schemas.openxmlformats.org/officeDocument/2006/docPropsVTypes"/>
</file>