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BC756" w14:textId="77777777" w:rsidR="00B563E0" w:rsidRDefault="00000000">
      <w:pPr>
        <w:spacing w:before="300" w:after="100"/>
      </w:pPr>
      <w:r>
        <w:rPr>
          <w:b/>
          <w:bCs/>
          <w:color w:val="1F3864"/>
          <w:sz w:val="24"/>
          <w:szCs w:val="24"/>
        </w:rPr>
        <w:t>Question 1: Chain Analysis &amp; De-anonymization</w:t>
      </w:r>
    </w:p>
    <w:p w14:paraId="38DAFCD8" w14:textId="77777777" w:rsidR="00B563E0" w:rsidRDefault="00000000">
      <w:pPr>
        <w:spacing w:before="160" w:after="80"/>
      </w:pPr>
      <w:r>
        <w:rPr>
          <w:b/>
          <w:bCs/>
          <w:color w:val="2E75B6"/>
        </w:rPr>
        <w:t>(a) Common Input Ownership</w:t>
      </w:r>
    </w:p>
    <w:p w14:paraId="4422B2B3" w14:textId="77777777" w:rsidR="00B563E0" w:rsidRDefault="00000000">
      <w:pPr>
        <w:spacing w:after="80"/>
      </w:pPr>
      <w:r>
        <w:t>The heuristic states: if multiple inputs appear in the same transaction, they likely belong to the same owner.</w:t>
      </w:r>
    </w:p>
    <w:p w14:paraId="022E5AC4" w14:textId="77777777" w:rsidR="00B563E0" w:rsidRDefault="00000000">
      <w:pPr>
        <w:spacing w:after="80"/>
      </w:pPr>
      <w:r>
        <w:t>Conclusion: addr_X, addr_Y, and addr_Z are all controlled by the same entity.</w:t>
      </w:r>
    </w:p>
    <w:p w14:paraId="475CCD98" w14:textId="77777777" w:rsidR="00B563E0" w:rsidRDefault="00000000">
      <w:pPr>
        <w:spacing w:after="80"/>
      </w:pPr>
      <w:r>
        <w:t>This heuristic fails for CoinJoin transactions, where multiple independent users contribute inputs to a single transaction. PayJoin also breaks it since both sender and receiver contribute inputs.</w:t>
      </w:r>
    </w:p>
    <w:p w14:paraId="4E48297F" w14:textId="77777777" w:rsidR="00B563E0" w:rsidRDefault="00000000">
      <w:pPr>
        <w:spacing w:before="160" w:after="80"/>
      </w:pPr>
      <w:r>
        <w:rPr>
          <w:b/>
          <w:bCs/>
          <w:color w:val="2E75B6"/>
        </w:rPr>
        <w:t>(b) Change Address Detection</w:t>
      </w:r>
    </w:p>
    <w:p w14:paraId="416CBF7C" w14:textId="77777777" w:rsidR="00B563E0" w:rsidRDefault="00000000">
      <w:pPr>
        <w:spacing w:after="80"/>
      </w:pPr>
      <w:r>
        <w:t>addr_N (0.487 BTC) is most likely the change address; addr_M (1.0 BTC) is the payment.</w:t>
      </w:r>
    </w:p>
    <w:p w14:paraId="03FAC36E" w14:textId="77777777" w:rsidR="00B563E0" w:rsidRDefault="00000000">
      <w:pPr>
        <w:spacing w:after="80"/>
      </w:pPr>
      <w:r>
        <w:t>Reasons:</w:t>
      </w:r>
    </w:p>
    <w:p w14:paraId="4627FC19" w14:textId="77777777" w:rsidR="00B563E0" w:rsidRDefault="00000000">
      <w:pPr>
        <w:spacing w:after="80"/>
      </w:pPr>
      <w:r>
        <w:t>• Round amount: 1.0 BTC is a round number typical of an intentional payment; 0.487 is an odd remainder consistent with change.</w:t>
      </w:r>
    </w:p>
    <w:p w14:paraId="06FF1A36" w14:textId="77777777" w:rsidR="00B563E0" w:rsidRDefault="00000000">
      <w:pPr>
        <w:spacing w:after="80"/>
      </w:pPr>
      <w:r>
        <w:t>• Arithmetic: Total input = 0.8 + 0.5 + 0.2 = 1.5 BTC. Total output = 1.0 + 0.487 = 1.487 BTC. The 0.013 BTC difference is the mining fee, and 0.487 is the leftover change.</w:t>
      </w:r>
    </w:p>
    <w:p w14:paraId="039D35E7" w14:textId="77777777" w:rsidR="00B563E0" w:rsidRDefault="00000000">
      <w:pPr>
        <w:spacing w:after="80"/>
      </w:pPr>
      <w:r>
        <w:t>• Change addresses are typically freshly generated with no prior history; payment addresses often have existing activity.</w:t>
      </w:r>
    </w:p>
    <w:p w14:paraId="41299FCE" w14:textId="77777777" w:rsidR="00B563E0" w:rsidRDefault="00000000">
      <w:pPr>
        <w:spacing w:before="160" w:after="80"/>
      </w:pPr>
      <w:r>
        <w:rPr>
          <w:b/>
          <w:bCs/>
          <w:color w:val="2E75B6"/>
        </w:rPr>
        <w:t>(c) Network-Level Attacks</w:t>
      </w:r>
    </w:p>
    <w:p w14:paraId="74E48736" w14:textId="77777777" w:rsidR="00B563E0" w:rsidRDefault="00000000">
      <w:pPr>
        <w:spacing w:after="80"/>
      </w:pPr>
      <w:r>
        <w:t>Any two of the following:</w:t>
      </w:r>
    </w:p>
    <w:p w14:paraId="7E24199A" w14:textId="77777777" w:rsidR="00B563E0" w:rsidRDefault="00000000">
      <w:pPr>
        <w:spacing w:after="80"/>
      </w:pPr>
      <w:r>
        <w:t>• IP tracking: The first node to broadcast a tx is likely the sender. Defence: Dandelion++ (random-walk relay before flooding).</w:t>
      </w:r>
    </w:p>
    <w:p w14:paraId="49F713DE" w14:textId="77777777" w:rsidR="00B563E0" w:rsidRDefault="00000000">
      <w:pPr>
        <w:spacing w:after="80"/>
      </w:pPr>
      <w:r>
        <w:t>• ISP monitoring: ISPs see all P2P connections from a user’s node. Defence: Route traffic through Tor or I2P.</w:t>
      </w:r>
    </w:p>
    <w:p w14:paraId="26C20D48" w14:textId="77777777" w:rsidR="00B563E0" w:rsidRDefault="00000000">
      <w:pPr>
        <w:spacing w:after="80"/>
      </w:pPr>
      <w:r>
        <w:t>• Spy nodes: Attacker runs many nodes to triangulate the origin of a broadcast. Defence: VPN or Tor.</w:t>
      </w:r>
    </w:p>
    <w:p w14:paraId="7D8450A1" w14:textId="77777777" w:rsidR="00B563E0" w:rsidRDefault="00000000">
      <w:pPr>
        <w:spacing w:after="80"/>
      </w:pPr>
      <w:r>
        <w:t>• Mempool timing: Precise timestamps narrow sender location/timezone. Defence: Delayed or randomized broadcasting.</w:t>
      </w:r>
    </w:p>
    <w:p w14:paraId="581629A5" w14:textId="77777777" w:rsidR="00B563E0" w:rsidRDefault="00000000">
      <w:pPr>
        <w:spacing w:before="300" w:after="100"/>
      </w:pPr>
      <w:r>
        <w:rPr>
          <w:b/>
          <w:bCs/>
          <w:color w:val="1F3864"/>
          <w:sz w:val="24"/>
          <w:szCs w:val="24"/>
        </w:rPr>
        <w:t>Question 2: Pedersen Commitments &amp; Confidential Transactions</w:t>
      </w:r>
    </w:p>
    <w:p w14:paraId="65489434" w14:textId="77777777" w:rsidR="00B563E0" w:rsidRDefault="00000000">
      <w:pPr>
        <w:spacing w:before="160" w:after="80"/>
      </w:pPr>
      <w:r>
        <w:rPr>
          <w:b/>
          <w:bCs/>
          <w:color w:val="2E75B6"/>
        </w:rPr>
        <w:t>(a) Homomorphic Property</w:t>
      </w:r>
    </w:p>
    <w:p w14:paraId="2C6A72FF" w14:textId="77777777" w:rsidR="00B563E0" w:rsidRDefault="00000000">
      <w:pPr>
        <w:spacing w:after="80"/>
      </w:pPr>
      <w:r>
        <w:t>C(a) = g^a · h^{r₁},  C(b) = g^b · h^{r₂}.</w:t>
      </w:r>
    </w:p>
    <w:p w14:paraId="0ACA6DE4" w14:textId="77777777" w:rsidR="00B563E0" w:rsidRDefault="00000000">
      <w:pPr>
        <w:spacing w:after="80"/>
      </w:pPr>
      <w:r>
        <w:t>C(a) · C(b) = (g^a · h^{r₁}) · (g^b · h^{r₂}) = g^{a+b} · h^{r₁+r₂} = C(a+b, r₁+r₂).</w:t>
      </w:r>
    </w:p>
    <w:p w14:paraId="12E681B9" w14:textId="77777777" w:rsidR="00B563E0" w:rsidRDefault="00000000">
      <w:pPr>
        <w:spacing w:after="80"/>
      </w:pPr>
      <w:r>
        <w:t>This is critical because it allows validators to verify that the sum of inputs equals the sum of outputs in a transaction without ever seeing the actual amounts.</w:t>
      </w:r>
    </w:p>
    <w:p w14:paraId="300B4B08" w14:textId="77777777" w:rsidR="00B563E0" w:rsidRDefault="00000000">
      <w:pPr>
        <w:spacing w:before="160" w:after="80"/>
      </w:pPr>
      <w:r>
        <w:rPr>
          <w:b/>
          <w:bCs/>
          <w:color w:val="2E75B6"/>
        </w:rPr>
        <w:t>(b) Verification &amp; Negative Value Attack</w:t>
      </w:r>
    </w:p>
    <w:p w14:paraId="3C4A4DEB" w14:textId="77777777" w:rsidR="00B563E0" w:rsidRDefault="00000000">
      <w:pPr>
        <w:spacing w:after="80"/>
      </w:pPr>
      <w:r>
        <w:t>Verification: The validator checks whether C(5, r₁) equals C(3, r₂) · C(2, r₃). By the homomorphic property, the right side equals C(3+2, r₂+r₃) = C(5, r₂+r₃). The equation holds only if the amounts balance and r₁ = r₂ + r₃. No amounts are revealed at any point.</w:t>
      </w:r>
    </w:p>
    <w:p w14:paraId="099C0C50" w14:textId="77777777" w:rsidR="00B563E0" w:rsidRDefault="00000000">
      <w:pPr>
        <w:spacing w:after="80"/>
      </w:pPr>
      <w:r>
        <w:t>Negative value attack: Without range proofs, an attacker with 5 BTC input could create outputs C(10) and C(−5). The math checks out since 10 + (−5) = 5, but the attacker has created 10 spendable BTC from only 5.</w:t>
      </w:r>
    </w:p>
    <w:p w14:paraId="429107AB" w14:textId="77777777" w:rsidR="00B563E0" w:rsidRDefault="00000000">
      <w:pPr>
        <w:spacing w:after="80"/>
      </w:pPr>
      <w:r>
        <w:lastRenderedPageBreak/>
        <w:t>Range proofs solve this by proving each committed value lies in [0, 2⁶⁴) without revealing it. A commitment to −5 would fail the range proof, blocking the attack. Bulletproofs made these proofs practical (~700 bytes instead of ~5 KB).</w:t>
      </w:r>
    </w:p>
    <w:p w14:paraId="50E00436" w14:textId="77777777" w:rsidR="00B563E0" w:rsidRDefault="00000000">
      <w:pPr>
        <w:spacing w:before="300" w:after="100"/>
      </w:pPr>
      <w:r>
        <w:rPr>
          <w:b/>
          <w:bCs/>
          <w:color w:val="1F3864"/>
          <w:sz w:val="24"/>
          <w:szCs w:val="24"/>
        </w:rPr>
        <w:t>Question 3: Stealth Addresses &amp; Ring Signatures</w:t>
      </w:r>
    </w:p>
    <w:p w14:paraId="3D0E6455" w14:textId="77777777" w:rsidR="00B563E0" w:rsidRDefault="00000000">
      <w:pPr>
        <w:spacing w:before="160" w:after="80"/>
      </w:pPr>
      <w:r>
        <w:rPr>
          <w:b/>
          <w:bCs/>
          <w:color w:val="2E75B6"/>
        </w:rPr>
        <w:t>(a) Stealth Addresses</w:t>
      </w:r>
    </w:p>
    <w:p w14:paraId="6C2BED1D" w14:textId="77777777" w:rsidR="00B563E0" w:rsidRDefault="00000000">
      <w:pPr>
        <w:spacing w:after="80"/>
      </w:pPr>
      <w:r>
        <w:t>Privacy problem: When Bob reuses the same address, anyone can see Bob’s total income, everyone who paid Bob, and Bob’s subsequent spending. All payments are linkable to a single recipient.</w:t>
      </w:r>
    </w:p>
    <w:p w14:paraId="6C346260" w14:textId="77777777" w:rsidR="00B563E0" w:rsidRDefault="00000000">
      <w:pPr>
        <w:spacing w:after="80"/>
      </w:pPr>
      <w:r>
        <w:t>Stealth address solution — the three steps Alice takes:</w:t>
      </w:r>
    </w:p>
    <w:p w14:paraId="30AEEBD8" w14:textId="77777777" w:rsidR="00B563E0" w:rsidRDefault="00000000">
      <w:pPr>
        <w:spacing w:after="80"/>
      </w:pPr>
      <w:r>
        <w:t>1. Alice picks a random r and computes R = r · G (an ephemeral public key).</w:t>
      </w:r>
    </w:p>
    <w:p w14:paraId="419A97C2" w14:textId="77777777" w:rsidR="00B563E0" w:rsidRDefault="00000000">
      <w:pPr>
        <w:spacing w:after="80"/>
      </w:pPr>
      <w:r>
        <w:t>2. Alice computes the shared secret k = H(r · S), where S = s · G is Bob’s published scan key.</w:t>
      </w:r>
    </w:p>
    <w:p w14:paraId="62BCC298" w14:textId="77777777" w:rsidR="00B563E0" w:rsidRDefault="00000000">
      <w:pPr>
        <w:spacing w:after="80"/>
      </w:pPr>
      <w:r>
        <w:t>3. Alice derives a one-time address P = k · G + B (where B is Bob’s spend key), sends funds to P, and publishes R on-chain.</w:t>
      </w:r>
    </w:p>
    <w:p w14:paraId="7E82283E" w14:textId="77777777" w:rsidR="00B563E0" w:rsidRDefault="00000000">
      <w:pPr>
        <w:spacing w:after="80"/>
      </w:pPr>
      <w:r>
        <w:t>Bob scans the chain, sees R, computes k = H(s · R), derives P = k · G + B, and recognises the match. No external observer can link P to Bob.</w:t>
      </w:r>
    </w:p>
    <w:p w14:paraId="624EC95C" w14:textId="77777777" w:rsidR="00B563E0" w:rsidRDefault="00000000">
      <w:pPr>
        <w:spacing w:before="160" w:after="80"/>
      </w:pPr>
      <w:r>
        <w:rPr>
          <w:b/>
          <w:bCs/>
          <w:color w:val="2E75B6"/>
        </w:rPr>
        <w:t>(b) Ring Signatures &amp; Key Images</w:t>
      </w:r>
    </w:p>
    <w:p w14:paraId="038FAB69" w14:textId="77777777" w:rsidR="00B563E0" w:rsidRDefault="00000000">
      <w:pPr>
        <w:spacing w:after="80"/>
      </w:pPr>
      <w:r>
        <w:t>What a verifier CAN determine: That exactly one member of the ring {K₁, K₂, K₃, K₄, K₅} produced a valid signature.</w:t>
      </w:r>
    </w:p>
    <w:p w14:paraId="39AF9E95" w14:textId="77777777" w:rsidR="00B563E0" w:rsidRDefault="00000000">
      <w:pPr>
        <w:spacing w:after="80"/>
      </w:pPr>
      <w:r>
        <w:t>What a verifier CANNOT determine: Which specific member signed. It is computationally impossible to distinguish the real signer from the decoys.</w:t>
      </w:r>
    </w:p>
    <w:p w14:paraId="21637FE4" w14:textId="77777777" w:rsidR="00B563E0" w:rsidRDefault="00000000">
      <w:pPr>
        <w:spacing w:after="80"/>
      </w:pPr>
      <w:r>
        <w:t>Key Image: I = x · H(P), where x is the private key and P is the public key.</w:t>
      </w:r>
    </w:p>
    <w:p w14:paraId="012E056E" w14:textId="77777777" w:rsidR="00B563E0" w:rsidRDefault="00000000">
      <w:pPr>
        <w:spacing w:after="80"/>
      </w:pPr>
      <w:r>
        <w:t>It is deterministic (unique per key pair), so spending the same output always produces the same key image. It is one-way, so the signer’s identity cannot be derived from I.</w:t>
      </w:r>
    </w:p>
    <w:p w14:paraId="5D92F7E5" w14:textId="77777777" w:rsidR="00B563E0" w:rsidRDefault="00000000">
      <w:pPr>
        <w:spacing w:after="80"/>
      </w:pPr>
      <w:r>
        <w:t>The network maintains a set of all used key images. If a key image is seen again, the transaction is rejected as a double-spend. This achieves linkability (detect reuse) without identifiability (reveal who).</w:t>
      </w:r>
    </w:p>
    <w:p w14:paraId="6A3CE91A" w14:textId="77777777" w:rsidR="00B563E0" w:rsidRDefault="00000000">
      <w:pPr>
        <w:spacing w:before="300" w:after="100"/>
      </w:pPr>
      <w:r>
        <w:rPr>
          <w:b/>
          <w:bCs/>
          <w:color w:val="1F3864"/>
          <w:sz w:val="24"/>
          <w:szCs w:val="24"/>
        </w:rPr>
        <w:t>Question 4: Privacy by Default &amp; Regulation</w:t>
      </w:r>
    </w:p>
    <w:p w14:paraId="3DC778BD" w14:textId="77777777" w:rsidR="00B563E0" w:rsidRDefault="00000000">
      <w:pPr>
        <w:spacing w:before="160" w:after="80"/>
      </w:pPr>
      <w:r>
        <w:rPr>
          <w:b/>
          <w:bCs/>
          <w:color w:val="2E75B6"/>
        </w:rPr>
        <w:t>(a) Three Layers &amp; Opt-in Paradox</w:t>
      </w:r>
    </w:p>
    <w:p w14:paraId="286FD2E3" w14:textId="77777777" w:rsidR="00B563E0" w:rsidRDefault="00000000">
      <w:pPr>
        <w:spacing w:after="80"/>
      </w:pPr>
      <w:r>
        <w:t>Ring signatures (ring size 16): Hide the sender. Observer sees “one of 16 possible signers.”</w:t>
      </w:r>
    </w:p>
    <w:p w14:paraId="64FA1B57" w14:textId="77777777" w:rsidR="00B563E0" w:rsidRDefault="00000000">
      <w:pPr>
        <w:spacing w:after="80"/>
      </w:pPr>
      <w:r>
        <w:t>Stealth addresses: Hide the receiver. Observer sees an unknown one-time address.</w:t>
      </w:r>
    </w:p>
    <w:p w14:paraId="69F7C061" w14:textId="77777777" w:rsidR="00B563E0" w:rsidRDefault="00000000">
      <w:pPr>
        <w:spacing w:after="80"/>
      </w:pPr>
      <w:r>
        <w:t>RingCT + Bulletproofs: Hide the amount. Observer sees a valid Pedersen commitment but not the actual value.</w:t>
      </w:r>
    </w:p>
    <w:p w14:paraId="609C3908" w14:textId="77777777" w:rsidR="00B563E0" w:rsidRDefault="00000000">
      <w:pPr>
        <w:spacing w:after="80"/>
      </w:pPr>
      <w:r>
        <w:t>Opt-in paradox: Zcash offers optional shielded transactions, but fewer than 10% of users enable them. The few who do stand out — using privacy itself becomes a signal. Monero makes all transactions private by default (100%), so the anonymity set is every transaction on the network. Mandatory privacy makes everyone look the same, which is fundamentally stronger.</w:t>
      </w:r>
    </w:p>
    <w:p w14:paraId="6444C20B" w14:textId="77777777" w:rsidR="00B563E0" w:rsidRDefault="00000000">
      <w:pPr>
        <w:spacing w:before="160" w:after="80"/>
      </w:pPr>
      <w:r>
        <w:rPr>
          <w:b/>
          <w:bCs/>
          <w:color w:val="2E75B6"/>
        </w:rPr>
        <w:t>(b) Tornado Cash &amp; Privacy Pools</w:t>
      </w:r>
    </w:p>
    <w:p w14:paraId="3CD50D8B" w14:textId="77777777" w:rsidR="00B563E0" w:rsidRDefault="00000000">
      <w:pPr>
        <w:spacing w:after="80"/>
      </w:pPr>
      <w:r>
        <w:t>Tornado Cash: In August 2022, OFAC sanctioned the Tornado Cash smart contract addresses — the first time a smart contract was sanctioned. Of its $7.6B total volume, roughly 30% was illicit and 70% legitimate. Developer Alexey Pertsev was arrested in the Netherlands. The contract continues running on Ethereum since it is immutable code.</w:t>
      </w:r>
    </w:p>
    <w:p w14:paraId="54755667" w14:textId="77777777" w:rsidR="00B563E0" w:rsidRDefault="00000000">
      <w:pPr>
        <w:spacing w:after="80"/>
      </w:pPr>
      <w:r>
        <w:lastRenderedPageBreak/>
        <w:t>Open question: Can governments sanction open-source code or mathematical protocols (as opposed to people or companies)? Courts are still deciding.</w:t>
      </w:r>
    </w:p>
    <w:p w14:paraId="34807D25" w14:textId="77777777" w:rsidR="00B563E0" w:rsidRDefault="00000000">
      <w:pPr>
        <w:spacing w:after="80"/>
      </w:pPr>
      <w:r>
        <w:t>Privacy Pools (proposed by Vitalik Buterin, 2023): When withdrawing, users select an “association set” and generate a ZK proof showing “my deposit is in THIS set” — a set that excludes known bad actors. For example, Alice can prove she is not Lazarus Group without revealing which specific deposit is hers. This achieves privacy with selective disclosure, offering a regulatory-compatible middle ground between full transparency and full anonymity.</w:t>
      </w:r>
    </w:p>
    <w:p w14:paraId="404DB21C" w14:textId="77777777" w:rsidR="00B563E0" w:rsidRDefault="00000000">
      <w:pPr>
        <w:pBdr>
          <w:top w:val="single" w:sz="8" w:space="8" w:color="1F3864"/>
        </w:pBdr>
        <w:spacing w:before="400"/>
        <w:jc w:val="center"/>
      </w:pPr>
      <w:r>
        <w:rPr>
          <w:b/>
          <w:bCs/>
          <w:color w:val="1F3864"/>
          <w:sz w:val="24"/>
          <w:szCs w:val="24"/>
        </w:rPr>
        <w:t>— End of Solutions —</w:t>
      </w:r>
    </w:p>
    <w:sectPr w:rsidR="00B563E0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CEB416" w14:textId="77777777" w:rsidR="004074F4" w:rsidRDefault="004074F4">
      <w:r>
        <w:separator/>
      </w:r>
    </w:p>
  </w:endnote>
  <w:endnote w:type="continuationSeparator" w:id="0">
    <w:p w14:paraId="7B9048EB" w14:textId="77777777" w:rsidR="004074F4" w:rsidRDefault="004074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69AE0" w14:textId="77777777" w:rsidR="00B563E0" w:rsidRDefault="00000000">
    <w:pPr>
      <w:pBdr>
        <w:top w:val="single" w:sz="4" w:space="4" w:color="CCCCCC"/>
      </w:pBd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1C3D1C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72E0E4" w14:textId="77777777" w:rsidR="004074F4" w:rsidRDefault="004074F4">
      <w:r>
        <w:separator/>
      </w:r>
    </w:p>
  </w:footnote>
  <w:footnote w:type="continuationSeparator" w:id="0">
    <w:p w14:paraId="240A2603" w14:textId="77777777" w:rsidR="004074F4" w:rsidRDefault="004074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C6D84"/>
    <w:multiLevelType w:val="hybridMultilevel"/>
    <w:tmpl w:val="52448244"/>
    <w:lvl w:ilvl="0" w:tplc="FF447F8A">
      <w:start w:val="1"/>
      <w:numFmt w:val="bullet"/>
      <w:lvlText w:val="●"/>
      <w:lvlJc w:val="left"/>
      <w:pPr>
        <w:ind w:left="720" w:hanging="360"/>
      </w:pPr>
    </w:lvl>
    <w:lvl w:ilvl="1" w:tplc="33BACBAE">
      <w:start w:val="1"/>
      <w:numFmt w:val="bullet"/>
      <w:lvlText w:val="○"/>
      <w:lvlJc w:val="left"/>
      <w:pPr>
        <w:ind w:left="1440" w:hanging="360"/>
      </w:pPr>
    </w:lvl>
    <w:lvl w:ilvl="2" w:tplc="69207324">
      <w:start w:val="1"/>
      <w:numFmt w:val="bullet"/>
      <w:lvlText w:val="■"/>
      <w:lvlJc w:val="left"/>
      <w:pPr>
        <w:ind w:left="2160" w:hanging="360"/>
      </w:pPr>
    </w:lvl>
    <w:lvl w:ilvl="3" w:tplc="CA800E04">
      <w:start w:val="1"/>
      <w:numFmt w:val="bullet"/>
      <w:lvlText w:val="●"/>
      <w:lvlJc w:val="left"/>
      <w:pPr>
        <w:ind w:left="2880" w:hanging="360"/>
      </w:pPr>
    </w:lvl>
    <w:lvl w:ilvl="4" w:tplc="0F0CAD8E">
      <w:start w:val="1"/>
      <w:numFmt w:val="bullet"/>
      <w:lvlText w:val="○"/>
      <w:lvlJc w:val="left"/>
      <w:pPr>
        <w:ind w:left="3600" w:hanging="360"/>
      </w:pPr>
    </w:lvl>
    <w:lvl w:ilvl="5" w:tplc="AA4A6BDE">
      <w:start w:val="1"/>
      <w:numFmt w:val="bullet"/>
      <w:lvlText w:val="■"/>
      <w:lvlJc w:val="left"/>
      <w:pPr>
        <w:ind w:left="4320" w:hanging="360"/>
      </w:pPr>
    </w:lvl>
    <w:lvl w:ilvl="6" w:tplc="9E98DC96">
      <w:start w:val="1"/>
      <w:numFmt w:val="bullet"/>
      <w:lvlText w:val="●"/>
      <w:lvlJc w:val="left"/>
      <w:pPr>
        <w:ind w:left="5040" w:hanging="360"/>
      </w:pPr>
    </w:lvl>
    <w:lvl w:ilvl="7" w:tplc="0914BF42">
      <w:start w:val="1"/>
      <w:numFmt w:val="bullet"/>
      <w:lvlText w:val="●"/>
      <w:lvlJc w:val="left"/>
      <w:pPr>
        <w:ind w:left="5760" w:hanging="360"/>
      </w:pPr>
    </w:lvl>
    <w:lvl w:ilvl="8" w:tplc="FB1273D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B573E42"/>
    <w:multiLevelType w:val="hybridMultilevel"/>
    <w:tmpl w:val="5128C2E2"/>
    <w:lvl w:ilvl="0" w:tplc="CDFCD000">
      <w:start w:val="1"/>
      <w:numFmt w:val="lowerLetter"/>
      <w:lvlText w:val="(%1)"/>
      <w:lvlJc w:val="left"/>
      <w:pPr>
        <w:ind w:left="720" w:hanging="360"/>
      </w:pPr>
    </w:lvl>
    <w:lvl w:ilvl="1" w:tplc="382EAC9E">
      <w:numFmt w:val="decimal"/>
      <w:lvlText w:val=""/>
      <w:lvlJc w:val="left"/>
    </w:lvl>
    <w:lvl w:ilvl="2" w:tplc="B2423622">
      <w:numFmt w:val="decimal"/>
      <w:lvlText w:val=""/>
      <w:lvlJc w:val="left"/>
    </w:lvl>
    <w:lvl w:ilvl="3" w:tplc="3F343622">
      <w:numFmt w:val="decimal"/>
      <w:lvlText w:val=""/>
      <w:lvlJc w:val="left"/>
    </w:lvl>
    <w:lvl w:ilvl="4" w:tplc="015EEE7C">
      <w:numFmt w:val="decimal"/>
      <w:lvlText w:val=""/>
      <w:lvlJc w:val="left"/>
    </w:lvl>
    <w:lvl w:ilvl="5" w:tplc="B946233A">
      <w:numFmt w:val="decimal"/>
      <w:lvlText w:val=""/>
      <w:lvlJc w:val="left"/>
    </w:lvl>
    <w:lvl w:ilvl="6" w:tplc="AC3ABAEA">
      <w:numFmt w:val="decimal"/>
      <w:lvlText w:val=""/>
      <w:lvlJc w:val="left"/>
    </w:lvl>
    <w:lvl w:ilvl="7" w:tplc="483A3272">
      <w:numFmt w:val="decimal"/>
      <w:lvlText w:val=""/>
      <w:lvlJc w:val="left"/>
    </w:lvl>
    <w:lvl w:ilvl="8" w:tplc="A48899B0">
      <w:numFmt w:val="decimal"/>
      <w:lvlText w:val=""/>
      <w:lvlJc w:val="left"/>
    </w:lvl>
  </w:abstractNum>
  <w:abstractNum w:abstractNumId="2" w15:restartNumberingAfterBreak="0">
    <w:nsid w:val="4BCB6E7E"/>
    <w:multiLevelType w:val="hybridMultilevel"/>
    <w:tmpl w:val="361C53A6"/>
    <w:lvl w:ilvl="0" w:tplc="6B3072AC">
      <w:start w:val="1"/>
      <w:numFmt w:val="lowerLetter"/>
      <w:lvlText w:val="(%1)"/>
      <w:lvlJc w:val="left"/>
      <w:pPr>
        <w:ind w:left="720" w:hanging="360"/>
      </w:pPr>
    </w:lvl>
    <w:lvl w:ilvl="1" w:tplc="BFC21B88">
      <w:numFmt w:val="decimal"/>
      <w:lvlText w:val=""/>
      <w:lvlJc w:val="left"/>
    </w:lvl>
    <w:lvl w:ilvl="2" w:tplc="76889B0E">
      <w:numFmt w:val="decimal"/>
      <w:lvlText w:val=""/>
      <w:lvlJc w:val="left"/>
    </w:lvl>
    <w:lvl w:ilvl="3" w:tplc="F4A0239E">
      <w:numFmt w:val="decimal"/>
      <w:lvlText w:val=""/>
      <w:lvlJc w:val="left"/>
    </w:lvl>
    <w:lvl w:ilvl="4" w:tplc="C3E6ED8E">
      <w:numFmt w:val="decimal"/>
      <w:lvlText w:val=""/>
      <w:lvlJc w:val="left"/>
    </w:lvl>
    <w:lvl w:ilvl="5" w:tplc="DFDC9CA0">
      <w:numFmt w:val="decimal"/>
      <w:lvlText w:val=""/>
      <w:lvlJc w:val="left"/>
    </w:lvl>
    <w:lvl w:ilvl="6" w:tplc="2A822A76">
      <w:numFmt w:val="decimal"/>
      <w:lvlText w:val=""/>
      <w:lvlJc w:val="left"/>
    </w:lvl>
    <w:lvl w:ilvl="7" w:tplc="459E2A28">
      <w:numFmt w:val="decimal"/>
      <w:lvlText w:val=""/>
      <w:lvlJc w:val="left"/>
    </w:lvl>
    <w:lvl w:ilvl="8" w:tplc="A2D43D48">
      <w:numFmt w:val="decimal"/>
      <w:lvlText w:val=""/>
      <w:lvlJc w:val="left"/>
    </w:lvl>
  </w:abstractNum>
  <w:abstractNum w:abstractNumId="3" w15:restartNumberingAfterBreak="0">
    <w:nsid w:val="57D71135"/>
    <w:multiLevelType w:val="hybridMultilevel"/>
    <w:tmpl w:val="B8DC7D0C"/>
    <w:lvl w:ilvl="0" w:tplc="A7B68E4E">
      <w:start w:val="1"/>
      <w:numFmt w:val="lowerLetter"/>
      <w:lvlText w:val="(%1)"/>
      <w:lvlJc w:val="left"/>
      <w:pPr>
        <w:ind w:left="720" w:hanging="360"/>
      </w:pPr>
    </w:lvl>
    <w:lvl w:ilvl="1" w:tplc="D6089754">
      <w:numFmt w:val="decimal"/>
      <w:lvlText w:val=""/>
      <w:lvlJc w:val="left"/>
    </w:lvl>
    <w:lvl w:ilvl="2" w:tplc="EA7E9486">
      <w:numFmt w:val="decimal"/>
      <w:lvlText w:val=""/>
      <w:lvlJc w:val="left"/>
    </w:lvl>
    <w:lvl w:ilvl="3" w:tplc="3B92D8F8">
      <w:numFmt w:val="decimal"/>
      <w:lvlText w:val=""/>
      <w:lvlJc w:val="left"/>
    </w:lvl>
    <w:lvl w:ilvl="4" w:tplc="545A58BE">
      <w:numFmt w:val="decimal"/>
      <w:lvlText w:val=""/>
      <w:lvlJc w:val="left"/>
    </w:lvl>
    <w:lvl w:ilvl="5" w:tplc="FA1EFD9C">
      <w:numFmt w:val="decimal"/>
      <w:lvlText w:val=""/>
      <w:lvlJc w:val="left"/>
    </w:lvl>
    <w:lvl w:ilvl="6" w:tplc="F850D85C">
      <w:numFmt w:val="decimal"/>
      <w:lvlText w:val=""/>
      <w:lvlJc w:val="left"/>
    </w:lvl>
    <w:lvl w:ilvl="7" w:tplc="EED27256">
      <w:numFmt w:val="decimal"/>
      <w:lvlText w:val=""/>
      <w:lvlJc w:val="left"/>
    </w:lvl>
    <w:lvl w:ilvl="8" w:tplc="EF9863D2">
      <w:numFmt w:val="decimal"/>
      <w:lvlText w:val=""/>
      <w:lvlJc w:val="left"/>
    </w:lvl>
  </w:abstractNum>
  <w:abstractNum w:abstractNumId="4" w15:restartNumberingAfterBreak="0">
    <w:nsid w:val="5FDD5A22"/>
    <w:multiLevelType w:val="hybridMultilevel"/>
    <w:tmpl w:val="2D0ECF56"/>
    <w:lvl w:ilvl="0" w:tplc="AB78B162">
      <w:start w:val="1"/>
      <w:numFmt w:val="lowerLetter"/>
      <w:lvlText w:val="(%1)"/>
      <w:lvlJc w:val="left"/>
      <w:pPr>
        <w:ind w:left="720" w:hanging="360"/>
      </w:pPr>
    </w:lvl>
    <w:lvl w:ilvl="1" w:tplc="869CA90E">
      <w:numFmt w:val="decimal"/>
      <w:lvlText w:val=""/>
      <w:lvlJc w:val="left"/>
    </w:lvl>
    <w:lvl w:ilvl="2" w:tplc="175214F4">
      <w:numFmt w:val="decimal"/>
      <w:lvlText w:val=""/>
      <w:lvlJc w:val="left"/>
    </w:lvl>
    <w:lvl w:ilvl="3" w:tplc="59884BE2">
      <w:numFmt w:val="decimal"/>
      <w:lvlText w:val=""/>
      <w:lvlJc w:val="left"/>
    </w:lvl>
    <w:lvl w:ilvl="4" w:tplc="74288C16">
      <w:numFmt w:val="decimal"/>
      <w:lvlText w:val=""/>
      <w:lvlJc w:val="left"/>
    </w:lvl>
    <w:lvl w:ilvl="5" w:tplc="8AC053CA">
      <w:numFmt w:val="decimal"/>
      <w:lvlText w:val=""/>
      <w:lvlJc w:val="left"/>
    </w:lvl>
    <w:lvl w:ilvl="6" w:tplc="DAE2ABA6">
      <w:numFmt w:val="decimal"/>
      <w:lvlText w:val=""/>
      <w:lvlJc w:val="left"/>
    </w:lvl>
    <w:lvl w:ilvl="7" w:tplc="94F4F740">
      <w:numFmt w:val="decimal"/>
      <w:lvlText w:val=""/>
      <w:lvlJc w:val="left"/>
    </w:lvl>
    <w:lvl w:ilvl="8" w:tplc="0E8A16A4">
      <w:numFmt w:val="decimal"/>
      <w:lvlText w:val=""/>
      <w:lvlJc w:val="left"/>
    </w:lvl>
  </w:abstractNum>
  <w:num w:numId="1" w16cid:durableId="18079688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3E0"/>
    <w:rsid w:val="000A091A"/>
    <w:rsid w:val="001C3D1C"/>
    <w:rsid w:val="004074F4"/>
    <w:rsid w:val="00B56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W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1B2D4A"/>
  <w15:docId w15:val="{AA11B123-2CB4-7A4E-B39E-FCD69D9D8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TW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40" w:after="8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966</Words>
  <Characters>4874</Characters>
  <Application>Microsoft Office Word</Application>
  <DocSecurity>0</DocSecurity>
  <Lines>88</Lines>
  <Paragraphs>51</Paragraphs>
  <ScaleCrop>false</ScaleCrop>
  <Company/>
  <LinksUpToDate>false</LinksUpToDate>
  <CharactersWithSpaces>5803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Dr. DU Yuefeng</cp:lastModifiedBy>
  <cp:revision>3</cp:revision>
  <dcterms:created xsi:type="dcterms:W3CDTF">2026-03-16T02:17:00Z</dcterms:created>
  <dcterms:modified xsi:type="dcterms:W3CDTF">2026-03-16T02:17:00Z</dcterms:modified>
</cp:coreProperties>
</file>