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BA3BA8" w14:paraId="54DB6FE6" w14:textId="68BD7DE8">
      <w:pPr>
        <w:jc w:val="right"/>
        <w:rPr>
          <w:sz w:val="24"/>
        </w:rPr>
      </w:pPr>
    </w:p>
    <w:p w:rsidR="00BA3BA8" w:rsidRPr="00F75C5E" w14:paraId="75783260" w14:textId="5100B9DB">
      <w:pPr>
        <w:jc w:val="right"/>
        <w:rPr>
          <w:b/>
          <w:sz w:val="24"/>
        </w:rPr>
      </w:pPr>
      <w:r w:rsidRPr="00F75C5E">
        <w:rPr>
          <w:b/>
          <w:sz w:val="24"/>
        </w:rPr>
        <w:t>DA 26-</w:t>
      </w:r>
      <w:r w:rsidRPr="00F75C5E" w:rsidR="00F75C5E">
        <w:rPr>
          <w:b/>
          <w:sz w:val="24"/>
        </w:rPr>
        <w:t>786</w:t>
      </w:r>
    </w:p>
    <w:p w:rsidR="00BA3BA8" w14:paraId="1F318297" w14:textId="6E039D39">
      <w:pPr>
        <w:spacing w:before="60"/>
        <w:jc w:val="right"/>
        <w:rPr>
          <w:b/>
          <w:sz w:val="24"/>
        </w:rPr>
      </w:pPr>
      <w:r w:rsidRPr="00414478">
        <w:rPr>
          <w:b/>
          <w:sz w:val="24"/>
        </w:rPr>
        <w:t xml:space="preserve">Released:  </w:t>
      </w:r>
      <w:r w:rsidRPr="00414478" w:rsidR="007B6D10">
        <w:rPr>
          <w:b/>
          <w:sz w:val="24"/>
        </w:rPr>
        <w:t>July 28, 2026</w:t>
      </w:r>
    </w:p>
    <w:p w:rsidR="00BA3BA8" w:rsidP="00451A55" w14:paraId="496BA7A8" w14:textId="5E5CD7AE">
      <w:pPr>
        <w:rPr>
          <w:sz w:val="24"/>
        </w:rPr>
      </w:pPr>
    </w:p>
    <w:p w:rsidR="00BA3BA8" w14:paraId="420BB8D7" w14:textId="07E7AAB8">
      <w:pPr>
        <w:spacing w:after="240"/>
        <w:jc w:val="center"/>
        <w:rPr>
          <w:rFonts w:ascii="Times New Roman Bold" w:hAnsi="Times New Roman Bold"/>
          <w:b/>
          <w:caps/>
          <w:sz w:val="24"/>
        </w:rPr>
      </w:pPr>
      <w:r>
        <w:rPr>
          <w:rFonts w:ascii="Times New Roman Bold" w:hAnsi="Times New Roman Bold"/>
          <w:b/>
          <w:caps/>
          <w:sz w:val="24"/>
        </w:rPr>
        <w:t xml:space="preserve">FCC’s </w:t>
      </w:r>
      <w:r w:rsidR="005822C3">
        <w:rPr>
          <w:rFonts w:ascii="Times New Roman Bold" w:hAnsi="Times New Roman Bold"/>
          <w:b/>
          <w:caps/>
          <w:sz w:val="24"/>
        </w:rPr>
        <w:t>public safety and homeland security bureau announces addition of</w:t>
      </w:r>
      <w:r w:rsidR="006C1723">
        <w:rPr>
          <w:rFonts w:ascii="Times New Roman Bold" w:hAnsi="Times New Roman Bold"/>
          <w:b/>
          <w:caps/>
          <w:sz w:val="24"/>
        </w:rPr>
        <w:t xml:space="preserve"> </w:t>
      </w:r>
      <w:r w:rsidR="007C0075">
        <w:rPr>
          <w:rFonts w:ascii="Times New Roman Bold" w:hAnsi="Times New Roman Bold"/>
          <w:b/>
          <w:caps/>
          <w:sz w:val="24"/>
        </w:rPr>
        <w:t xml:space="preserve">FOREIGN-PRODUCED </w:t>
      </w:r>
      <w:r w:rsidRPr="00F75C5E" w:rsidR="00C1004A">
        <w:rPr>
          <w:rFonts w:ascii="Times New Roman Bold" w:hAnsi="Times New Roman Bold"/>
          <w:b/>
          <w:caps/>
          <w:sz w:val="24"/>
        </w:rPr>
        <w:t xml:space="preserve">Power </w:t>
      </w:r>
      <w:r w:rsidRPr="00F75C5E" w:rsidR="0025622E">
        <w:rPr>
          <w:rFonts w:ascii="Times New Roman Bold" w:hAnsi="Times New Roman Bold"/>
          <w:b/>
          <w:caps/>
          <w:sz w:val="24"/>
        </w:rPr>
        <w:t>inverters</w:t>
      </w:r>
      <w:r w:rsidRPr="00F75C5E" w:rsidR="006C1723">
        <w:rPr>
          <w:rFonts w:ascii="Times New Roman Bold" w:hAnsi="Times New Roman Bold"/>
          <w:b/>
          <w:caps/>
          <w:sz w:val="24"/>
        </w:rPr>
        <w:t xml:space="preserve"> </w:t>
      </w:r>
      <w:r w:rsidRPr="00F75C5E" w:rsidR="006C0F0F">
        <w:rPr>
          <w:rFonts w:ascii="Times New Roman Bold" w:hAnsi="Times New Roman Bold"/>
          <w:b/>
          <w:caps/>
          <w:sz w:val="24"/>
        </w:rPr>
        <w:t>and advanced robotic devices</w:t>
      </w:r>
      <w:r w:rsidR="006C0F0F">
        <w:rPr>
          <w:rFonts w:ascii="Times New Roman Bold" w:hAnsi="Times New Roman Bold"/>
          <w:b/>
          <w:caps/>
          <w:sz w:val="24"/>
        </w:rPr>
        <w:t xml:space="preserve"> </w:t>
      </w:r>
      <w:r w:rsidR="005822C3">
        <w:rPr>
          <w:rFonts w:ascii="Times New Roman Bold" w:hAnsi="Times New Roman Bold"/>
          <w:b/>
          <w:caps/>
          <w:sz w:val="24"/>
        </w:rPr>
        <w:t xml:space="preserve">to </w:t>
      </w:r>
      <w:r w:rsidR="00B30087">
        <w:rPr>
          <w:rFonts w:ascii="Times New Roman Bold" w:hAnsi="Times New Roman Bold"/>
          <w:b/>
          <w:caps/>
          <w:sz w:val="24"/>
        </w:rPr>
        <w:t>fcc covered list</w:t>
      </w:r>
    </w:p>
    <w:p w:rsidR="0082508C" w:rsidP="0082508C" w14:paraId="73B67FEC" w14:textId="77777777">
      <w:pPr>
        <w:jc w:val="center"/>
        <w:rPr>
          <w:b/>
          <w:sz w:val="24"/>
        </w:rPr>
      </w:pPr>
      <w:r>
        <w:rPr>
          <w:b/>
          <w:sz w:val="24"/>
        </w:rPr>
        <w:t xml:space="preserve">WC Docket No. 18-89, ET Docket No. 21-232, EA Docket No. 21-233 </w:t>
      </w:r>
    </w:p>
    <w:p w:rsidR="00BA3BA8" w14:paraId="734A4FCB" w14:textId="08E5D203">
      <w:pPr>
        <w:jc w:val="center"/>
        <w:rPr>
          <w:b/>
          <w:sz w:val="24"/>
        </w:rPr>
      </w:pPr>
    </w:p>
    <w:p w:rsidR="00E10B3A" w:rsidP="00D4215A" w14:paraId="22B41633" w14:textId="6B33E1F2">
      <w:pPr>
        <w:ind w:firstLine="720"/>
      </w:pPr>
      <w:bookmarkStart w:id="0" w:name="TOChere"/>
      <w:r>
        <w:t xml:space="preserve">The Federal Communications Commission’s (FCC or Commission) Public Safety and Homeland Security Bureau (PSHSB) maintains a list of equipment and services (Covered List) </w:t>
      </w:r>
      <w:r w:rsidRPr="00773C59">
        <w:t>that ha</w:t>
      </w:r>
      <w:r>
        <w:t>ve</w:t>
      </w:r>
      <w:r w:rsidRPr="00773C59">
        <w:t xml:space="preserve"> been determined to “pose an unacceptable risk to the national security of the United States or the security and safety of United States persons</w:t>
      </w:r>
      <w:r>
        <w:t>.</w:t>
      </w:r>
      <w:r w:rsidRPr="00773C59">
        <w:t>”</w:t>
      </w:r>
      <w:r>
        <w:rPr>
          <w:rStyle w:val="FootnoteReference"/>
        </w:rPr>
        <w:footnoteReference w:id="3"/>
      </w:r>
      <w:r w:rsidRPr="00773C59">
        <w:t xml:space="preserve"> </w:t>
      </w:r>
      <w:r>
        <w:t xml:space="preserve"> </w:t>
      </w:r>
      <w:r w:rsidRPr="00733757">
        <w:t xml:space="preserve">Pursuant to </w:t>
      </w:r>
      <w:r>
        <w:t>section 2 of the Secure and Trusted Communications Networks Act of 2019 (Secure Networks Act)</w:t>
      </w:r>
      <w:r>
        <w:rPr>
          <w:rStyle w:val="FootnoteReference"/>
        </w:rPr>
        <w:footnoteReference w:id="4"/>
      </w:r>
      <w:r w:rsidR="00D8162F">
        <w:t xml:space="preserve"> </w:t>
      </w:r>
      <w:r w:rsidRPr="00733757" w:rsidR="00D8162F">
        <w:t>and section</w:t>
      </w:r>
      <w:r w:rsidR="00D8162F">
        <w:t>s</w:t>
      </w:r>
      <w:r w:rsidRPr="00733757" w:rsidR="00D8162F">
        <w:t xml:space="preserve"> 1.50002</w:t>
      </w:r>
      <w:r w:rsidR="00D8162F">
        <w:t>(a)</w:t>
      </w:r>
      <w:r w:rsidRPr="00733757" w:rsidR="00D8162F">
        <w:t xml:space="preserve"> and 1.50003</w:t>
      </w:r>
      <w:r w:rsidR="00D8162F">
        <w:t xml:space="preserve"> </w:t>
      </w:r>
      <w:r w:rsidRPr="00733757" w:rsidR="00D8162F">
        <w:t xml:space="preserve">of the </w:t>
      </w:r>
      <w:r w:rsidR="00D8162F">
        <w:t>Commission’s</w:t>
      </w:r>
      <w:r w:rsidRPr="00733757" w:rsidR="00D8162F">
        <w:t xml:space="preserve"> rules,</w:t>
      </w:r>
      <w:r>
        <w:rPr>
          <w:rStyle w:val="FootnoteReference"/>
        </w:rPr>
        <w:footnoteReference w:id="5"/>
      </w:r>
      <w:r w:rsidRPr="00733757" w:rsidR="00D8162F">
        <w:t xml:space="preserve"> </w:t>
      </w:r>
      <w:r w:rsidR="00D8162F">
        <w:t>PSHSB</w:t>
      </w:r>
      <w:r w:rsidRPr="00733757" w:rsidR="00D8162F">
        <w:t xml:space="preserve"> announce</w:t>
      </w:r>
      <w:r w:rsidR="00D8162F">
        <w:t>s the addition of</w:t>
      </w:r>
      <w:r w:rsidR="001F2A69">
        <w:t xml:space="preserve"> </w:t>
      </w:r>
      <w:r w:rsidR="00632049">
        <w:t xml:space="preserve">foreign-produced </w:t>
      </w:r>
      <w:r w:rsidRPr="002E2EE7" w:rsidR="00413C82">
        <w:t>power inverters and advanced robotic devices</w:t>
      </w:r>
      <w:r w:rsidR="00413C82">
        <w:t xml:space="preserve"> </w:t>
      </w:r>
      <w:r w:rsidR="00D8162F">
        <w:t xml:space="preserve">to the Covered List.  </w:t>
      </w:r>
    </w:p>
    <w:p w:rsidR="00D4215A" w:rsidP="00943CB4" w14:paraId="1C68A7BB" w14:textId="77777777">
      <w:pPr>
        <w:ind w:firstLine="720"/>
      </w:pPr>
    </w:p>
    <w:p w:rsidR="00AA4152" w:rsidP="001B5BDF" w14:paraId="0E38289F" w14:textId="406FFAF9">
      <w:pPr>
        <w:ind w:firstLine="720"/>
      </w:pPr>
      <w:r w:rsidRPr="00F77920">
        <w:rPr>
          <w:u w:val="single"/>
        </w:rPr>
        <w:t>National Security Determination</w:t>
      </w:r>
      <w:r w:rsidR="00F44D7C">
        <w:rPr>
          <w:u w:val="single"/>
        </w:rPr>
        <w:t>s</w:t>
      </w:r>
      <w:r w:rsidR="00F77920">
        <w:rPr>
          <w:u w:val="single"/>
        </w:rPr>
        <w:t>.</w:t>
      </w:r>
      <w:r w:rsidR="00F77920">
        <w:t xml:space="preserve">  </w:t>
      </w:r>
      <w:r w:rsidRPr="00131BD7">
        <w:t xml:space="preserve">The White House convened </w:t>
      </w:r>
      <w:r>
        <w:t xml:space="preserve">an </w:t>
      </w:r>
      <w:r w:rsidRPr="00131BD7">
        <w:t>Executive Branch interagency bod</w:t>
      </w:r>
      <w:r>
        <w:t>y</w:t>
      </w:r>
      <w:r w:rsidRPr="00131BD7">
        <w:t xml:space="preserve"> with appropriate national security expertise, including appropriate national security agencies identified in the Secure Networks Act.</w:t>
      </w:r>
      <w:r>
        <w:rPr>
          <w:rStyle w:val="FootnoteReference"/>
        </w:rPr>
        <w:footnoteReference w:id="6"/>
      </w:r>
      <w:r w:rsidRPr="00131BD7">
        <w:t xml:space="preserve">  </w:t>
      </w:r>
      <w:r w:rsidRPr="593CAB10">
        <w:t>On</w:t>
      </w:r>
      <w:r>
        <w:t xml:space="preserve"> </w:t>
      </w:r>
      <w:r w:rsidRPr="007871E0" w:rsidR="00413C82">
        <w:t>July 27</w:t>
      </w:r>
      <w:r w:rsidRPr="007871E0" w:rsidR="00CF41BC">
        <w:t>, 2026</w:t>
      </w:r>
      <w:r w:rsidRPr="593CAB10">
        <w:t xml:space="preserve">, </w:t>
      </w:r>
      <w:r w:rsidR="00D4215A">
        <w:t xml:space="preserve">the </w:t>
      </w:r>
      <w:r w:rsidR="00D82DF9">
        <w:t xml:space="preserve">Executive Branch interagency body </w:t>
      </w:r>
      <w:r w:rsidR="00B15FED">
        <w:t xml:space="preserve">sent the </w:t>
      </w:r>
      <w:r w:rsidR="00D4215A">
        <w:t>FCC</w:t>
      </w:r>
      <w:r w:rsidRPr="593CAB10">
        <w:t xml:space="preserve"> </w:t>
      </w:r>
      <w:r w:rsidR="00D235CF">
        <w:t>two</w:t>
      </w:r>
      <w:r w:rsidR="00CB063E">
        <w:t xml:space="preserve"> </w:t>
      </w:r>
      <w:r w:rsidRPr="00FE725F">
        <w:t>National Security Determination</w:t>
      </w:r>
      <w:r w:rsidR="00D235CF">
        <w:t>s</w:t>
      </w:r>
      <w:r w:rsidR="00CC1C51">
        <w:t>.</w:t>
      </w:r>
      <w:r w:rsidR="00E87060">
        <w:t xml:space="preserve"> </w:t>
      </w:r>
      <w:r w:rsidR="00CC1C51">
        <w:t xml:space="preserve">  </w:t>
      </w:r>
    </w:p>
    <w:p w:rsidR="00AA4152" w:rsidP="001B5BDF" w14:paraId="336BF28F" w14:textId="77777777">
      <w:pPr>
        <w:ind w:firstLine="720"/>
      </w:pPr>
    </w:p>
    <w:p w:rsidR="009E760D" w:rsidP="001B5BDF" w14:paraId="545FDC36" w14:textId="22FBF841">
      <w:pPr>
        <w:ind w:firstLine="720"/>
      </w:pPr>
      <w:r w:rsidRPr="00414478">
        <w:rPr>
          <w:i/>
          <w:iCs/>
        </w:rPr>
        <w:t>Power inverters</w:t>
      </w:r>
      <w:r>
        <w:t xml:space="preserve">.  </w:t>
      </w:r>
      <w:r w:rsidR="00CC1C51">
        <w:t xml:space="preserve">The first </w:t>
      </w:r>
      <w:hyperlink r:id="rId6" w:history="1">
        <w:r w:rsidRPr="00C877B6">
          <w:rPr>
            <w:rStyle w:val="Hyperlink"/>
          </w:rPr>
          <w:t>National Security Determination</w:t>
        </w:r>
      </w:hyperlink>
      <w:r w:rsidR="00CC1C51">
        <w:t xml:space="preserve"> addresses </w:t>
      </w:r>
      <w:r w:rsidRPr="53CC640B" w:rsidR="008E1837">
        <w:t xml:space="preserve">the </w:t>
      </w:r>
      <w:r w:rsidR="008E1837">
        <w:t>unacceptable risks</w:t>
      </w:r>
      <w:r w:rsidRPr="003F287F" w:rsidR="008E1837">
        <w:rPr>
          <w:szCs w:val="22"/>
        </w:rPr>
        <w:t xml:space="preserve"> </w:t>
      </w:r>
      <w:r w:rsidRPr="53CC640B" w:rsidR="008E1837">
        <w:t xml:space="preserve">posed by </w:t>
      </w:r>
      <w:r w:rsidRPr="0069015E" w:rsidR="00061EFE">
        <w:t>power inverters</w:t>
      </w:r>
      <w:r w:rsidR="003E72AF">
        <w:t xml:space="preserve"> produced in foreign countries.</w:t>
      </w:r>
      <w:r>
        <w:rPr>
          <w:rStyle w:val="FootnoteReference"/>
        </w:rPr>
        <w:footnoteReference w:id="7"/>
      </w:r>
      <w:r w:rsidR="00080A77">
        <w:t xml:space="preserve">  Among other points, the </w:t>
      </w:r>
      <w:r w:rsidR="00F44D7C">
        <w:t>N</w:t>
      </w:r>
      <w:r w:rsidR="00171856">
        <w:t>ational Security Determination</w:t>
      </w:r>
      <w:r w:rsidR="00080A77">
        <w:t xml:space="preserve"> </w:t>
      </w:r>
      <w:r w:rsidR="00FD285E">
        <w:t>states:</w:t>
      </w:r>
    </w:p>
    <w:p w:rsidR="00D4215A" w:rsidP="00943CB4" w14:paraId="37CB527C" w14:textId="77777777">
      <w:pPr>
        <w:ind w:firstLine="720"/>
      </w:pPr>
    </w:p>
    <w:p w:rsidR="009E760D" w:rsidP="00D4215A" w14:paraId="38B38635" w14:textId="376F8844">
      <w:pPr>
        <w:ind w:left="1440" w:right="1440"/>
        <w:rPr>
          <w:szCs w:val="22"/>
        </w:rPr>
      </w:pPr>
      <w:r w:rsidRPr="00001607">
        <w:rPr>
          <w:szCs w:val="22"/>
        </w:rPr>
        <w:t>“</w:t>
      </w:r>
      <w:r w:rsidRPr="00001607" w:rsidR="006B2DDB">
        <w:rPr>
          <w:szCs w:val="22"/>
        </w:rPr>
        <w:t xml:space="preserve">The lack of a secure U.S. supply chain for inverters and the continuous inflow of foreign-produced or controlled inverters and inverter components poses threats to U.S. economic and national security . . . </w:t>
      </w:r>
      <w:r w:rsidRPr="00001607" w:rsidR="00001607">
        <w:rPr>
          <w:szCs w:val="22"/>
        </w:rPr>
        <w:t xml:space="preserve">Inverters’ remote connectivity introduces additional vulnerabilities which compound as inverter-based resources proliferate on the U.S. grid. </w:t>
      </w:r>
      <w:r w:rsidR="00F0765B">
        <w:rPr>
          <w:szCs w:val="22"/>
        </w:rPr>
        <w:t xml:space="preserve"> </w:t>
      </w:r>
      <w:r w:rsidRPr="00001607" w:rsidR="00001607">
        <w:rPr>
          <w:szCs w:val="22"/>
        </w:rPr>
        <w:t xml:space="preserve">These vulnerabilities could enable foreign firms to turn off the inverters </w:t>
      </w:r>
      <w:r w:rsidRPr="00001607" w:rsidR="00001607">
        <w:rPr>
          <w:szCs w:val="22"/>
        </w:rPr>
        <w:t>or use them to collect and exfiltrate data, facilitate remote access and surveillance by foreign government actors, or be otherwise exploited through a cyberattack.”</w:t>
      </w:r>
      <w:r>
        <w:rPr>
          <w:rStyle w:val="FootnoteReference"/>
          <w:szCs w:val="22"/>
        </w:rPr>
        <w:footnoteReference w:id="8"/>
      </w:r>
    </w:p>
    <w:p w:rsidR="00D4215A" w:rsidRPr="00DD6F7D" w:rsidP="00943CB4" w14:paraId="28CA10E1" w14:textId="77777777">
      <w:pPr>
        <w:ind w:left="1440" w:right="1440"/>
        <w:rPr>
          <w:szCs w:val="22"/>
        </w:rPr>
      </w:pPr>
    </w:p>
    <w:p w:rsidR="003A5BC9" w:rsidP="004E2D26" w14:paraId="6F814602" w14:textId="4CCB6A73">
      <w:pPr>
        <w:ind w:firstLine="720"/>
        <w:rPr>
          <w:szCs w:val="22"/>
        </w:rPr>
      </w:pPr>
      <w:r>
        <w:t xml:space="preserve">As a result of the threats described in the </w:t>
      </w:r>
      <w:r w:rsidR="00F44D7C">
        <w:t>N</w:t>
      </w:r>
      <w:r w:rsidR="00171856">
        <w:t>ational Security Determination</w:t>
      </w:r>
      <w:r>
        <w:t>, t</w:t>
      </w:r>
      <w:r w:rsidR="00C41CA4">
        <w:t xml:space="preserve">he Executive Branch interagency body </w:t>
      </w:r>
      <w:r>
        <w:t xml:space="preserve">determined that </w:t>
      </w:r>
      <w:r w:rsidR="0001162F">
        <w:rPr>
          <w:szCs w:val="22"/>
        </w:rPr>
        <w:t>power inverters</w:t>
      </w:r>
      <w:r w:rsidR="008E3B88">
        <w:rPr>
          <w:szCs w:val="22"/>
        </w:rPr>
        <w:t xml:space="preserve"> produced in </w:t>
      </w:r>
      <w:r w:rsidR="0001162F">
        <w:rPr>
          <w:szCs w:val="22"/>
        </w:rPr>
        <w:t xml:space="preserve">a </w:t>
      </w:r>
      <w:r w:rsidR="008E3B88">
        <w:rPr>
          <w:szCs w:val="22"/>
        </w:rPr>
        <w:t>foreign countr</w:t>
      </w:r>
      <w:r w:rsidR="0001162F">
        <w:rPr>
          <w:szCs w:val="22"/>
        </w:rPr>
        <w:t>y</w:t>
      </w:r>
      <w:r w:rsidR="00D56CC9">
        <w:rPr>
          <w:szCs w:val="22"/>
        </w:rPr>
        <w:t xml:space="preserve"> </w:t>
      </w:r>
      <w:r w:rsidRPr="001565F6" w:rsidR="001565F6">
        <w:rPr>
          <w:szCs w:val="22"/>
        </w:rPr>
        <w:t>pose</w:t>
      </w:r>
      <w:r w:rsidR="00710DF9">
        <w:rPr>
          <w:szCs w:val="22"/>
        </w:rPr>
        <w:t xml:space="preserve"> the following unacceptable risks to the United States:  </w:t>
      </w:r>
      <w:r w:rsidR="001534B2">
        <w:rPr>
          <w:szCs w:val="22"/>
        </w:rPr>
        <w:t xml:space="preserve">(1) </w:t>
      </w:r>
      <w:r w:rsidR="00710DF9">
        <w:rPr>
          <w:szCs w:val="22"/>
        </w:rPr>
        <w:t>“</w:t>
      </w:r>
      <w:r w:rsidRPr="003A5BC9">
        <w:rPr>
          <w:szCs w:val="22"/>
        </w:rPr>
        <w:t>facilitating a supply chain vulnerability that could disrupt U.S. economic security, including sectors critical to national security</w:t>
      </w:r>
      <w:r w:rsidR="008839B8">
        <w:rPr>
          <w:szCs w:val="22"/>
        </w:rPr>
        <w:t>”</w:t>
      </w:r>
      <w:r w:rsidR="001C5D93">
        <w:rPr>
          <w:szCs w:val="22"/>
        </w:rPr>
        <w:t>;</w:t>
      </w:r>
      <w:r w:rsidR="008839B8">
        <w:rPr>
          <w:szCs w:val="22"/>
        </w:rPr>
        <w:t xml:space="preserve"> and (2) “</w:t>
      </w:r>
      <w:r w:rsidR="001534B2">
        <w:rPr>
          <w:szCs w:val="22"/>
        </w:rPr>
        <w:t>creat[ing]</w:t>
      </w:r>
      <w:r w:rsidRPr="003A5BC9">
        <w:rPr>
          <w:szCs w:val="22"/>
        </w:rPr>
        <w:t xml:space="preserve"> a cybersecurity risk that threatens the security of critical infrastructure and the safety of U.S. persons.</w:t>
      </w:r>
      <w:r w:rsidR="001534B2">
        <w:rPr>
          <w:szCs w:val="22"/>
        </w:rPr>
        <w:t>”</w:t>
      </w:r>
      <w:r>
        <w:rPr>
          <w:rStyle w:val="FootnoteReference"/>
          <w:szCs w:val="22"/>
        </w:rPr>
        <w:footnoteReference w:id="9"/>
      </w:r>
    </w:p>
    <w:p w:rsidR="00D4215A" w:rsidP="00943CB4" w14:paraId="2BE0082F" w14:textId="77777777">
      <w:pPr>
        <w:ind w:firstLine="720"/>
        <w:rPr>
          <w:szCs w:val="22"/>
        </w:rPr>
      </w:pPr>
    </w:p>
    <w:p w:rsidR="0059086D" w:rsidRPr="001C5D93" w:rsidP="00567236" w14:paraId="6A0644EE" w14:textId="32BF9E23">
      <w:pPr>
        <w:ind w:firstLine="720"/>
        <w:rPr>
          <w:color w:val="EE0000"/>
          <w:szCs w:val="22"/>
        </w:rPr>
      </w:pPr>
      <w:r w:rsidRPr="00280F88">
        <w:rPr>
          <w:szCs w:val="22"/>
        </w:rPr>
        <w:t xml:space="preserve">Based on these findings, the </w:t>
      </w:r>
      <w:r w:rsidRPr="00280F88" w:rsidR="009C7DA3">
        <w:rPr>
          <w:szCs w:val="22"/>
        </w:rPr>
        <w:t>Executive</w:t>
      </w:r>
      <w:r w:rsidRPr="00280F88" w:rsidR="00AC059B">
        <w:rPr>
          <w:szCs w:val="22"/>
        </w:rPr>
        <w:t xml:space="preserve"> </w:t>
      </w:r>
      <w:r w:rsidRPr="00280F88">
        <w:rPr>
          <w:szCs w:val="22"/>
        </w:rPr>
        <w:t>Branch interagency body</w:t>
      </w:r>
      <w:r w:rsidRPr="00280F88">
        <w:t xml:space="preserve">, including appropriate national security agencies, </w:t>
      </w:r>
      <w:r w:rsidR="003606E7">
        <w:t>determined</w:t>
      </w:r>
      <w:r w:rsidRPr="00280F88" w:rsidR="003606E7">
        <w:t xml:space="preserve"> </w:t>
      </w:r>
      <w:r w:rsidRPr="00280F88">
        <w:t>that the following equipment and services</w:t>
      </w:r>
      <w:r w:rsidRPr="00280F88">
        <w:rPr>
          <w:szCs w:val="22"/>
        </w:rPr>
        <w:t xml:space="preserve"> </w:t>
      </w:r>
      <w:r w:rsidRPr="00280F88">
        <w:t>should be added to the FCC’s Covered List because they</w:t>
      </w:r>
      <w:r w:rsidRPr="00280F88">
        <w:rPr>
          <w:szCs w:val="22"/>
        </w:rPr>
        <w:t xml:space="preserve"> </w:t>
      </w:r>
      <w:r w:rsidRPr="00280F88">
        <w:t xml:space="preserve">pose an unacceptable risk to the national security of the United States and to the safety </w:t>
      </w:r>
      <w:r w:rsidRPr="001E18DE">
        <w:t>and security of U.S. persons</w:t>
      </w:r>
      <w:r w:rsidRPr="001E18DE">
        <w:rPr>
          <w:szCs w:val="22"/>
        </w:rPr>
        <w:t>:</w:t>
      </w:r>
      <w:r w:rsidRPr="001E18DE" w:rsidR="003A1B32">
        <w:rPr>
          <w:szCs w:val="22"/>
        </w:rPr>
        <w:t xml:space="preserve">  </w:t>
      </w:r>
      <w:r w:rsidRPr="001E18DE" w:rsidR="008E7C28">
        <w:rPr>
          <w:szCs w:val="22"/>
        </w:rPr>
        <w:t>“</w:t>
      </w:r>
      <w:r w:rsidRPr="001E18DE">
        <w:rPr>
          <w:szCs w:val="22"/>
        </w:rPr>
        <w:t>Power inverters produced in a foreign country, regardless of the nationality of the producer, unless the Department of War or Department of Homeland Security makes a specific determination to the FCC that a given power inverter or class of power inverters do not pose such risks.</w:t>
      </w:r>
      <w:r w:rsidRPr="001E18DE" w:rsidR="008E7C28">
        <w:rPr>
          <w:szCs w:val="22"/>
        </w:rPr>
        <w:t>”</w:t>
      </w:r>
      <w:r>
        <w:rPr>
          <w:rStyle w:val="FootnoteReference"/>
          <w:szCs w:val="22"/>
        </w:rPr>
        <w:footnoteReference w:id="10"/>
      </w:r>
    </w:p>
    <w:p w:rsidR="00F44D7C" w:rsidP="00D4215A" w14:paraId="6224A2DC" w14:textId="77777777">
      <w:pPr>
        <w:ind w:firstLine="720"/>
        <w:rPr>
          <w:szCs w:val="22"/>
        </w:rPr>
      </w:pPr>
    </w:p>
    <w:p w:rsidR="00F44D7C" w:rsidP="00F44D7C" w14:paraId="1DFF7986" w14:textId="7C226ED1">
      <w:pPr>
        <w:ind w:firstLine="720"/>
      </w:pPr>
      <w:r>
        <w:rPr>
          <w:i/>
          <w:iCs/>
        </w:rPr>
        <w:t xml:space="preserve">Advanced robotic devices.  </w:t>
      </w:r>
      <w:r w:rsidRPr="0012441E" w:rsidR="00A34495">
        <w:t xml:space="preserve">The second </w:t>
      </w:r>
      <w:hyperlink r:id="rId7" w:history="1">
        <w:r w:rsidRPr="001931FF" w:rsidR="00A34495">
          <w:rPr>
            <w:rStyle w:val="Hyperlink"/>
          </w:rPr>
          <w:t>National Security Determination</w:t>
        </w:r>
      </w:hyperlink>
      <w:r w:rsidRPr="0012441E" w:rsidR="00A34495">
        <w:t xml:space="preserve"> addresses </w:t>
      </w:r>
      <w:r w:rsidRPr="0012441E">
        <w:t>the unacceptable risks</w:t>
      </w:r>
      <w:r w:rsidRPr="0012441E">
        <w:rPr>
          <w:szCs w:val="22"/>
        </w:rPr>
        <w:t xml:space="preserve"> </w:t>
      </w:r>
      <w:r w:rsidRPr="0012441E">
        <w:t xml:space="preserve">posed by </w:t>
      </w:r>
      <w:r w:rsidRPr="0012441E" w:rsidR="00A34495">
        <w:t>advanced robotic devices</w:t>
      </w:r>
      <w:r>
        <w:t xml:space="preserve"> produced in foreign countries.</w:t>
      </w:r>
      <w:r>
        <w:rPr>
          <w:rStyle w:val="FootnoteReference"/>
        </w:rPr>
        <w:footnoteReference w:id="11"/>
      </w:r>
      <w:r>
        <w:t xml:space="preserve">  Among other points, the </w:t>
      </w:r>
      <w:r w:rsidR="000D1FEB">
        <w:t>National Security Determination</w:t>
      </w:r>
      <w:r>
        <w:t xml:space="preserve"> states:</w:t>
      </w:r>
    </w:p>
    <w:p w:rsidR="00F44D7C" w:rsidP="00F44D7C" w14:paraId="6CE5BF7A" w14:textId="77777777">
      <w:pPr>
        <w:ind w:firstLine="720"/>
      </w:pPr>
    </w:p>
    <w:p w:rsidR="00F44D7C" w:rsidP="00F44D7C" w14:paraId="44EF9532" w14:textId="50023A6A">
      <w:pPr>
        <w:ind w:left="1440" w:right="1440"/>
        <w:rPr>
          <w:szCs w:val="22"/>
        </w:rPr>
      </w:pPr>
      <w:r w:rsidRPr="002E4024">
        <w:rPr>
          <w:szCs w:val="22"/>
        </w:rPr>
        <w:t>“</w:t>
      </w:r>
      <w:r w:rsidRPr="002E4024" w:rsidR="00FA5AC8">
        <w:rPr>
          <w:szCs w:val="22"/>
        </w:rPr>
        <w:t>The networked capabilities of advanced robotic systems create extensive vulnerabilities and vectors for attacks that can manipulate the data and physical operation of the advanced robotic system. Relying on foreign-produced advanced robotic devices presents unacceptable supply chain and cybersecurity vulnerabilities</w:t>
      </w:r>
      <w:r w:rsidR="008831EE">
        <w:rPr>
          <w:szCs w:val="22"/>
        </w:rPr>
        <w:t xml:space="preserve"> . . .</w:t>
      </w:r>
      <w:r w:rsidR="00323676">
        <w:rPr>
          <w:szCs w:val="22"/>
        </w:rPr>
        <w:t xml:space="preserve"> </w:t>
      </w:r>
      <w:r w:rsidRPr="008831EE" w:rsidR="008831EE">
        <w:rPr>
          <w:szCs w:val="22"/>
        </w:rPr>
        <w:t>Advanced robotic devices collect data that could be leveraged by malign actors to surveil Americans, enhance the capabilities of foreign intelligence services, or to remotely commandeer the robots</w:t>
      </w:r>
      <w:r w:rsidR="006B2335">
        <w:rPr>
          <w:szCs w:val="22"/>
        </w:rPr>
        <w:t>.”</w:t>
      </w:r>
      <w:r>
        <w:rPr>
          <w:rStyle w:val="FootnoteReference"/>
          <w:szCs w:val="22"/>
        </w:rPr>
        <w:footnoteReference w:id="12"/>
      </w:r>
    </w:p>
    <w:p w:rsidR="00F44D7C" w:rsidRPr="00DD6F7D" w:rsidP="00F44D7C" w14:paraId="363B6BF7" w14:textId="77777777">
      <w:pPr>
        <w:ind w:left="1440" w:right="1440"/>
        <w:rPr>
          <w:szCs w:val="22"/>
        </w:rPr>
      </w:pPr>
    </w:p>
    <w:p w:rsidR="00FA3BFF" w:rsidP="00EC60F2" w14:paraId="51643781" w14:textId="0087E355">
      <w:pPr>
        <w:ind w:firstLine="720"/>
        <w:rPr>
          <w:szCs w:val="22"/>
        </w:rPr>
      </w:pPr>
      <w:r w:rsidRPr="00D2442F">
        <w:t xml:space="preserve">As a result of the threats described in the </w:t>
      </w:r>
      <w:r w:rsidRPr="00D2442F" w:rsidR="000D1FEB">
        <w:t xml:space="preserve">National Security Determination, </w:t>
      </w:r>
      <w:r w:rsidRPr="00D2442F">
        <w:t xml:space="preserve">the Executive Branch interagency body determined that </w:t>
      </w:r>
      <w:r w:rsidRPr="00D2442F" w:rsidR="000D1FEB">
        <w:rPr>
          <w:szCs w:val="22"/>
        </w:rPr>
        <w:t>advanced robotic devices</w:t>
      </w:r>
      <w:r w:rsidR="000D1FEB">
        <w:rPr>
          <w:szCs w:val="22"/>
        </w:rPr>
        <w:t xml:space="preserve"> </w:t>
      </w:r>
      <w:r>
        <w:rPr>
          <w:szCs w:val="22"/>
        </w:rPr>
        <w:t>produced in foreign countries</w:t>
      </w:r>
      <w:r w:rsidR="00144935">
        <w:rPr>
          <w:szCs w:val="22"/>
        </w:rPr>
        <w:t xml:space="preserve"> presented </w:t>
      </w:r>
      <w:r>
        <w:rPr>
          <w:szCs w:val="22"/>
        </w:rPr>
        <w:t xml:space="preserve">the following unacceptable risks:  </w:t>
      </w:r>
      <w:r w:rsidR="001C5D93">
        <w:rPr>
          <w:szCs w:val="22"/>
        </w:rPr>
        <w:t xml:space="preserve">(1) </w:t>
      </w:r>
      <w:r w:rsidR="00EC60F2">
        <w:rPr>
          <w:szCs w:val="22"/>
        </w:rPr>
        <w:t>“</w:t>
      </w:r>
      <w:r w:rsidRPr="00FA3BFF">
        <w:rPr>
          <w:szCs w:val="22"/>
        </w:rPr>
        <w:t>posing a supply chain vulnerability that could disrupt U.S. economic and national security</w:t>
      </w:r>
      <w:r w:rsidR="001C5D93">
        <w:rPr>
          <w:szCs w:val="22"/>
        </w:rPr>
        <w:t>”;</w:t>
      </w:r>
      <w:r w:rsidRPr="00FA3BFF">
        <w:rPr>
          <w:szCs w:val="22"/>
        </w:rPr>
        <w:t xml:space="preserve"> and (</w:t>
      </w:r>
      <w:r w:rsidR="001C5D93">
        <w:rPr>
          <w:szCs w:val="22"/>
        </w:rPr>
        <w:t>2)</w:t>
      </w:r>
      <w:r w:rsidRPr="00FA3BFF">
        <w:rPr>
          <w:szCs w:val="22"/>
        </w:rPr>
        <w:t xml:space="preserve"> </w:t>
      </w:r>
      <w:r w:rsidR="001C5D93">
        <w:rPr>
          <w:szCs w:val="22"/>
        </w:rPr>
        <w:t>“</w:t>
      </w:r>
      <w:r w:rsidRPr="00FA3BFF">
        <w:rPr>
          <w:szCs w:val="22"/>
        </w:rPr>
        <w:t>creating a cybersecurity risk that threatens the security of critical infrastructure and thus the safety and security of U.S. persons.</w:t>
      </w:r>
      <w:r w:rsidR="00362FDE">
        <w:rPr>
          <w:szCs w:val="22"/>
        </w:rPr>
        <w:t>”</w:t>
      </w:r>
      <w:r>
        <w:rPr>
          <w:rStyle w:val="FootnoteReference"/>
          <w:szCs w:val="22"/>
        </w:rPr>
        <w:footnoteReference w:id="13"/>
      </w:r>
    </w:p>
    <w:p w:rsidR="00F44D7C" w:rsidP="00F44D7C" w14:paraId="2BBF52AF" w14:textId="77777777">
      <w:pPr>
        <w:ind w:firstLine="720"/>
        <w:rPr>
          <w:szCs w:val="22"/>
        </w:rPr>
      </w:pPr>
    </w:p>
    <w:p w:rsidR="00D4215A" w:rsidP="006839DA" w14:paraId="3E23C4FE" w14:textId="7828D9CA">
      <w:pPr>
        <w:widowControl/>
        <w:ind w:firstLine="720"/>
        <w:rPr>
          <w:szCs w:val="22"/>
        </w:rPr>
      </w:pPr>
      <w:r>
        <w:rPr>
          <w:szCs w:val="22"/>
        </w:rPr>
        <w:t>Based on these findings, the Executive Branch interagency body</w:t>
      </w:r>
      <w:r>
        <w:t>, including several appropriate national security agencies,</w:t>
      </w:r>
      <w:r w:rsidRPr="53CC640B">
        <w:t xml:space="preserve"> </w:t>
      </w:r>
      <w:r w:rsidR="008E79C8">
        <w:t>determined</w:t>
      </w:r>
      <w:r w:rsidRPr="00FF6F8E" w:rsidR="008E79C8">
        <w:t xml:space="preserve"> </w:t>
      </w:r>
      <w:r w:rsidRPr="00FF6F8E">
        <w:t>that the following equipment should be added to the FCC’s Covered List because they</w:t>
      </w:r>
      <w:r w:rsidRPr="00FF6F8E">
        <w:rPr>
          <w:szCs w:val="22"/>
        </w:rPr>
        <w:t xml:space="preserve"> </w:t>
      </w:r>
      <w:r w:rsidRPr="00FF6F8E">
        <w:t>pose an unacceptable risk to the national security of the United States and to the safety and security of U.S. persons</w:t>
      </w:r>
      <w:r w:rsidRPr="00FF6F8E">
        <w:rPr>
          <w:szCs w:val="22"/>
        </w:rPr>
        <w:t xml:space="preserve">:  </w:t>
      </w:r>
      <w:r w:rsidR="00544EDE">
        <w:rPr>
          <w:szCs w:val="22"/>
        </w:rPr>
        <w:t>“</w:t>
      </w:r>
      <w:r w:rsidRPr="00FF6F8E" w:rsidR="00A90087">
        <w:rPr>
          <w:szCs w:val="22"/>
        </w:rPr>
        <w:t xml:space="preserve">All foreign-produced advanced robotic devices, unless the </w:t>
      </w:r>
      <w:r w:rsidRPr="00FF6F8E" w:rsidR="00A90087">
        <w:rPr>
          <w:szCs w:val="22"/>
        </w:rPr>
        <w:t>Department of War (DOW) transmits to the FCC a specific determination that a given foreign-produced advanced robotic device, or a class of such devices, does not pose such risks.</w:t>
      </w:r>
      <w:r w:rsidR="00544EDE">
        <w:rPr>
          <w:szCs w:val="22"/>
        </w:rPr>
        <w:t>”</w:t>
      </w:r>
      <w:r>
        <w:rPr>
          <w:rStyle w:val="FootnoteReference"/>
          <w:szCs w:val="22"/>
        </w:rPr>
        <w:footnoteReference w:id="14"/>
      </w:r>
    </w:p>
    <w:p w:rsidR="0052100F" w:rsidP="00544EDE" w14:paraId="054858C4" w14:textId="77777777">
      <w:pPr>
        <w:ind w:firstLine="720"/>
        <w:rPr>
          <w:szCs w:val="22"/>
        </w:rPr>
      </w:pPr>
    </w:p>
    <w:p w:rsidR="00B75B35" w:rsidP="00D4215A" w14:paraId="50A1637E" w14:textId="4CDC8FBA">
      <w:pPr>
        <w:ind w:firstLine="720"/>
      </w:pPr>
      <w:r w:rsidRPr="005810D0">
        <w:rPr>
          <w:u w:val="single"/>
        </w:rPr>
        <w:t>The Covered List</w:t>
      </w:r>
      <w:r w:rsidR="005810D0">
        <w:rPr>
          <w:u w:val="single"/>
        </w:rPr>
        <w:t>.</w:t>
      </w:r>
      <w:r w:rsidR="005810D0">
        <w:t xml:space="preserve">  </w:t>
      </w:r>
      <w:r w:rsidR="00836753">
        <w:t>We find that</w:t>
      </w:r>
      <w:r w:rsidRPr="007A1C31" w:rsidR="00836753">
        <w:t xml:space="preserve"> </w:t>
      </w:r>
      <w:r w:rsidR="009F56A8">
        <w:t>each</w:t>
      </w:r>
      <w:r w:rsidR="00836753">
        <w:t xml:space="preserve"> National Security Determination</w:t>
      </w:r>
      <w:r w:rsidR="0006680B">
        <w:t xml:space="preserve"> </w:t>
      </w:r>
      <w:r w:rsidR="00836753">
        <w:t>constitute</w:t>
      </w:r>
      <w:r w:rsidR="0006680B">
        <w:t>s</w:t>
      </w:r>
      <w:r w:rsidR="00C14FEF">
        <w:t xml:space="preserve"> </w:t>
      </w:r>
      <w:r w:rsidR="00836753">
        <w:t>a specific determination of an unacceptable risk to the national security of the United States or the security or safety of United States persons pursuant to section 2 of the Secure Networks Act.</w:t>
      </w:r>
      <w:r>
        <w:rPr>
          <w:rStyle w:val="FootnoteReference"/>
        </w:rPr>
        <w:footnoteReference w:id="15"/>
      </w:r>
      <w:r w:rsidR="00836753">
        <w:t xml:space="preserve">  Therefore, we conclude that the Commission is required to place the </w:t>
      </w:r>
      <w:r w:rsidR="003C2F16">
        <w:t xml:space="preserve">identified </w:t>
      </w:r>
      <w:r w:rsidR="00836753">
        <w:t>equipment on the Covered List.</w:t>
      </w:r>
      <w:r>
        <w:rPr>
          <w:rStyle w:val="FootnoteReference"/>
        </w:rPr>
        <w:footnoteReference w:id="16"/>
      </w:r>
      <w:r w:rsidR="00836753">
        <w:t xml:space="preserve">  We update the Covered List to include:  </w:t>
      </w:r>
    </w:p>
    <w:p w:rsidR="00D4215A" w:rsidP="00943CB4" w14:paraId="6BDE7543" w14:textId="77777777">
      <w:pPr>
        <w:ind w:firstLine="720"/>
      </w:pPr>
    </w:p>
    <w:p w:rsidR="00CA3C90" w:rsidP="0045287B" w14:paraId="2D92CA8F" w14:textId="2BB49910">
      <w:pPr>
        <w:ind w:firstLine="720"/>
        <w:rPr>
          <w:szCs w:val="22"/>
        </w:rPr>
      </w:pPr>
      <w:r w:rsidRPr="001E18DE">
        <w:rPr>
          <w:szCs w:val="22"/>
        </w:rPr>
        <w:t>“</w:t>
      </w:r>
      <w:r w:rsidR="005C47F5">
        <w:rPr>
          <w:szCs w:val="22"/>
        </w:rPr>
        <w:t>Foreign-produced p</w:t>
      </w:r>
      <w:r w:rsidRPr="001E18DE">
        <w:rPr>
          <w:szCs w:val="22"/>
        </w:rPr>
        <w:t>ower inverters,</w:t>
      </w:r>
      <w:r>
        <w:rPr>
          <w:szCs w:val="22"/>
        </w:rPr>
        <w:t xml:space="preserve"> except </w:t>
      </w:r>
      <w:r w:rsidR="00EF4358">
        <w:rPr>
          <w:szCs w:val="22"/>
        </w:rPr>
        <w:t xml:space="preserve">power inverters </w:t>
      </w:r>
      <w:r>
        <w:rPr>
          <w:szCs w:val="22"/>
        </w:rPr>
        <w:t>which have been granted a Conditional Approval by DoW or DHS”</w:t>
      </w:r>
      <w:r>
        <w:rPr>
          <w:szCs w:val="22"/>
        </w:rPr>
        <w:t xml:space="preserve">; and </w:t>
      </w:r>
    </w:p>
    <w:p w:rsidR="0045287B" w:rsidP="00CA3C90" w14:paraId="1148F93A" w14:textId="1A1C5300">
      <w:pPr>
        <w:rPr>
          <w:szCs w:val="22"/>
        </w:rPr>
      </w:pPr>
    </w:p>
    <w:p w:rsidR="0045287B" w:rsidP="0045287B" w14:paraId="5ADDAF11" w14:textId="4826BC5A">
      <w:pPr>
        <w:ind w:firstLine="720"/>
        <w:rPr>
          <w:szCs w:val="22"/>
        </w:rPr>
      </w:pPr>
      <w:r>
        <w:rPr>
          <w:szCs w:val="22"/>
        </w:rPr>
        <w:t>“</w:t>
      </w:r>
      <w:r w:rsidR="005C47F5">
        <w:rPr>
          <w:szCs w:val="22"/>
        </w:rPr>
        <w:t>Foreign-produced a</w:t>
      </w:r>
      <w:r w:rsidRPr="00FF6F8E">
        <w:rPr>
          <w:szCs w:val="22"/>
        </w:rPr>
        <w:t xml:space="preserve">dvanced robotic devices, </w:t>
      </w:r>
      <w:r w:rsidR="00BC045B">
        <w:rPr>
          <w:szCs w:val="22"/>
        </w:rPr>
        <w:t xml:space="preserve">except </w:t>
      </w:r>
      <w:r w:rsidR="00EF4358">
        <w:rPr>
          <w:szCs w:val="22"/>
        </w:rPr>
        <w:t xml:space="preserve">advanced robotic devices </w:t>
      </w:r>
      <w:r w:rsidR="00181240">
        <w:rPr>
          <w:szCs w:val="22"/>
        </w:rPr>
        <w:t>which have been granted a Conditional Approval by DoW.”</w:t>
      </w:r>
    </w:p>
    <w:p w:rsidR="00194AA6" w:rsidP="0045287B" w14:paraId="55FA5618" w14:textId="77777777">
      <w:pPr>
        <w:ind w:firstLine="720"/>
        <w:rPr>
          <w:szCs w:val="22"/>
        </w:rPr>
      </w:pPr>
    </w:p>
    <w:p w:rsidR="00194AA6" w:rsidP="0045287B" w14:paraId="61FB829D" w14:textId="20DB5FB8">
      <w:pPr>
        <w:ind w:firstLine="720"/>
        <w:rPr>
          <w:szCs w:val="22"/>
        </w:rPr>
      </w:pPr>
      <w:r>
        <w:rPr>
          <w:szCs w:val="22"/>
        </w:rPr>
        <w:t xml:space="preserve">We </w:t>
      </w:r>
      <w:r w:rsidR="009503D9">
        <w:rPr>
          <w:szCs w:val="22"/>
        </w:rPr>
        <w:t xml:space="preserve">accept the National Security Determinations’ definitions of “foreign-produced,” “power inverters,” and “advanced robotic devices,” as </w:t>
      </w:r>
      <w:r w:rsidR="0010260F">
        <w:rPr>
          <w:szCs w:val="22"/>
        </w:rPr>
        <w:t xml:space="preserve">provided in the Appendices below. </w:t>
      </w:r>
    </w:p>
    <w:p w:rsidR="0045287B" w:rsidP="0045287B" w14:paraId="4B3EC94F" w14:textId="77777777">
      <w:pPr>
        <w:ind w:firstLine="720"/>
        <w:rPr>
          <w:szCs w:val="22"/>
        </w:rPr>
      </w:pPr>
    </w:p>
    <w:p w:rsidR="009523DB" w:rsidP="00D4215A" w14:paraId="1DA9E9A5" w14:textId="3730A202">
      <w:pPr>
        <w:rPr>
          <w:szCs w:val="22"/>
        </w:rPr>
      </w:pPr>
      <w:r>
        <w:rPr>
          <w:szCs w:val="22"/>
        </w:rPr>
        <w:tab/>
      </w:r>
      <w:r w:rsidR="00400002">
        <w:rPr>
          <w:szCs w:val="22"/>
          <w:u w:val="single"/>
        </w:rPr>
        <w:t>Conditional Approvals.</w:t>
      </w:r>
      <w:r w:rsidR="00400002">
        <w:rPr>
          <w:szCs w:val="22"/>
        </w:rPr>
        <w:t xml:space="preserve">  </w:t>
      </w:r>
      <w:r w:rsidR="0014395A">
        <w:rPr>
          <w:szCs w:val="22"/>
        </w:rPr>
        <w:t>The Executive Branch interagency body</w:t>
      </w:r>
      <w:r w:rsidR="00AC0123">
        <w:rPr>
          <w:szCs w:val="22"/>
        </w:rPr>
        <w:t xml:space="preserve"> </w:t>
      </w:r>
      <w:r w:rsidR="00530FF9">
        <w:rPr>
          <w:szCs w:val="22"/>
        </w:rPr>
        <w:t xml:space="preserve">has </w:t>
      </w:r>
      <w:r w:rsidR="00B42EFB">
        <w:rPr>
          <w:szCs w:val="22"/>
        </w:rPr>
        <w:t xml:space="preserve">established a process </w:t>
      </w:r>
      <w:r w:rsidR="005C479D">
        <w:rPr>
          <w:szCs w:val="22"/>
        </w:rPr>
        <w:t xml:space="preserve">in which </w:t>
      </w:r>
      <w:r w:rsidR="00B42EFB">
        <w:rPr>
          <w:szCs w:val="22"/>
        </w:rPr>
        <w:t xml:space="preserve">entities </w:t>
      </w:r>
      <w:r w:rsidR="00E659E6">
        <w:rPr>
          <w:szCs w:val="22"/>
        </w:rPr>
        <w:t xml:space="preserve">producing </w:t>
      </w:r>
      <w:r w:rsidR="00FE7BD8">
        <w:rPr>
          <w:szCs w:val="22"/>
        </w:rPr>
        <w:t>power inverters or advanced robotic devices</w:t>
      </w:r>
      <w:r w:rsidR="00E659E6">
        <w:rPr>
          <w:szCs w:val="22"/>
        </w:rPr>
        <w:t xml:space="preserve"> in a foreign country can </w:t>
      </w:r>
      <w:r w:rsidR="00F774E3">
        <w:rPr>
          <w:szCs w:val="22"/>
        </w:rPr>
        <w:t xml:space="preserve">request </w:t>
      </w:r>
      <w:r w:rsidR="00BA727D">
        <w:rPr>
          <w:szCs w:val="22"/>
        </w:rPr>
        <w:t xml:space="preserve">an </w:t>
      </w:r>
      <w:r w:rsidR="00F774E3">
        <w:rPr>
          <w:szCs w:val="22"/>
        </w:rPr>
        <w:t>evaluat</w:t>
      </w:r>
      <w:r w:rsidR="00BA727D">
        <w:rPr>
          <w:szCs w:val="22"/>
        </w:rPr>
        <w:t>ion</w:t>
      </w:r>
      <w:r w:rsidR="003B6239">
        <w:rPr>
          <w:szCs w:val="22"/>
        </w:rPr>
        <w:t xml:space="preserve"> as to</w:t>
      </w:r>
      <w:r w:rsidR="00F774E3">
        <w:rPr>
          <w:szCs w:val="22"/>
        </w:rPr>
        <w:t xml:space="preserve"> </w:t>
      </w:r>
      <w:r w:rsidR="00F60CC3">
        <w:rPr>
          <w:szCs w:val="22"/>
        </w:rPr>
        <w:t xml:space="preserve">whether their </w:t>
      </w:r>
      <w:r w:rsidR="00B86C81">
        <w:rPr>
          <w:szCs w:val="22"/>
        </w:rPr>
        <w:t>devices</w:t>
      </w:r>
      <w:r w:rsidR="00F60CC3">
        <w:rPr>
          <w:szCs w:val="22"/>
        </w:rPr>
        <w:t xml:space="preserve"> </w:t>
      </w:r>
      <w:r w:rsidR="00C3193C">
        <w:rPr>
          <w:szCs w:val="22"/>
        </w:rPr>
        <w:t>do not pose unacceptable risks to national security</w:t>
      </w:r>
      <w:r w:rsidR="00B26530">
        <w:rPr>
          <w:szCs w:val="22"/>
        </w:rPr>
        <w:t xml:space="preserve"> and </w:t>
      </w:r>
      <w:r w:rsidR="00246834">
        <w:rPr>
          <w:szCs w:val="22"/>
        </w:rPr>
        <w:t>receive Conditional Approval</w:t>
      </w:r>
      <w:r w:rsidR="00B878A5">
        <w:rPr>
          <w:szCs w:val="22"/>
        </w:rPr>
        <w:t>s</w:t>
      </w:r>
      <w:r w:rsidR="00246834">
        <w:rPr>
          <w:szCs w:val="22"/>
        </w:rPr>
        <w:t xml:space="preserve"> that would exempt the </w:t>
      </w:r>
      <w:r w:rsidR="00B86C81">
        <w:rPr>
          <w:szCs w:val="22"/>
        </w:rPr>
        <w:t>devices</w:t>
      </w:r>
      <w:r w:rsidR="00246834">
        <w:rPr>
          <w:szCs w:val="22"/>
        </w:rPr>
        <w:t xml:space="preserve"> from the Covered List.</w:t>
      </w:r>
      <w:r w:rsidR="00686AA1">
        <w:rPr>
          <w:szCs w:val="22"/>
        </w:rPr>
        <w:t xml:space="preserve">  </w:t>
      </w:r>
      <w:r w:rsidR="0045258C">
        <w:rPr>
          <w:szCs w:val="22"/>
        </w:rPr>
        <w:t>DoW or DHS may evaluate such submissions for power inverters.  DoW may evaluate such submissions for advanced robotic devices.</w:t>
      </w:r>
      <w:r w:rsidR="00686AA1">
        <w:rPr>
          <w:szCs w:val="22"/>
        </w:rPr>
        <w:t xml:space="preserve">  </w:t>
      </w:r>
      <w:r w:rsidR="00097CC1">
        <w:rPr>
          <w:szCs w:val="22"/>
        </w:rPr>
        <w:t>Entities</w:t>
      </w:r>
      <w:r w:rsidRPr="00637613" w:rsidR="00637613">
        <w:rPr>
          <w:szCs w:val="22"/>
        </w:rPr>
        <w:t xml:space="preserve"> seeking Conditional Approval</w:t>
      </w:r>
      <w:r w:rsidR="00097CC1">
        <w:rPr>
          <w:szCs w:val="22"/>
        </w:rPr>
        <w:t>s</w:t>
      </w:r>
      <w:r w:rsidR="00923166">
        <w:rPr>
          <w:szCs w:val="22"/>
        </w:rPr>
        <w:t xml:space="preserve"> for power inverter</w:t>
      </w:r>
      <w:r w:rsidR="00097CC1">
        <w:rPr>
          <w:szCs w:val="22"/>
        </w:rPr>
        <w:t>s</w:t>
      </w:r>
      <w:r w:rsidR="00923166">
        <w:rPr>
          <w:szCs w:val="22"/>
        </w:rPr>
        <w:t xml:space="preserve"> </w:t>
      </w:r>
      <w:r w:rsidRPr="00637613" w:rsidR="00637613">
        <w:rPr>
          <w:szCs w:val="22"/>
        </w:rPr>
        <w:t>must</w:t>
      </w:r>
      <w:r w:rsidR="009C1B63">
        <w:rPr>
          <w:szCs w:val="22"/>
        </w:rPr>
        <w:t xml:space="preserve"> provide</w:t>
      </w:r>
      <w:r w:rsidR="00025C74">
        <w:rPr>
          <w:szCs w:val="22"/>
        </w:rPr>
        <w:t xml:space="preserve"> </w:t>
      </w:r>
      <w:r w:rsidRPr="00637613" w:rsidR="00637613">
        <w:rPr>
          <w:szCs w:val="22"/>
        </w:rPr>
        <w:t>the information requested in th</w:t>
      </w:r>
      <w:r w:rsidR="00637613">
        <w:rPr>
          <w:szCs w:val="22"/>
        </w:rPr>
        <w:t xml:space="preserve">e </w:t>
      </w:r>
      <w:hyperlink r:id="rId8" w:history="1">
        <w:r w:rsidRPr="00C77D01" w:rsidR="00637613">
          <w:rPr>
            <w:rStyle w:val="Hyperlink"/>
            <w:szCs w:val="22"/>
          </w:rPr>
          <w:t>Power Inv</w:t>
        </w:r>
        <w:r w:rsidRPr="00C77D01" w:rsidR="00837F63">
          <w:rPr>
            <w:rStyle w:val="Hyperlink"/>
            <w:szCs w:val="22"/>
          </w:rPr>
          <w:t>erter</w:t>
        </w:r>
        <w:r w:rsidRPr="00C77D01" w:rsidR="00097CC1">
          <w:rPr>
            <w:rStyle w:val="Hyperlink"/>
            <w:szCs w:val="22"/>
          </w:rPr>
          <w:t>s</w:t>
        </w:r>
        <w:r w:rsidRPr="00C77D01" w:rsidR="00837F63">
          <w:rPr>
            <w:rStyle w:val="Hyperlink"/>
            <w:szCs w:val="22"/>
          </w:rPr>
          <w:t xml:space="preserve"> Guidance Document</w:t>
        </w:r>
      </w:hyperlink>
      <w:r w:rsidR="00923166">
        <w:rPr>
          <w:szCs w:val="22"/>
        </w:rPr>
        <w:t>.  Likewise, entities seeking Conditional Approvals for advanced robotic devices must provide the information requested in the</w:t>
      </w:r>
      <w:r w:rsidR="00837F63">
        <w:rPr>
          <w:szCs w:val="22"/>
        </w:rPr>
        <w:t xml:space="preserve"> </w:t>
      </w:r>
      <w:hyperlink r:id="rId9" w:history="1">
        <w:r w:rsidRPr="00A363D5" w:rsidR="00B17C25">
          <w:rPr>
            <w:rStyle w:val="Hyperlink"/>
            <w:szCs w:val="22"/>
          </w:rPr>
          <w:t>Advanced Robotic Devices</w:t>
        </w:r>
        <w:r w:rsidRPr="00A363D5" w:rsidR="00637613">
          <w:rPr>
            <w:rStyle w:val="Hyperlink"/>
            <w:szCs w:val="22"/>
          </w:rPr>
          <w:t xml:space="preserve"> </w:t>
        </w:r>
        <w:r w:rsidRPr="00A363D5" w:rsidR="009E441D">
          <w:rPr>
            <w:rStyle w:val="Hyperlink"/>
            <w:szCs w:val="22"/>
          </w:rPr>
          <w:t xml:space="preserve">Guidance </w:t>
        </w:r>
        <w:r w:rsidRPr="00A363D5" w:rsidR="0075051E">
          <w:rPr>
            <w:rStyle w:val="Hyperlink"/>
            <w:szCs w:val="22"/>
          </w:rPr>
          <w:t>Document</w:t>
        </w:r>
      </w:hyperlink>
      <w:r w:rsidR="0075051E">
        <w:rPr>
          <w:szCs w:val="22"/>
        </w:rPr>
        <w:t>.</w:t>
      </w:r>
      <w:r w:rsidRPr="00414478" w:rsidR="009C59B2">
        <w:rPr>
          <w:szCs w:val="22"/>
          <w:highlight w:val="yellow"/>
        </w:rPr>
        <w:t xml:space="preserve"> </w:t>
      </w:r>
    </w:p>
    <w:p w:rsidR="00D4215A" w:rsidRPr="00400002" w:rsidP="00943CB4" w14:paraId="6D03B736" w14:textId="77777777">
      <w:pPr>
        <w:rPr>
          <w:szCs w:val="22"/>
        </w:rPr>
      </w:pPr>
    </w:p>
    <w:p w:rsidR="00501D34" w:rsidP="00D4215A" w14:paraId="729947CB" w14:textId="28CDDE0D">
      <w:r>
        <w:rPr>
          <w:szCs w:val="22"/>
        </w:rPr>
        <w:tab/>
      </w:r>
      <w:r w:rsidR="00DC0311">
        <w:t xml:space="preserve">If </w:t>
      </w:r>
      <w:r w:rsidR="00966CA8">
        <w:t>we receive a further specific determination from DoW or DHS</w:t>
      </w:r>
      <w:r w:rsidR="000927E0">
        <w:t xml:space="preserve"> that a given</w:t>
      </w:r>
      <w:r w:rsidR="00B96DB2">
        <w:t xml:space="preserve"> </w:t>
      </w:r>
      <w:r w:rsidR="00515033">
        <w:t>power inverter or advanced robotic device,</w:t>
      </w:r>
      <w:r w:rsidR="00B96DB2">
        <w:t xml:space="preserve"> </w:t>
      </w:r>
      <w:r w:rsidR="006D724C">
        <w:t xml:space="preserve">or class of </w:t>
      </w:r>
      <w:r w:rsidR="00172A0C">
        <w:t xml:space="preserve">such devices, </w:t>
      </w:r>
      <w:r w:rsidR="000927E0">
        <w:t>does not pose unacceptable risks, we will further update the Covered List.</w:t>
      </w:r>
    </w:p>
    <w:p w:rsidR="00D4215A" w:rsidP="00943CB4" w14:paraId="06C02E9D" w14:textId="77777777"/>
    <w:p w:rsidR="00836753" w:rsidP="00D4215A" w14:paraId="2B21A0C1" w14:textId="4482AFA2">
      <w:pPr>
        <w:ind w:firstLine="720"/>
        <w:rPr>
          <w:szCs w:val="22"/>
        </w:rPr>
      </w:pPr>
      <w:r w:rsidRPr="2EE665D4">
        <w:t>PSHSB takes this action under its authority and obligation to publish and maintain the Covered List.  S</w:t>
      </w:r>
      <w:r w:rsidRPr="00733757">
        <w:t>ection</w:t>
      </w:r>
      <w:r>
        <w:t>s</w:t>
      </w:r>
      <w:r w:rsidRPr="00733757">
        <w:t xml:space="preserve"> 1.50002</w:t>
      </w:r>
      <w:r>
        <w:t>(a)</w:t>
      </w:r>
      <w:r w:rsidRPr="00733757">
        <w:t xml:space="preserve"> and 1.50003</w:t>
      </w:r>
      <w:r>
        <w:t xml:space="preserve"> of the Commission’s rules </w:t>
      </w:r>
      <w:r w:rsidRPr="2EE665D4">
        <w:t>require PSHSB to</w:t>
      </w:r>
      <w:r>
        <w:rPr>
          <w:szCs w:val="22"/>
        </w:rPr>
        <w:t xml:space="preserve"> </w:t>
      </w:r>
      <w:r w:rsidRPr="2EE665D4">
        <w:t>publish the Covered List on the Commission's website</w:t>
      </w:r>
      <w:r>
        <w:rPr>
          <w:szCs w:val="22"/>
        </w:rPr>
        <w:t>,</w:t>
      </w:r>
      <w:r w:rsidRPr="002B793F">
        <w:rPr>
          <w:szCs w:val="22"/>
        </w:rPr>
        <w:t xml:space="preserve"> </w:t>
      </w:r>
      <w:r w:rsidRPr="2EE665D4">
        <w:t>to maintain and update the Covered List</w:t>
      </w:r>
      <w:r>
        <w:rPr>
          <w:szCs w:val="22"/>
        </w:rPr>
        <w:t xml:space="preserve">, </w:t>
      </w:r>
      <w:r w:rsidRPr="2EE665D4">
        <w:t>and to monitor the status of determinations.</w:t>
      </w:r>
      <w:r>
        <w:rPr>
          <w:vertAlign w:val="superscript"/>
        </w:rPr>
        <w:footnoteReference w:id="17"/>
      </w:r>
      <w:r w:rsidRPr="00033494">
        <w:rPr>
          <w:szCs w:val="22"/>
        </w:rPr>
        <w:t xml:space="preserve">  </w:t>
      </w:r>
      <w:r>
        <w:rPr>
          <w:szCs w:val="22"/>
        </w:rPr>
        <w:br/>
      </w:r>
    </w:p>
    <w:p w:rsidR="0053343C" w:rsidP="00D4215A" w14:paraId="42A56D9E" w14:textId="57C91A5E">
      <w:pPr>
        <w:widowControl/>
        <w:ind w:firstLine="720"/>
        <w:rPr>
          <w:szCs w:val="22"/>
        </w:rPr>
      </w:pPr>
      <w:r w:rsidRPr="003C2705">
        <w:rPr>
          <w:szCs w:val="22"/>
          <w:u w:val="single"/>
        </w:rPr>
        <w:t>Equipment Authorization Impacts of the Covered List.</w:t>
      </w:r>
      <w:r>
        <w:rPr>
          <w:i/>
          <w:iCs/>
          <w:szCs w:val="22"/>
        </w:rPr>
        <w:t xml:space="preserve">  </w:t>
      </w:r>
      <w:r w:rsidRPr="00033494">
        <w:rPr>
          <w:szCs w:val="22"/>
        </w:rPr>
        <w:t>Under the Commission’s existing rules</w:t>
      </w:r>
      <w:r>
        <w:rPr>
          <w:szCs w:val="22"/>
        </w:rPr>
        <w:t xml:space="preserve"> in section 2.903(a)</w:t>
      </w:r>
      <w:r w:rsidRPr="00033494">
        <w:rPr>
          <w:szCs w:val="22"/>
        </w:rPr>
        <w:t>, once added to the Covered List</w:t>
      </w:r>
      <w:r>
        <w:rPr>
          <w:szCs w:val="22"/>
        </w:rPr>
        <w:t>,</w:t>
      </w:r>
      <w:r w:rsidRPr="00033494">
        <w:rPr>
          <w:szCs w:val="22"/>
        </w:rPr>
        <w:t xml:space="preserve"> </w:t>
      </w:r>
      <w:r>
        <w:rPr>
          <w:szCs w:val="22"/>
        </w:rPr>
        <w:t xml:space="preserve">“covered” </w:t>
      </w:r>
      <w:r w:rsidRPr="00033494">
        <w:rPr>
          <w:szCs w:val="22"/>
        </w:rPr>
        <w:t xml:space="preserve">equipment </w:t>
      </w:r>
      <w:r>
        <w:rPr>
          <w:szCs w:val="22"/>
        </w:rPr>
        <w:t>is</w:t>
      </w:r>
      <w:r w:rsidRPr="00033494">
        <w:rPr>
          <w:szCs w:val="22"/>
        </w:rPr>
        <w:t xml:space="preserve"> prohibited from receiving equipment authorizations.</w:t>
      </w:r>
      <w:r>
        <w:rPr>
          <w:rStyle w:val="FootnoteReference"/>
          <w:szCs w:val="22"/>
        </w:rPr>
        <w:footnoteReference w:id="18"/>
      </w:r>
      <w:r w:rsidRPr="00033494">
        <w:rPr>
          <w:szCs w:val="22"/>
        </w:rPr>
        <w:t xml:space="preserve">  </w:t>
      </w:r>
      <w:r w:rsidR="00940773">
        <w:rPr>
          <w:szCs w:val="22"/>
        </w:rPr>
        <w:t>Moreover, pursuant to section 2.911 of the Commission’s rules, all applications seeking equipment authorization</w:t>
      </w:r>
      <w:r w:rsidR="004720A6">
        <w:rPr>
          <w:szCs w:val="22"/>
        </w:rPr>
        <w:t xml:space="preserve"> from the Commission must certify that the equipment is not </w:t>
      </w:r>
      <w:r w:rsidR="0026424E">
        <w:rPr>
          <w:szCs w:val="22"/>
        </w:rPr>
        <w:t>prohibited from receiving an equipment authorization</w:t>
      </w:r>
      <w:r w:rsidR="00940773">
        <w:rPr>
          <w:szCs w:val="22"/>
        </w:rPr>
        <w:t xml:space="preserve"> by virtue of being “covered equipment</w:t>
      </w:r>
      <w:r w:rsidR="0026424E">
        <w:rPr>
          <w:szCs w:val="22"/>
        </w:rPr>
        <w:t>.</w:t>
      </w:r>
      <w:r w:rsidR="00940773">
        <w:rPr>
          <w:szCs w:val="22"/>
        </w:rPr>
        <w:t>”</w:t>
      </w:r>
      <w:r>
        <w:rPr>
          <w:rStyle w:val="FootnoteReference"/>
          <w:szCs w:val="22"/>
        </w:rPr>
        <w:footnoteReference w:id="19"/>
      </w:r>
      <w:r w:rsidR="00B11D40">
        <w:t xml:space="preserve">  </w:t>
      </w:r>
      <w:r w:rsidR="00360D6B">
        <w:t xml:space="preserve">By so </w:t>
      </w:r>
      <w:r w:rsidR="00360D6B">
        <w:t>certifying, the applicant would be certifying that the equipment does not qualify as equipment listed in this Public Notice as “covered.”</w:t>
      </w:r>
      <w:r w:rsidR="00384001">
        <w:t xml:space="preserve">  </w:t>
      </w:r>
      <w:r w:rsidR="003030EA">
        <w:t>W</w:t>
      </w:r>
      <w:r>
        <w:rPr>
          <w:szCs w:val="22"/>
        </w:rPr>
        <w:t>e clarify that these updates will not implicate various rules and programs applicable to entities “identified” on the Covered List, because this newly-covered equipment is identified by place of production, not by entity.</w:t>
      </w:r>
      <w:r>
        <w:rPr>
          <w:rStyle w:val="FootnoteReference"/>
          <w:szCs w:val="22"/>
        </w:rPr>
        <w:footnoteReference w:id="20"/>
      </w:r>
    </w:p>
    <w:p w:rsidR="00D4215A" w:rsidP="00943CB4" w14:paraId="5556614B" w14:textId="77777777">
      <w:pPr>
        <w:widowControl/>
        <w:ind w:firstLine="720"/>
      </w:pPr>
    </w:p>
    <w:p w:rsidR="00836753" w:rsidP="00D4215A" w14:paraId="3C004060" w14:textId="59057C49">
      <w:pPr>
        <w:widowControl/>
        <w:ind w:firstLine="720"/>
      </w:pPr>
      <w:r w:rsidRPr="00DB1B07">
        <w:t xml:space="preserve">The </w:t>
      </w:r>
      <w:r>
        <w:t xml:space="preserve">updated </w:t>
      </w:r>
      <w:r w:rsidRPr="00DB1B07">
        <w:t>Covered List</w:t>
      </w:r>
      <w:r>
        <w:t xml:space="preserve"> </w:t>
      </w:r>
      <w:r w:rsidR="00C75D90">
        <w:t xml:space="preserve">is </w:t>
      </w:r>
      <w:r w:rsidR="00726097">
        <w:t xml:space="preserve">attached as </w:t>
      </w:r>
      <w:r w:rsidRPr="00DB1B07">
        <w:t>Appendi</w:t>
      </w:r>
      <w:r w:rsidR="00C75D90">
        <w:t>x</w:t>
      </w:r>
      <w:r w:rsidR="0078787E">
        <w:t xml:space="preserve"> A </w:t>
      </w:r>
      <w:r w:rsidRPr="00DB1B07">
        <w:t xml:space="preserve">to this Public Notice and </w:t>
      </w:r>
      <w:r w:rsidR="00C75D90">
        <w:t>is</w:t>
      </w:r>
      <w:r w:rsidR="0078787E">
        <w:t xml:space="preserve"> </w:t>
      </w:r>
      <w:r w:rsidR="00C75D90">
        <w:t>published</w:t>
      </w:r>
      <w:r w:rsidR="001E4F06">
        <w:t xml:space="preserve"> </w:t>
      </w:r>
      <w:r w:rsidRPr="00DB1B07">
        <w:t xml:space="preserve">on the Bureau’s website at </w:t>
      </w:r>
      <w:hyperlink r:id="rId10" w:history="1">
        <w:r w:rsidRPr="00DB1B07">
          <w:rPr>
            <w:rStyle w:val="Hyperlink"/>
          </w:rPr>
          <w:t>https://www.fcc.gov/supplychain/coveredlist</w:t>
        </w:r>
      </w:hyperlink>
      <w:r w:rsidRPr="00DB1B07">
        <w:t>.</w:t>
      </w:r>
      <w:r>
        <w:rPr>
          <w:rStyle w:val="FootnoteReference"/>
        </w:rPr>
        <w:footnoteReference w:id="21"/>
      </w:r>
      <w:r w:rsidR="00B8526D">
        <w:t xml:space="preserve">  </w:t>
      </w:r>
      <w:r w:rsidR="00E24B26">
        <w:t>The Power Inverters National Security Determination is attached as Appendix B.</w:t>
      </w:r>
      <w:r w:rsidR="004C19C9">
        <w:t xml:space="preserve">  The Advanced Robotic Devices National Security Determination is attached as Appendix C. </w:t>
      </w:r>
      <w:r w:rsidRPr="00B005C9">
        <w:t xml:space="preserve"> </w:t>
      </w:r>
    </w:p>
    <w:p w:rsidR="00D4215A" w:rsidP="00943CB4" w14:paraId="32D080A7" w14:textId="77777777">
      <w:pPr>
        <w:widowControl/>
        <w:ind w:firstLine="720"/>
        <w:rPr>
          <w:szCs w:val="22"/>
          <w:highlight w:val="lightGray"/>
        </w:rPr>
      </w:pPr>
    </w:p>
    <w:p w:rsidR="00836753" w:rsidP="00D4215A" w14:paraId="70B2767E" w14:textId="0610DC68">
      <w:pPr>
        <w:ind w:firstLine="720"/>
        <w:rPr>
          <w:szCs w:val="22"/>
        </w:rPr>
      </w:pPr>
      <w:r>
        <w:rPr>
          <w:szCs w:val="22"/>
        </w:rPr>
        <w:t>W</w:t>
      </w:r>
      <w:r w:rsidRPr="00033494">
        <w:rPr>
          <w:szCs w:val="22"/>
        </w:rPr>
        <w:t xml:space="preserve">e note </w:t>
      </w:r>
      <w:r>
        <w:rPr>
          <w:szCs w:val="22"/>
        </w:rPr>
        <w:t>the continued availability of FCC staff guidance</w:t>
      </w:r>
      <w:r w:rsidRPr="00033494">
        <w:rPr>
          <w:szCs w:val="22"/>
        </w:rPr>
        <w:t xml:space="preserve"> pursuant to sections 0.191 and 0.31(i) of the Commission’s rules</w:t>
      </w:r>
      <w:r>
        <w:rPr>
          <w:szCs w:val="22"/>
        </w:rPr>
        <w:t xml:space="preserve">. </w:t>
      </w:r>
      <w:r w:rsidRPr="00033494">
        <w:rPr>
          <w:szCs w:val="22"/>
        </w:rPr>
        <w:t xml:space="preserve"> Commission staff will provide guidance to TCBs, test labs, and equipment authorization applicants on the impact of </w:t>
      </w:r>
      <w:r>
        <w:rPr>
          <w:szCs w:val="22"/>
        </w:rPr>
        <w:t>these</w:t>
      </w:r>
      <w:r w:rsidRPr="00033494">
        <w:rPr>
          <w:szCs w:val="22"/>
        </w:rPr>
        <w:t xml:space="preserve"> updates</w:t>
      </w:r>
      <w:r>
        <w:rPr>
          <w:szCs w:val="22"/>
        </w:rPr>
        <w:t>.</w:t>
      </w:r>
    </w:p>
    <w:p w:rsidR="00D4215A" w:rsidRPr="00033494" w:rsidP="00943CB4" w14:paraId="396E14FB" w14:textId="77777777">
      <w:pPr>
        <w:ind w:firstLine="720"/>
        <w:rPr>
          <w:szCs w:val="22"/>
        </w:rPr>
      </w:pPr>
    </w:p>
    <w:p w:rsidR="00ED048A" w:rsidP="004C19C9" w14:paraId="4D5458EB" w14:textId="7F8E4446">
      <w:pPr>
        <w:ind w:firstLine="720"/>
        <w:sectPr>
          <w:headerReference w:type="default" r:id="rId11"/>
          <w:footerReference w:type="even" r:id="rId12"/>
          <w:footerReference w:type="default" r:id="rId13"/>
          <w:headerReference w:type="first" r:id="rId14"/>
          <w:footerReference w:type="first" r:id="rId15"/>
          <w:endnotePr>
            <w:numFmt w:val="decimal"/>
          </w:endnotePr>
          <w:pgSz w:w="12240" w:h="15840"/>
          <w:pgMar w:top="1440" w:right="1440" w:bottom="720" w:left="1440" w:header="630" w:footer="720" w:gutter="0"/>
          <w:pgNumType w:start="1"/>
          <w:cols w:space="720"/>
          <w:noEndnote/>
          <w:titlePg/>
        </w:sectPr>
      </w:pPr>
      <w:r w:rsidRPr="000B1F05">
        <w:t>For further information, please contac</w:t>
      </w:r>
      <w:r w:rsidR="000526E8">
        <w:t>t</w:t>
      </w:r>
      <w:r w:rsidR="009A4138">
        <w:t xml:space="preserve"> </w:t>
      </w:r>
      <w:r w:rsidR="009A4138">
        <w:rPr>
          <w:szCs w:val="22"/>
        </w:rPr>
        <w:t>Chris Smeenk</w:t>
      </w:r>
      <w:r w:rsidRPr="000712F4" w:rsidR="009A4138">
        <w:rPr>
          <w:szCs w:val="22"/>
        </w:rPr>
        <w:t>, Attorney Advisor, Operations and Emergency Management Division, Public Safety and Homeland Security Bureau</w:t>
      </w:r>
      <w:r w:rsidR="009A4138">
        <w:rPr>
          <w:szCs w:val="22"/>
        </w:rPr>
        <w:t xml:space="preserve"> at </w:t>
      </w:r>
      <w:r w:rsidRPr="000712F4" w:rsidR="009A4138">
        <w:rPr>
          <w:szCs w:val="22"/>
        </w:rPr>
        <w:t>202</w:t>
      </w:r>
      <w:r w:rsidR="009A4138">
        <w:rPr>
          <w:szCs w:val="22"/>
        </w:rPr>
        <w:t>-</w:t>
      </w:r>
      <w:r w:rsidRPr="000712F4" w:rsidR="009A4138">
        <w:rPr>
          <w:szCs w:val="22"/>
        </w:rPr>
        <w:t>418-1</w:t>
      </w:r>
      <w:r w:rsidR="00AC1DE5">
        <w:rPr>
          <w:szCs w:val="22"/>
        </w:rPr>
        <w:t>630</w:t>
      </w:r>
      <w:r w:rsidRPr="000712F4" w:rsidR="009A4138">
        <w:rPr>
          <w:szCs w:val="22"/>
        </w:rPr>
        <w:t xml:space="preserve"> or </w:t>
      </w:r>
      <w:hyperlink r:id="rId16" w:history="1">
        <w:r w:rsidRPr="00AC1DE5" w:rsidR="00AC1DE5">
          <w:rPr>
            <w:rStyle w:val="Hyperlink"/>
          </w:rPr>
          <w:t>Chris.Smeenk@fcc.gov</w:t>
        </w:r>
      </w:hyperlink>
      <w:r w:rsidR="009A4138">
        <w:t>.</w:t>
      </w:r>
    </w:p>
    <w:p w:rsidR="00172F47" w:rsidP="007D435A" w14:paraId="7FA3F992" w14:textId="7E83B8CD">
      <w:pPr>
        <w:spacing w:after="120"/>
        <w:jc w:val="center"/>
        <w:rPr>
          <w:b/>
          <w:bCs/>
        </w:rPr>
      </w:pPr>
      <w:r w:rsidRPr="00F74A24">
        <w:rPr>
          <w:b/>
          <w:bCs/>
        </w:rPr>
        <w:t>APPENDIX</w:t>
      </w:r>
      <w:r>
        <w:rPr>
          <w:b/>
          <w:bCs/>
        </w:rPr>
        <w:t xml:space="preserve"> A</w:t>
      </w:r>
    </w:p>
    <w:p w:rsidR="00172F47" w:rsidRPr="00F74A24" w:rsidP="00172F47" w14:paraId="50AA5651" w14:textId="7F36D6EC">
      <w:pPr>
        <w:spacing w:after="120"/>
        <w:jc w:val="center"/>
      </w:pPr>
      <w:r w:rsidRPr="00F74A24">
        <w:t xml:space="preserve">COVERED LIST </w:t>
      </w:r>
      <w:r w:rsidRPr="004552EB">
        <w:t>(</w:t>
      </w:r>
      <w:r w:rsidRPr="00414478">
        <w:t xml:space="preserve">Updated </w:t>
      </w:r>
      <w:r w:rsidRPr="00414478" w:rsidR="00655B60">
        <w:t>July 28,</w:t>
      </w:r>
      <w:r w:rsidRPr="00414478">
        <w:t xml:space="preserve"> 2026</w:t>
      </w:r>
      <w:r w:rsidRPr="00B651ED" w:rsidR="006076FD">
        <w:t>)*</w:t>
      </w:r>
      <w:r w:rsidRPr="00B651ED" w:rsidR="006076FD">
        <w:rPr>
          <w:vertAlign w:val="superscript"/>
        </w:rPr>
        <w:t>†</w:t>
      </w:r>
      <w:r w:rsidRPr="00B05A4B" w:rsidR="00C96D13">
        <w:rPr>
          <w:vertAlign w:val="superscript"/>
        </w:rPr>
        <w:t>±</w:t>
      </w:r>
    </w:p>
    <w:p w:rsidR="00172F47" w:rsidRPr="00F74A24" w:rsidP="00172F47" w14:paraId="31BE3A11" w14:textId="77777777">
      <w:pPr>
        <w:rPr>
          <w:b/>
          <w:bCs/>
        </w:rPr>
      </w:pPr>
    </w:p>
    <w:tbl>
      <w:tblPr>
        <w:tblStyle w:val="TableGrid"/>
        <w:tblW w:w="10350" w:type="dxa"/>
        <w:tblInd w:w="-365" w:type="dxa"/>
        <w:tblLook w:val="04A0"/>
      </w:tblPr>
      <w:tblGrid>
        <w:gridCol w:w="7601"/>
        <w:gridCol w:w="2749"/>
      </w:tblGrid>
      <w:tr w14:paraId="417880AF" w14:textId="77777777">
        <w:tblPrEx>
          <w:tblW w:w="10350" w:type="dxa"/>
          <w:tblInd w:w="-365" w:type="dxa"/>
          <w:tblLook w:val="04A0"/>
        </w:tblPrEx>
        <w:tc>
          <w:tcPr>
            <w:tcW w:w="7601" w:type="dxa"/>
          </w:tcPr>
          <w:p w:rsidR="00172F47" w:rsidRPr="00F74A24" w14:paraId="69C67371" w14:textId="77777777">
            <w:pPr>
              <w:jc w:val="center"/>
              <w:rPr>
                <w:b/>
                <w:bCs/>
              </w:rPr>
            </w:pPr>
            <w:r w:rsidRPr="00F74A24">
              <w:rPr>
                <w:b/>
                <w:bCs/>
              </w:rPr>
              <w:t>Covered Equipment or Services*</w:t>
            </w:r>
          </w:p>
        </w:tc>
        <w:tc>
          <w:tcPr>
            <w:tcW w:w="2749" w:type="dxa"/>
          </w:tcPr>
          <w:p w:rsidR="00172F47" w:rsidRPr="00F74A24" w14:paraId="7D47AB03" w14:textId="77777777">
            <w:pPr>
              <w:jc w:val="center"/>
              <w:rPr>
                <w:b/>
                <w:bCs/>
              </w:rPr>
            </w:pPr>
            <w:r w:rsidRPr="00F74A24">
              <w:rPr>
                <w:b/>
                <w:bCs/>
              </w:rPr>
              <w:t>Date of Inclusion on Covered List</w:t>
            </w:r>
          </w:p>
        </w:tc>
      </w:tr>
      <w:tr w14:paraId="77DA3736" w14:textId="77777777">
        <w:tblPrEx>
          <w:tblW w:w="10350" w:type="dxa"/>
          <w:tblInd w:w="-365" w:type="dxa"/>
          <w:tblLook w:val="04A0"/>
        </w:tblPrEx>
        <w:tc>
          <w:tcPr>
            <w:tcW w:w="7601" w:type="dxa"/>
          </w:tcPr>
          <w:p w:rsidR="00172F47" w:rsidRPr="00F74A24" w14:paraId="46ED974F" w14:textId="77777777">
            <w:r w:rsidRPr="00F74A24">
              <w:t xml:space="preserve">Telecommunications equipment produced or provided by </w:t>
            </w:r>
            <w:r w:rsidRPr="00F74A24">
              <w:rPr>
                <w:b/>
                <w:bCs/>
              </w:rPr>
              <w:t>Huawei Technologies Company</w:t>
            </w:r>
            <w:r w:rsidRPr="00F74A24">
              <w:t>, including telecommunications or video surveillance services produced or provided by such entity or using such equipment.</w:t>
            </w:r>
          </w:p>
        </w:tc>
        <w:tc>
          <w:tcPr>
            <w:tcW w:w="2749" w:type="dxa"/>
          </w:tcPr>
          <w:p w:rsidR="00172F47" w:rsidRPr="00F74A24" w14:paraId="23D29475" w14:textId="77777777">
            <w:pPr>
              <w:jc w:val="center"/>
            </w:pPr>
          </w:p>
          <w:p w:rsidR="00172F47" w:rsidRPr="00F74A24" w14:paraId="60960F6A" w14:textId="77777777">
            <w:pPr>
              <w:jc w:val="center"/>
            </w:pPr>
            <w:r w:rsidRPr="00F74A24">
              <w:t>March 12, 2021</w:t>
            </w:r>
          </w:p>
        </w:tc>
      </w:tr>
      <w:tr w14:paraId="586084FE" w14:textId="77777777">
        <w:tblPrEx>
          <w:tblW w:w="10350" w:type="dxa"/>
          <w:tblInd w:w="-365" w:type="dxa"/>
          <w:tblLook w:val="04A0"/>
        </w:tblPrEx>
        <w:tc>
          <w:tcPr>
            <w:tcW w:w="7601" w:type="dxa"/>
          </w:tcPr>
          <w:p w:rsidR="00172F47" w:rsidRPr="00F74A24" w14:paraId="09850D6E" w14:textId="77777777">
            <w:r w:rsidRPr="00F74A24">
              <w:t xml:space="preserve">Telecommunications equipment produced or provided by </w:t>
            </w:r>
            <w:r w:rsidRPr="00F74A24">
              <w:rPr>
                <w:b/>
                <w:bCs/>
              </w:rPr>
              <w:t>ZTE Corporation</w:t>
            </w:r>
            <w:r w:rsidRPr="00F74A24">
              <w:t>, including telecommunications or video surveillance services provided or provided by such entity or using such equipment.</w:t>
            </w:r>
          </w:p>
        </w:tc>
        <w:tc>
          <w:tcPr>
            <w:tcW w:w="2749" w:type="dxa"/>
          </w:tcPr>
          <w:p w:rsidR="00172F47" w:rsidRPr="00F74A24" w14:paraId="5060DD59" w14:textId="77777777">
            <w:pPr>
              <w:jc w:val="center"/>
            </w:pPr>
          </w:p>
          <w:p w:rsidR="00172F47" w:rsidRPr="00F74A24" w14:paraId="2F187580" w14:textId="77777777">
            <w:pPr>
              <w:jc w:val="center"/>
            </w:pPr>
            <w:r w:rsidRPr="00F74A24">
              <w:t>March 12, 2021</w:t>
            </w:r>
          </w:p>
        </w:tc>
      </w:tr>
      <w:tr w14:paraId="1C8DD5FB" w14:textId="77777777">
        <w:tblPrEx>
          <w:tblW w:w="10350" w:type="dxa"/>
          <w:tblInd w:w="-365" w:type="dxa"/>
          <w:tblLook w:val="04A0"/>
        </w:tblPrEx>
        <w:tc>
          <w:tcPr>
            <w:tcW w:w="7601" w:type="dxa"/>
          </w:tcPr>
          <w:p w:rsidR="00172F47" w:rsidRPr="00F74A24" w14:paraId="09DAE7C8" w14:textId="77777777">
            <w:r w:rsidRPr="00F74A24">
              <w:t xml:space="preserve">Video surveillance and telecommunications equipment produced or provided by </w:t>
            </w:r>
            <w:r w:rsidRPr="00F74A24">
              <w:rPr>
                <w:b/>
                <w:bCs/>
              </w:rPr>
              <w:t>Hytera Communications Corporation</w:t>
            </w:r>
            <w:r w:rsidRPr="00F74A24">
              <w:t>, to the extent it is used for the purpose of public safety, security of government facilities, physical security surveillance of critical infrastructure, and other national security purposes, including telecommunications or video surveillance services produced or provided by such entity or using such equipment.</w:t>
            </w:r>
          </w:p>
        </w:tc>
        <w:tc>
          <w:tcPr>
            <w:tcW w:w="2749" w:type="dxa"/>
          </w:tcPr>
          <w:p w:rsidR="00172F47" w:rsidRPr="00F74A24" w14:paraId="2DFA9F86" w14:textId="77777777">
            <w:pPr>
              <w:jc w:val="center"/>
            </w:pPr>
          </w:p>
          <w:p w:rsidR="00172F47" w:rsidRPr="00F74A24" w14:paraId="02C6B68B" w14:textId="77777777">
            <w:pPr>
              <w:jc w:val="center"/>
            </w:pPr>
          </w:p>
          <w:p w:rsidR="00172F47" w:rsidRPr="00F74A24" w14:paraId="1C55A453" w14:textId="77777777">
            <w:pPr>
              <w:jc w:val="center"/>
            </w:pPr>
            <w:r w:rsidRPr="00F74A24">
              <w:t>March 12, 2021</w:t>
            </w:r>
          </w:p>
        </w:tc>
      </w:tr>
      <w:tr w14:paraId="0C815C10" w14:textId="77777777">
        <w:tblPrEx>
          <w:tblW w:w="10350" w:type="dxa"/>
          <w:tblInd w:w="-365" w:type="dxa"/>
          <w:tblLook w:val="04A0"/>
        </w:tblPrEx>
        <w:tc>
          <w:tcPr>
            <w:tcW w:w="7601" w:type="dxa"/>
          </w:tcPr>
          <w:p w:rsidR="00172F47" w:rsidRPr="00F74A24" w14:paraId="0856AFCA" w14:textId="77777777">
            <w:r w:rsidRPr="00F74A24">
              <w:t xml:space="preserve">Video surveillance and telecommunications equipment produced or provided by </w:t>
            </w:r>
            <w:r w:rsidRPr="00F74A24">
              <w:rPr>
                <w:b/>
                <w:bCs/>
              </w:rPr>
              <w:t>Hangzhou Hikvision Digital Technology Company</w:t>
            </w:r>
            <w:r w:rsidRPr="00F74A24">
              <w:t>, to the extent it is used for the purpose of public safety, security of government facilities, physical security surveillance of critical infrastructure, and other national security purposes, including telecommunications or video surveillance services produced or provided by such entity or using such equipment.</w:t>
            </w:r>
          </w:p>
        </w:tc>
        <w:tc>
          <w:tcPr>
            <w:tcW w:w="2749" w:type="dxa"/>
          </w:tcPr>
          <w:p w:rsidR="00172F47" w:rsidRPr="00F74A24" w14:paraId="00A2954E" w14:textId="77777777"/>
          <w:p w:rsidR="00172F47" w:rsidRPr="00F74A24" w14:paraId="7846784C" w14:textId="77777777">
            <w:pPr>
              <w:jc w:val="center"/>
            </w:pPr>
          </w:p>
          <w:p w:rsidR="00172F47" w:rsidRPr="00F74A24" w14:paraId="4281E6D5" w14:textId="77777777">
            <w:pPr>
              <w:jc w:val="center"/>
            </w:pPr>
            <w:r w:rsidRPr="00F74A24">
              <w:t>March 12, 2021</w:t>
            </w:r>
          </w:p>
        </w:tc>
      </w:tr>
      <w:tr w14:paraId="1165F6D0" w14:textId="77777777">
        <w:tblPrEx>
          <w:tblW w:w="10350" w:type="dxa"/>
          <w:tblInd w:w="-365" w:type="dxa"/>
          <w:tblLook w:val="04A0"/>
        </w:tblPrEx>
        <w:tc>
          <w:tcPr>
            <w:tcW w:w="7601" w:type="dxa"/>
          </w:tcPr>
          <w:p w:rsidR="00172F47" w:rsidRPr="00F74A24" w14:paraId="59B58DC1" w14:textId="77777777">
            <w:r w:rsidRPr="00F74A24">
              <w:t xml:space="preserve">Video surveillance and telecommunications equipment produced or provided by </w:t>
            </w:r>
            <w:r w:rsidRPr="00F74A24">
              <w:rPr>
                <w:b/>
                <w:bCs/>
              </w:rPr>
              <w:t>Dahua Technology Company</w:t>
            </w:r>
            <w:r w:rsidRPr="00F74A24">
              <w:t>, to the extent it is used for the purpose of public safety, security of government facilities, physical security surveillance of critical infrastructure, and other national security purposes, including telecommunications or video surveillance services produced or provided by such entity or using such equipment.</w:t>
            </w:r>
          </w:p>
        </w:tc>
        <w:tc>
          <w:tcPr>
            <w:tcW w:w="2749" w:type="dxa"/>
          </w:tcPr>
          <w:p w:rsidR="00172F47" w:rsidRPr="00F74A24" w14:paraId="250C0AF1" w14:textId="77777777">
            <w:pPr>
              <w:jc w:val="center"/>
            </w:pPr>
          </w:p>
          <w:p w:rsidR="00172F47" w:rsidRPr="00F74A24" w14:paraId="5A0C939E" w14:textId="77777777">
            <w:pPr>
              <w:jc w:val="center"/>
            </w:pPr>
          </w:p>
          <w:p w:rsidR="00172F47" w:rsidRPr="00F74A24" w14:paraId="2F880CF6" w14:textId="77777777">
            <w:pPr>
              <w:jc w:val="center"/>
            </w:pPr>
            <w:r w:rsidRPr="00F74A24">
              <w:t>March 12, 2021</w:t>
            </w:r>
          </w:p>
        </w:tc>
      </w:tr>
      <w:tr w14:paraId="5AE146C9" w14:textId="77777777">
        <w:tblPrEx>
          <w:tblW w:w="10350" w:type="dxa"/>
          <w:tblInd w:w="-365" w:type="dxa"/>
          <w:tblLook w:val="04A0"/>
        </w:tblPrEx>
        <w:tc>
          <w:tcPr>
            <w:tcW w:w="7601" w:type="dxa"/>
          </w:tcPr>
          <w:p w:rsidR="00172F47" w:rsidRPr="00F74A24" w14:paraId="0FBA3AF2" w14:textId="77777777">
            <w:r w:rsidRPr="00F74A24">
              <w:t xml:space="preserve">Information security products, solutions, and services supplied, directly or indirectly, by </w:t>
            </w:r>
            <w:r w:rsidRPr="00F74A24">
              <w:rPr>
                <w:b/>
                <w:bCs/>
              </w:rPr>
              <w:t>AO Kaspersky Lab</w:t>
            </w:r>
            <w:r w:rsidRPr="00F74A24">
              <w:t xml:space="preserve"> or any of its predecessors, successors, parents, subsidiaries, or affiliates.</w:t>
            </w:r>
          </w:p>
        </w:tc>
        <w:tc>
          <w:tcPr>
            <w:tcW w:w="2749" w:type="dxa"/>
          </w:tcPr>
          <w:p w:rsidR="00172F47" w:rsidRPr="00F74A24" w14:paraId="7673FDEC" w14:textId="77777777">
            <w:pPr>
              <w:jc w:val="center"/>
            </w:pPr>
            <w:r>
              <w:br/>
            </w:r>
            <w:r w:rsidRPr="00F74A24">
              <w:t>March 25, 2022</w:t>
            </w:r>
          </w:p>
        </w:tc>
      </w:tr>
      <w:tr w14:paraId="3B7CE7C6" w14:textId="77777777">
        <w:tblPrEx>
          <w:tblW w:w="10350" w:type="dxa"/>
          <w:tblInd w:w="-365" w:type="dxa"/>
          <w:tblLook w:val="04A0"/>
        </w:tblPrEx>
        <w:tc>
          <w:tcPr>
            <w:tcW w:w="7601" w:type="dxa"/>
          </w:tcPr>
          <w:p w:rsidR="00172F47" w:rsidRPr="00F74A24" w14:paraId="0F657732" w14:textId="77777777">
            <w:r w:rsidRPr="00F74A24">
              <w:t xml:space="preserve">International telecommunications services provided by </w:t>
            </w:r>
            <w:r w:rsidRPr="00F74A24">
              <w:rPr>
                <w:b/>
                <w:bCs/>
              </w:rPr>
              <w:t>China Mobile International USA Inc.</w:t>
            </w:r>
            <w:r w:rsidRPr="00F74A24">
              <w:t xml:space="preserve"> subject to section 214 of the Communications Act of 1934. </w:t>
            </w:r>
          </w:p>
        </w:tc>
        <w:tc>
          <w:tcPr>
            <w:tcW w:w="2749" w:type="dxa"/>
          </w:tcPr>
          <w:p w:rsidR="00172F47" w:rsidRPr="00F74A24" w14:paraId="429A7B67" w14:textId="77777777">
            <w:pPr>
              <w:jc w:val="center"/>
            </w:pPr>
            <w:r w:rsidRPr="00F74A24">
              <w:t>March 25, 2022</w:t>
            </w:r>
          </w:p>
        </w:tc>
      </w:tr>
      <w:tr w14:paraId="0262B849" w14:textId="77777777">
        <w:tblPrEx>
          <w:tblW w:w="10350" w:type="dxa"/>
          <w:tblInd w:w="-365" w:type="dxa"/>
          <w:tblLook w:val="04A0"/>
        </w:tblPrEx>
        <w:tc>
          <w:tcPr>
            <w:tcW w:w="7601" w:type="dxa"/>
          </w:tcPr>
          <w:p w:rsidR="00172F47" w:rsidRPr="00F74A24" w14:paraId="41D46A1A" w14:textId="77777777">
            <w:r w:rsidRPr="00F74A24">
              <w:t xml:space="preserve">Telecommunications services provided by </w:t>
            </w:r>
            <w:r w:rsidRPr="00F74A24">
              <w:rPr>
                <w:b/>
                <w:bCs/>
              </w:rPr>
              <w:t>China Telecom (Americas) Corp.</w:t>
            </w:r>
            <w:r w:rsidRPr="00F74A24">
              <w:t xml:space="preserve"> subject to section 214 of the Communications Act of 1934.</w:t>
            </w:r>
          </w:p>
        </w:tc>
        <w:tc>
          <w:tcPr>
            <w:tcW w:w="2749" w:type="dxa"/>
          </w:tcPr>
          <w:p w:rsidR="00172F47" w:rsidRPr="00F74A24" w14:paraId="0CF732C0" w14:textId="77777777">
            <w:pPr>
              <w:jc w:val="center"/>
            </w:pPr>
            <w:r w:rsidRPr="00F74A24">
              <w:t>March 25, 2022</w:t>
            </w:r>
          </w:p>
        </w:tc>
      </w:tr>
      <w:tr w14:paraId="5131DBB6" w14:textId="77777777">
        <w:tblPrEx>
          <w:tblW w:w="10350" w:type="dxa"/>
          <w:tblInd w:w="-365" w:type="dxa"/>
          <w:tblLook w:val="04A0"/>
        </w:tblPrEx>
        <w:tc>
          <w:tcPr>
            <w:tcW w:w="7601" w:type="dxa"/>
          </w:tcPr>
          <w:p w:rsidR="00172F47" w:rsidRPr="00F74A24" w14:paraId="20447567" w14:textId="77777777">
            <w:r w:rsidRPr="00F74A24">
              <w:t xml:space="preserve">International telecommunications services provided by </w:t>
            </w:r>
            <w:r w:rsidRPr="00F74A24">
              <w:rPr>
                <w:b/>
                <w:bCs/>
              </w:rPr>
              <w:t xml:space="preserve">Pacific Networks Corp. </w:t>
            </w:r>
            <w:r w:rsidRPr="00F74A24">
              <w:t xml:space="preserve">and its wholly-owned subsidiary </w:t>
            </w:r>
            <w:r w:rsidRPr="00F74A24">
              <w:rPr>
                <w:b/>
                <w:bCs/>
              </w:rPr>
              <w:t>ComNet (USA) LLC</w:t>
            </w:r>
            <w:r w:rsidRPr="00F74A24">
              <w:t xml:space="preserve"> subject to section 214 of the Communications Act of 1934. </w:t>
            </w:r>
          </w:p>
        </w:tc>
        <w:tc>
          <w:tcPr>
            <w:tcW w:w="2749" w:type="dxa"/>
          </w:tcPr>
          <w:p w:rsidR="00172F47" w:rsidRPr="00F74A24" w14:paraId="7D58C2B0" w14:textId="77777777">
            <w:pPr>
              <w:jc w:val="center"/>
            </w:pPr>
            <w:r>
              <w:br/>
            </w:r>
            <w:r w:rsidRPr="00F74A24">
              <w:t>September 20, 2022</w:t>
            </w:r>
          </w:p>
        </w:tc>
      </w:tr>
      <w:tr w14:paraId="1F813291" w14:textId="77777777">
        <w:tblPrEx>
          <w:tblW w:w="10350" w:type="dxa"/>
          <w:tblInd w:w="-365" w:type="dxa"/>
          <w:tblLook w:val="04A0"/>
        </w:tblPrEx>
        <w:tc>
          <w:tcPr>
            <w:tcW w:w="7601" w:type="dxa"/>
          </w:tcPr>
          <w:p w:rsidR="00172F47" w:rsidRPr="00F74A24" w14:paraId="00C6C60A" w14:textId="77777777">
            <w:r w:rsidRPr="00F74A24">
              <w:t xml:space="preserve">International telecommunications services provided by </w:t>
            </w:r>
            <w:r w:rsidRPr="00F74A24">
              <w:rPr>
                <w:b/>
                <w:bCs/>
              </w:rPr>
              <w:t>China Unicom (Americas) Operations Limited</w:t>
            </w:r>
            <w:r w:rsidRPr="00F74A24">
              <w:t xml:space="preserve"> subject to section 214 of the Communications Act of 1934. </w:t>
            </w:r>
          </w:p>
        </w:tc>
        <w:tc>
          <w:tcPr>
            <w:tcW w:w="2749" w:type="dxa"/>
          </w:tcPr>
          <w:p w:rsidR="00172F47" w:rsidRPr="00F74A24" w14:paraId="64A816D7" w14:textId="77777777">
            <w:pPr>
              <w:jc w:val="center"/>
            </w:pPr>
            <w:r w:rsidRPr="00F74A24">
              <w:t>September 20, 2022</w:t>
            </w:r>
          </w:p>
        </w:tc>
      </w:tr>
      <w:tr w14:paraId="206BA247" w14:textId="77777777">
        <w:tblPrEx>
          <w:tblW w:w="10350" w:type="dxa"/>
          <w:tblInd w:w="-365" w:type="dxa"/>
          <w:tblLook w:val="04A0"/>
        </w:tblPrEx>
        <w:tc>
          <w:tcPr>
            <w:tcW w:w="7601" w:type="dxa"/>
          </w:tcPr>
          <w:p w:rsidR="00172F47" w:rsidRPr="00F74A24" w14:paraId="3A7D984D" w14:textId="77777777">
            <w:r w:rsidRPr="00F74A24">
              <w:t xml:space="preserve">Cybersecurity and anti-virus software produced or provided by </w:t>
            </w:r>
            <w:r w:rsidRPr="00F74A24">
              <w:rPr>
                <w:b/>
                <w:bCs/>
              </w:rPr>
              <w:t>Kaspersky Lab, Inc.</w:t>
            </w:r>
            <w:r w:rsidRPr="00F74A24">
              <w:t xml:space="preserve"> or any of its successors and assignees.  </w:t>
            </w:r>
          </w:p>
        </w:tc>
        <w:tc>
          <w:tcPr>
            <w:tcW w:w="2749" w:type="dxa"/>
          </w:tcPr>
          <w:p w:rsidR="00172F47" w:rsidRPr="00F74A24" w14:paraId="7F48A194" w14:textId="77777777">
            <w:pPr>
              <w:jc w:val="center"/>
            </w:pPr>
            <w:r w:rsidRPr="00F74A24">
              <w:t>July 23, 2024</w:t>
            </w:r>
          </w:p>
        </w:tc>
      </w:tr>
      <w:tr w14:paraId="633216C4" w14:textId="77777777">
        <w:tblPrEx>
          <w:tblW w:w="10350" w:type="dxa"/>
          <w:tblInd w:w="-365" w:type="dxa"/>
          <w:tblLook w:val="04A0"/>
        </w:tblPrEx>
        <w:tc>
          <w:tcPr>
            <w:tcW w:w="7601" w:type="dxa"/>
          </w:tcPr>
          <w:p w:rsidR="008B5634" w:rsidRPr="00B05A4B" w:rsidP="008B5634" w14:paraId="2D50C1ED" w14:textId="77777777">
            <w:r w:rsidRPr="00B05A4B">
              <w:t>Uncrewed aircraft systems (UAS) and UAS critical components produced in a foreign country</w:t>
            </w:r>
            <w:r w:rsidRPr="00B05A4B">
              <w:rPr>
                <w:vertAlign w:val="superscript"/>
              </w:rPr>
              <w:t>††</w:t>
            </w:r>
            <w:r w:rsidRPr="00B05A4B">
              <w:t xml:space="preserve">—except: </w:t>
            </w:r>
          </w:p>
          <w:p w:rsidR="008B5634" w:rsidRPr="00B05A4B" w:rsidP="008B5634" w14:paraId="0E2C5D0B" w14:textId="77777777">
            <w:r w:rsidRPr="007166E4">
              <w:t xml:space="preserve">(a) </w:t>
            </w:r>
            <w:hyperlink r:id="rId17">
              <w:r w:rsidRPr="007166E4">
                <w:rPr>
                  <w:color w:val="0000FF"/>
                  <w:u w:val="single"/>
                </w:rPr>
                <w:t>UAS</w:t>
              </w:r>
            </w:hyperlink>
            <w:r w:rsidRPr="007166E4">
              <w:t xml:space="preserve"> and </w:t>
            </w:r>
            <w:hyperlink r:id="rId18">
              <w:r w:rsidRPr="007166E4">
                <w:rPr>
                  <w:color w:val="0000FF"/>
                  <w:u w:val="single"/>
                </w:rPr>
                <w:t>UAS critical components</w:t>
              </w:r>
            </w:hyperlink>
            <w:r w:rsidRPr="00B05A4B">
              <w:t xml:space="preserve"> included on the Defense Contract Management Agency’s (DCMA’s) Blue UAS Cleared List, until January 1, 2028,</w:t>
            </w:r>
            <w:r w:rsidRPr="00B05A4B">
              <w:rPr>
                <w:vertAlign w:val="superscript"/>
              </w:rPr>
              <w:t>#</w:t>
            </w:r>
            <w:r w:rsidRPr="00B05A4B">
              <w:t xml:space="preserve"> </w:t>
            </w:r>
          </w:p>
          <w:p w:rsidR="008B5634" w:rsidRPr="00B05A4B" w:rsidP="008B5634" w14:paraId="56FA2E76" w14:textId="77777777">
            <w:r w:rsidRPr="007166E4">
              <w:t xml:space="preserve">(b) UAS and UAS critical components that qualify as “domestic end products” under the Buy American Standard, </w:t>
            </w:r>
            <w:hyperlink r:id="rId19">
              <w:r w:rsidRPr="007166E4">
                <w:rPr>
                  <w:color w:val="0000FF"/>
                  <w:u w:val="single"/>
                </w:rPr>
                <w:t>48 CFR 25.101(a)</w:t>
              </w:r>
            </w:hyperlink>
            <w:r w:rsidRPr="00B05A4B">
              <w:t xml:space="preserve">, until January 1, 2028; </w:t>
            </w:r>
          </w:p>
          <w:p w:rsidR="008B5634" w:rsidRPr="00B05A4B" w:rsidP="008B5634" w14:paraId="56D538F0" w14:textId="77777777">
            <w:r w:rsidRPr="007166E4">
              <w:t xml:space="preserve">(c) </w:t>
            </w:r>
            <w:hyperlink r:id="rId10" w:anchor="conditional-approvals">
              <w:r w:rsidRPr="007166E4">
                <w:rPr>
                  <w:color w:val="0000FF"/>
                  <w:u w:val="single"/>
                </w:rPr>
                <w:t>devices which have been granted a Conditional Approval by DoW or DHS</w:t>
              </w:r>
            </w:hyperlink>
            <w:r w:rsidRPr="00B05A4B">
              <w:t>; and </w:t>
            </w:r>
            <w:r w:rsidRPr="00B05A4B">
              <w:br/>
            </w:r>
            <w:r w:rsidRPr="00B05A4B">
              <w:t>(d) foreign-produced “Toy Drones,” as defined in the </w:t>
            </w:r>
            <w:hyperlink r:id="rId20" w:history="1">
              <w:r w:rsidRPr="00B05A4B">
                <w:rPr>
                  <w:rStyle w:val="Hyperlink"/>
                </w:rPr>
                <w:t>National Security Determination</w:t>
              </w:r>
            </w:hyperlink>
            <w:r w:rsidRPr="00B05A4B">
              <w:t xml:space="preserve">, and “Toy Drones that contain foreign-produced components.” </w:t>
            </w:r>
          </w:p>
          <w:p w:rsidR="008F56FC" w:rsidP="008F56FC" w14:paraId="71937360" w14:textId="77777777"/>
          <w:p w:rsidR="00172F47" w:rsidRPr="00B078CD" w14:paraId="5C3D4CD7" w14:textId="32F45D2D">
            <w:r>
              <w:t>A</w:t>
            </w:r>
            <w:r w:rsidRPr="007166E4">
              <w:t>ll communications and video surveillance equipment and services listed in Section 1709(a)(1) of the </w:t>
            </w:r>
            <w:hyperlink r:id="rId21">
              <w:r w:rsidRPr="007166E4">
                <w:rPr>
                  <w:color w:val="0000FF"/>
                  <w:u w:val="single"/>
                </w:rPr>
                <w:t>FY25 National Defense Authorization Act</w:t>
              </w:r>
            </w:hyperlink>
            <w:r w:rsidRPr="00B05A4B" w:rsidR="008B5634">
              <w:t> </w:t>
            </w:r>
            <w:r w:rsidRPr="007166E4">
              <w:t>(Pub. L. 118-159).</w:t>
            </w:r>
          </w:p>
        </w:tc>
        <w:tc>
          <w:tcPr>
            <w:tcW w:w="2749" w:type="dxa"/>
          </w:tcPr>
          <w:p w:rsidR="00172F47" w14:paraId="36B9C626" w14:textId="77777777">
            <w:pPr>
              <w:jc w:val="center"/>
            </w:pPr>
            <w:r>
              <w:br/>
            </w:r>
          </w:p>
          <w:p w:rsidR="00172F47" w14:paraId="0FF364D1" w14:textId="77777777">
            <w:pPr>
              <w:jc w:val="center"/>
            </w:pPr>
            <w:r>
              <w:t>December 22, 2025</w:t>
            </w:r>
          </w:p>
          <w:p w:rsidR="00172F47" w14:paraId="076F6492" w14:textId="77777777"/>
          <w:p w:rsidR="00172F47" w14:paraId="5771E2D2" w14:textId="77777777">
            <w:pPr>
              <w:jc w:val="center"/>
            </w:pPr>
            <w:r>
              <w:t xml:space="preserve">Updated: January 7, 2026  </w:t>
            </w:r>
          </w:p>
          <w:p w:rsidR="00172F47" w14:paraId="47176B74" w14:textId="77777777">
            <w:pPr>
              <w:jc w:val="center"/>
            </w:pPr>
          </w:p>
          <w:p w:rsidR="00BA1C56" w14:paraId="11CC3A30" w14:textId="77777777">
            <w:pPr>
              <w:jc w:val="center"/>
            </w:pPr>
            <w:r>
              <w:t>Updated: March 18, 2026</w:t>
            </w:r>
          </w:p>
          <w:p w:rsidR="00BA1C56" w14:paraId="37FBED1A" w14:textId="77777777">
            <w:pPr>
              <w:jc w:val="center"/>
            </w:pPr>
          </w:p>
          <w:p w:rsidR="008B5634" w:rsidP="008B5634" w14:paraId="2297C9A8" w14:textId="77777777">
            <w:pPr>
              <w:jc w:val="center"/>
            </w:pPr>
            <w:r w:rsidRPr="003D0A5E">
              <w:t>Updated: June 15, 2026</w:t>
            </w:r>
            <w:r w:rsidR="008E1837">
              <w:br/>
            </w:r>
          </w:p>
          <w:p w:rsidR="00172F47" w:rsidRPr="00F74A24" w14:paraId="688220D2" w14:textId="41DD5943">
            <w:pPr>
              <w:jc w:val="center"/>
            </w:pPr>
            <w:r>
              <w:t>Updated:  July 21, 2026</w:t>
            </w:r>
          </w:p>
        </w:tc>
      </w:tr>
      <w:tr w14:paraId="4872AEA4" w14:textId="77777777">
        <w:tblPrEx>
          <w:tblW w:w="10350" w:type="dxa"/>
          <w:tblInd w:w="-365" w:type="dxa"/>
          <w:tblLook w:val="04A0"/>
        </w:tblPrEx>
        <w:tc>
          <w:tcPr>
            <w:tcW w:w="7601" w:type="dxa"/>
          </w:tcPr>
          <w:p w:rsidR="00433B0C" w:rsidP="00433B0C" w14:paraId="34FE423E" w14:textId="1206B886">
            <w:r w:rsidRPr="00FD3472">
              <w:t>Routers</w:t>
            </w:r>
            <w:r w:rsidR="00B3117A">
              <w:t>^</w:t>
            </w:r>
            <w:r w:rsidRPr="00FD3472">
              <w:t xml:space="preserve"> produced in a foreign country, </w:t>
            </w:r>
            <w:hyperlink r:id="rId10" w:anchor="conditional-approvals" w:history="1">
              <w:r w:rsidRPr="00D83C46">
                <w:rPr>
                  <w:rStyle w:val="Hyperlink"/>
                </w:rPr>
                <w:t>except routers which have been granted a Conditional Approval by DoW or DHS</w:t>
              </w:r>
            </w:hyperlink>
            <w:r w:rsidRPr="00FD3472">
              <w:t>.</w:t>
            </w:r>
          </w:p>
        </w:tc>
        <w:tc>
          <w:tcPr>
            <w:tcW w:w="2749" w:type="dxa"/>
          </w:tcPr>
          <w:p w:rsidR="00433B0C" w:rsidP="00433B0C" w14:paraId="26772782" w14:textId="4B672029">
            <w:pPr>
              <w:jc w:val="center"/>
            </w:pPr>
            <w:r>
              <w:t>March</w:t>
            </w:r>
            <w:r w:rsidR="00D4352D">
              <w:t xml:space="preserve"> </w:t>
            </w:r>
            <w:r w:rsidRPr="00CB07A5" w:rsidR="00A96850">
              <w:t>23</w:t>
            </w:r>
            <w:r w:rsidR="00D4352D">
              <w:t>, 2026</w:t>
            </w:r>
          </w:p>
          <w:p w:rsidR="00433B0C" w:rsidP="00433B0C" w14:paraId="194007A9" w14:textId="1F23C716">
            <w:pPr>
              <w:jc w:val="center"/>
            </w:pPr>
          </w:p>
        </w:tc>
      </w:tr>
      <w:tr w14:paraId="1BAEBCF0" w14:textId="77777777" w:rsidTr="008E1837">
        <w:tblPrEx>
          <w:tblW w:w="10350" w:type="dxa"/>
          <w:tblInd w:w="-365" w:type="dxa"/>
          <w:tblLook w:val="04A0"/>
        </w:tblPrEx>
        <w:tc>
          <w:tcPr>
            <w:tcW w:w="7601" w:type="dxa"/>
          </w:tcPr>
          <w:p w:rsidR="008D2854" w:rsidRPr="00FD3472" w:rsidP="008E1837" w14:paraId="2A56C264" w14:textId="77777777">
            <w:r>
              <w:t xml:space="preserve">International telecommunications services provided by </w:t>
            </w:r>
            <w:r w:rsidRPr="00E902D0">
              <w:rPr>
                <w:b/>
                <w:bCs/>
              </w:rPr>
              <w:t>Digitalsystem Technology Inc.</w:t>
            </w:r>
            <w:r w:rsidRPr="00DE3DBA">
              <w:t>,</w:t>
            </w:r>
            <w:r>
              <w:t xml:space="preserve"> subject to section 214 of the Communications Act of 1934.</w:t>
            </w:r>
          </w:p>
        </w:tc>
        <w:tc>
          <w:tcPr>
            <w:tcW w:w="2749" w:type="dxa"/>
          </w:tcPr>
          <w:p w:rsidR="008D2854" w:rsidP="008E1837" w14:paraId="5D6C380A" w14:textId="77777777">
            <w:pPr>
              <w:jc w:val="center"/>
            </w:pPr>
            <w:r>
              <w:t xml:space="preserve">July </w:t>
            </w:r>
            <w:r w:rsidRPr="00F546AF">
              <w:t>7</w:t>
            </w:r>
            <w:r>
              <w:t>, 2026</w:t>
            </w:r>
          </w:p>
        </w:tc>
      </w:tr>
      <w:tr w14:paraId="4884D11B" w14:textId="77777777">
        <w:tblPrEx>
          <w:tblW w:w="10350" w:type="dxa"/>
          <w:tblInd w:w="-365" w:type="dxa"/>
          <w:tblLook w:val="04A0"/>
        </w:tblPrEx>
        <w:tc>
          <w:tcPr>
            <w:tcW w:w="7601" w:type="dxa"/>
          </w:tcPr>
          <w:p w:rsidR="008D2854" w:rsidRPr="007E4D59" w:rsidP="00433B0C" w14:paraId="17186141" w14:textId="6E0C62A5">
            <w:pPr>
              <w:rPr>
                <w:szCs w:val="22"/>
              </w:rPr>
            </w:pPr>
            <w:r w:rsidRPr="001E403E">
              <w:rPr>
                <w:szCs w:val="22"/>
              </w:rPr>
              <w:t>Foreign-produced power inverters</w:t>
            </w:r>
            <w:r w:rsidR="001145C6">
              <w:rPr>
                <w:szCs w:val="22"/>
              </w:rPr>
              <w:t>,</w:t>
            </w:r>
            <w:r>
              <w:rPr>
                <w:rStyle w:val="EndnoteReference"/>
                <w:szCs w:val="22"/>
              </w:rPr>
              <w:endnoteReference w:customMarkFollows="1" w:id="3"/>
              <w:t xml:space="preserve">£</w:t>
            </w:r>
            <w:r>
              <w:rPr>
                <w:szCs w:val="22"/>
              </w:rPr>
              <w:t xml:space="preserve"> </w:t>
            </w:r>
            <w:hyperlink r:id="rId8" w:history="1">
              <w:r w:rsidRPr="009170B2">
                <w:rPr>
                  <w:rStyle w:val="Hyperlink"/>
                  <w:szCs w:val="22"/>
                </w:rPr>
                <w:t>except</w:t>
              </w:r>
              <w:r w:rsidRPr="009170B2" w:rsidR="00DA6FFC">
                <w:rPr>
                  <w:rStyle w:val="Hyperlink"/>
                  <w:szCs w:val="22"/>
                </w:rPr>
                <w:t xml:space="preserve"> power inverters</w:t>
              </w:r>
              <w:r w:rsidRPr="009170B2">
                <w:rPr>
                  <w:rStyle w:val="Hyperlink"/>
                  <w:szCs w:val="22"/>
                </w:rPr>
                <w:t xml:space="preserve"> which have been granted a Conditional Approval by DoW or DHS</w:t>
              </w:r>
            </w:hyperlink>
            <w:r w:rsidR="007E4D59">
              <w:rPr>
                <w:szCs w:val="22"/>
              </w:rPr>
              <w:t>.</w:t>
            </w:r>
          </w:p>
        </w:tc>
        <w:tc>
          <w:tcPr>
            <w:tcW w:w="2749" w:type="dxa"/>
          </w:tcPr>
          <w:p w:rsidR="008D2854" w:rsidP="00433B0C" w14:paraId="1D57B343" w14:textId="4797323F">
            <w:pPr>
              <w:jc w:val="center"/>
            </w:pPr>
            <w:r>
              <w:t>July 28, 2026</w:t>
            </w:r>
          </w:p>
        </w:tc>
      </w:tr>
      <w:tr w14:paraId="1B8632FD" w14:textId="77777777">
        <w:tblPrEx>
          <w:tblW w:w="10350" w:type="dxa"/>
          <w:tblInd w:w="-365" w:type="dxa"/>
          <w:tblLook w:val="04A0"/>
        </w:tblPrEx>
        <w:tc>
          <w:tcPr>
            <w:tcW w:w="7601" w:type="dxa"/>
          </w:tcPr>
          <w:p w:rsidR="00F00CBE" w:rsidRPr="001E18DE" w:rsidP="00DA6FFC" w14:paraId="7A61FDF7" w14:textId="6C313D23">
            <w:pPr>
              <w:rPr>
                <w:szCs w:val="22"/>
              </w:rPr>
            </w:pPr>
            <w:r w:rsidRPr="001E403E">
              <w:rPr>
                <w:szCs w:val="22"/>
              </w:rPr>
              <w:t>Foreign-produced advanced robotic devices</w:t>
            </w:r>
            <w:r w:rsidR="009E416F">
              <w:rPr>
                <w:szCs w:val="22"/>
              </w:rPr>
              <w:t>,</w:t>
            </w:r>
            <w:r>
              <w:rPr>
                <w:rStyle w:val="EndnoteReference"/>
                <w:szCs w:val="22"/>
              </w:rPr>
              <w:endnoteReference w:customMarkFollows="1" w:id="4"/>
              <w:t xml:space="preserve">³</w:t>
            </w:r>
            <w:r w:rsidR="007E4D59">
              <w:rPr>
                <w:szCs w:val="22"/>
              </w:rPr>
              <w:t xml:space="preserve"> </w:t>
            </w:r>
            <w:hyperlink r:id="rId9" w:history="1">
              <w:r w:rsidRPr="005B0DC6" w:rsidR="007E4D59">
                <w:rPr>
                  <w:rStyle w:val="Hyperlink"/>
                  <w:szCs w:val="22"/>
                </w:rPr>
                <w:t xml:space="preserve">except </w:t>
              </w:r>
              <w:r w:rsidRPr="005B0DC6" w:rsidR="005B0DC6">
                <w:rPr>
                  <w:rStyle w:val="Hyperlink"/>
                  <w:szCs w:val="22"/>
                </w:rPr>
                <w:t>advanced robotic devices</w:t>
              </w:r>
              <w:r w:rsidRPr="005B0DC6" w:rsidR="007E4D59">
                <w:rPr>
                  <w:rStyle w:val="Hyperlink"/>
                  <w:szCs w:val="22"/>
                </w:rPr>
                <w:t xml:space="preserve"> which have been granted a Conditional Approval by DoW</w:t>
              </w:r>
            </w:hyperlink>
            <w:r w:rsidR="007E4D59">
              <w:rPr>
                <w:szCs w:val="22"/>
              </w:rPr>
              <w:t>.</w:t>
            </w:r>
          </w:p>
        </w:tc>
        <w:tc>
          <w:tcPr>
            <w:tcW w:w="2749" w:type="dxa"/>
          </w:tcPr>
          <w:p w:rsidR="007E4D59" w:rsidP="00433B0C" w14:paraId="1C58F39B" w14:textId="61599B6E">
            <w:pPr>
              <w:jc w:val="center"/>
            </w:pPr>
            <w:r>
              <w:t>July 28, 2026</w:t>
            </w:r>
          </w:p>
        </w:tc>
      </w:tr>
    </w:tbl>
    <w:p w:rsidR="00172F47" w:rsidP="00172F47" w14:paraId="13A04E6C" w14:textId="77777777"/>
    <w:p w:rsidR="00172F47" w:rsidP="00172F47" w14:paraId="07ED4A52" w14:textId="77777777">
      <w:r w:rsidRPr="00F74A24">
        <w:t>*The inclusion of producers or providers of equipment or services</w:t>
      </w:r>
      <w:r>
        <w:t xml:space="preserve"> named</w:t>
      </w:r>
      <w:r w:rsidRPr="00F74A24">
        <w:t xml:space="preserve"> on this list should be read to include the subsidiaries and affiliates of such entities.</w:t>
      </w:r>
    </w:p>
    <w:p w:rsidR="00172F47" w:rsidRPr="00F74A24" w:rsidP="00172F47" w14:paraId="3548F166" w14:textId="77777777">
      <w:r w:rsidRPr="00F74A24">
        <w:t xml:space="preserve"> </w:t>
      </w:r>
    </w:p>
    <w:p w:rsidR="00172F47" w:rsidP="00172F47" w14:paraId="4A61A614" w14:textId="77777777">
      <w:r w:rsidRPr="00A16F45">
        <w:rPr>
          <w:vertAlign w:val="superscript"/>
        </w:rPr>
        <w:t>†</w:t>
      </w:r>
      <w:r w:rsidRPr="00F74A24">
        <w:t>Where equipment or services on the list are identified by category, such category should be construed to include only equipment or services capable of the functions outlined in sections 2(b)(2)(A), (B), or (C) of the Secure and Trusted Communications Networks Act of 2019, 47 U.S.C. § 1601(b)(2)(A)-(C).</w:t>
      </w:r>
    </w:p>
    <w:p w:rsidR="00C96D13" w:rsidP="00172F47" w14:paraId="335AB7E7" w14:textId="77777777"/>
    <w:p w:rsidR="00C96D13" w:rsidP="00172F47" w14:paraId="098F2B96" w14:textId="6DFAB01C">
      <w:r w:rsidRPr="007166E4">
        <w:rPr>
          <w:vertAlign w:val="superscript"/>
        </w:rPr>
        <w:t>±</w:t>
      </w:r>
      <w:r w:rsidRPr="007166E4">
        <w:t xml:space="preserve">The scope of the Covered List is affected by the </w:t>
      </w:r>
      <w:hyperlink r:id="rId10" w:anchor="conditional-approvals" w:history="1">
        <w:r w:rsidRPr="007166E4">
          <w:rPr>
            <w:color w:val="0000FF"/>
            <w:u w:val="single"/>
          </w:rPr>
          <w:t>Conditional Approvals</w:t>
        </w:r>
      </w:hyperlink>
      <w:r w:rsidRPr="007166E4">
        <w:t xml:space="preserve"> that we have received.</w:t>
      </w:r>
    </w:p>
    <w:p w:rsidR="00172F47" w:rsidP="00172F47" w14:paraId="1F2D26CF" w14:textId="77777777"/>
    <w:p w:rsidR="00172F47" w:rsidP="00172F47" w14:paraId="22368900" w14:textId="77777777">
      <w:r w:rsidRPr="00A16F45">
        <w:rPr>
          <w:vertAlign w:val="superscript"/>
        </w:rPr>
        <w:t>††</w:t>
      </w:r>
      <w:r>
        <w:t xml:space="preserve">For purposes of inclusion of UAS and UAS critical components, we incorporate the definitions included in the associated </w:t>
      </w:r>
      <w:hyperlink r:id="rId22" w:history="1">
        <w:r w:rsidRPr="002067E6">
          <w:rPr>
            <w:rStyle w:val="Hyperlink"/>
          </w:rPr>
          <w:t>National Security Determination</w:t>
        </w:r>
      </w:hyperlink>
      <w:r>
        <w:t xml:space="preserve">. </w:t>
      </w:r>
    </w:p>
    <w:p w:rsidR="00172F47" w:rsidP="00172F47" w14:paraId="21328883" w14:textId="77777777"/>
    <w:p w:rsidR="006E35FC" w:rsidP="0065691D" w14:paraId="274FC6DA" w14:textId="2AABD651">
      <w:pPr>
        <w:spacing w:after="120"/>
        <w:contextualSpacing/>
        <w:rPr>
          <w:szCs w:val="22"/>
        </w:rPr>
      </w:pPr>
      <w:r w:rsidRPr="002068FF">
        <w:rPr>
          <w:szCs w:val="22"/>
          <w:vertAlign w:val="superscript"/>
        </w:rPr>
        <w:t>#</w:t>
      </w:r>
      <w:r w:rsidRPr="002068FF">
        <w:rPr>
          <w:szCs w:val="22"/>
        </w:rPr>
        <w:t xml:space="preserve">The “Blue UAS </w:t>
      </w:r>
      <w:r>
        <w:rPr>
          <w:szCs w:val="22"/>
        </w:rPr>
        <w:t>list</w:t>
      </w:r>
      <w:r w:rsidRPr="002068FF">
        <w:rPr>
          <w:szCs w:val="22"/>
        </w:rPr>
        <w:t xml:space="preserve">” referred to in the </w:t>
      </w:r>
      <w:hyperlink r:id="rId23" w:history="1">
        <w:r w:rsidRPr="00DD51C2">
          <w:rPr>
            <w:rStyle w:val="Hyperlink"/>
            <w:szCs w:val="22"/>
          </w:rPr>
          <w:t>National Security Determination</w:t>
        </w:r>
      </w:hyperlink>
      <w:r w:rsidRPr="002068FF">
        <w:rPr>
          <w:szCs w:val="22"/>
        </w:rPr>
        <w:t xml:space="preserve"> is the combination of the “Blue UAS Cleared List” at </w:t>
      </w:r>
      <w:hyperlink r:id="rId17" w:history="1">
        <w:r w:rsidRPr="002068FF">
          <w:rPr>
            <w:rStyle w:val="Hyperlink"/>
            <w:szCs w:val="22"/>
          </w:rPr>
          <w:t>https://bluelist.appsplatformportals.us/Cleared-List/</w:t>
        </w:r>
      </w:hyperlink>
      <w:r w:rsidRPr="002068FF">
        <w:rPr>
          <w:szCs w:val="22"/>
        </w:rPr>
        <w:t xml:space="preserve"> and the list of compliant UAS components and software at </w:t>
      </w:r>
      <w:hyperlink r:id="rId18" w:history="1">
        <w:r w:rsidRPr="002068FF">
          <w:rPr>
            <w:rStyle w:val="Hyperlink"/>
            <w:szCs w:val="22"/>
          </w:rPr>
          <w:t>https://bluelist.appsplatformportals.us/Framework/</w:t>
        </w:r>
      </w:hyperlink>
      <w:r w:rsidRPr="002068FF">
        <w:rPr>
          <w:szCs w:val="22"/>
        </w:rPr>
        <w:t>. We use the term “Blue UAS Cleared List” to refer to both lists.</w:t>
      </w:r>
    </w:p>
    <w:p w:rsidR="00B3117A" w:rsidP="0065691D" w14:paraId="3C998925" w14:textId="77777777">
      <w:pPr>
        <w:spacing w:after="120"/>
        <w:contextualSpacing/>
        <w:rPr>
          <w:szCs w:val="22"/>
        </w:rPr>
      </w:pPr>
    </w:p>
    <w:p w:rsidR="00877F05" w:rsidP="0065691D" w14:paraId="3D2BE2FD" w14:textId="30EDBEEC">
      <w:pPr>
        <w:spacing w:after="120"/>
        <w:contextualSpacing/>
        <w:rPr>
          <w:szCs w:val="22"/>
        </w:rPr>
      </w:pPr>
      <w:r>
        <w:rPr>
          <w:szCs w:val="22"/>
        </w:rPr>
        <w:t>^</w:t>
      </w:r>
      <w:r w:rsidRPr="00B3117A">
        <w:rPr>
          <w:szCs w:val="22"/>
        </w:rPr>
        <w:t>For purposes of inclusion of routers, we incorporate the definition</w:t>
      </w:r>
      <w:r>
        <w:rPr>
          <w:szCs w:val="22"/>
        </w:rPr>
        <w:t>s</w:t>
      </w:r>
      <w:r w:rsidRPr="00B3117A">
        <w:rPr>
          <w:szCs w:val="22"/>
        </w:rPr>
        <w:t xml:space="preserve"> included in the associated </w:t>
      </w:r>
      <w:hyperlink r:id="rId24" w:history="1">
        <w:r w:rsidRPr="000701B9">
          <w:rPr>
            <w:rStyle w:val="Hyperlink"/>
            <w:szCs w:val="22"/>
          </w:rPr>
          <w:t>National Security Determination</w:t>
        </w:r>
      </w:hyperlink>
      <w:r w:rsidRPr="00B3117A">
        <w:rPr>
          <w:szCs w:val="22"/>
        </w:rPr>
        <w:t>.</w:t>
      </w:r>
    </w:p>
    <w:p w:rsidR="005D26B0" w:rsidP="0065691D" w14:paraId="2672998A" w14:textId="77777777">
      <w:pPr>
        <w:spacing w:after="120"/>
        <w:contextualSpacing/>
        <w:rPr>
          <w:szCs w:val="22"/>
        </w:rPr>
      </w:pPr>
    </w:p>
    <w:p w:rsidR="00100DCE" w:rsidRPr="00100DCE" w:rsidP="0065691D" w14:paraId="112067FB" w14:textId="380368D1">
      <w:pPr>
        <w:spacing w:after="120"/>
        <w:contextualSpacing/>
        <w:rPr>
          <w:szCs w:val="22"/>
        </w:rPr>
      </w:pPr>
      <w:r>
        <w:rPr>
          <w:rStyle w:val="EndnoteReference"/>
          <w:szCs w:val="22"/>
        </w:rPr>
        <w:endnoteReference w:customMarkFollows="1" w:id="5"/>
        <w:t xml:space="preserve">£</w:t>
      </w:r>
      <w:r w:rsidRPr="00100DCE">
        <w:rPr>
          <w:szCs w:val="22"/>
        </w:rPr>
        <w:t xml:space="preserve">For purposes of inclusion of power inverters, we incorporate the definitions included in the associated </w:t>
      </w:r>
      <w:hyperlink r:id="rId6" w:history="1">
        <w:r w:rsidRPr="00791B90">
          <w:rPr>
            <w:rStyle w:val="Hyperlink"/>
            <w:szCs w:val="22"/>
          </w:rPr>
          <w:t>National Security Determination</w:t>
        </w:r>
      </w:hyperlink>
      <w:r w:rsidRPr="00100DCE">
        <w:rPr>
          <w:szCs w:val="22"/>
        </w:rPr>
        <w:t xml:space="preserve">.  </w:t>
      </w:r>
    </w:p>
    <w:p w:rsidR="00100DCE" w:rsidRPr="00100DCE" w:rsidP="0065691D" w14:paraId="306431C8" w14:textId="77777777">
      <w:pPr>
        <w:spacing w:after="120"/>
        <w:contextualSpacing/>
        <w:rPr>
          <w:szCs w:val="22"/>
        </w:rPr>
      </w:pPr>
    </w:p>
    <w:p w:rsidR="007E4D59" w:rsidP="00172F47" w14:paraId="51F878BF" w14:textId="11134EDA">
      <w:pPr>
        <w:spacing w:after="120"/>
        <w:contextualSpacing/>
      </w:pPr>
      <w:r w:rsidRPr="00414478">
        <w:rPr>
          <w:rStyle w:val="EndnoteReference"/>
          <w:szCs w:val="22"/>
        </w:rPr>
        <w:t>³</w:t>
      </w:r>
      <w:r>
        <w:rPr>
          <w:szCs w:val="22"/>
        </w:rPr>
        <w:t xml:space="preserve">For purposes of inclusion of advanced robotic devices, we incorporate the definitions included in the associated </w:t>
      </w:r>
      <w:hyperlink r:id="rId7" w:history="1">
        <w:r w:rsidRPr="00791B90">
          <w:rPr>
            <w:rStyle w:val="Hyperlink"/>
            <w:szCs w:val="22"/>
          </w:rPr>
          <w:t>National Security Determination</w:t>
        </w:r>
      </w:hyperlink>
      <w:r>
        <w:rPr>
          <w:szCs w:val="22"/>
        </w:rPr>
        <w:t xml:space="preserve">. </w:t>
      </w:r>
    </w:p>
    <w:p w:rsidR="007E4D59" w:rsidP="00172F47" w14:paraId="795FA67C" w14:textId="77777777">
      <w:pPr>
        <w:spacing w:after="120"/>
      </w:pPr>
    </w:p>
    <w:p w:rsidR="00D96396" w:rsidP="00172F47" w14:paraId="51E1AC65" w14:textId="77777777">
      <w:pPr>
        <w:spacing w:after="120"/>
        <w:sectPr w:rsidSect="007D435A">
          <w:footerReference w:type="first" r:id="rId25"/>
          <w:endnotePr>
            <w:numFmt w:val="decimal"/>
          </w:endnotePr>
          <w:pgSz w:w="12240" w:h="15840"/>
          <w:pgMar w:top="1440" w:right="1440" w:bottom="720" w:left="1440" w:header="630" w:footer="720" w:gutter="0"/>
          <w:pgNumType w:start="1"/>
          <w:cols w:space="720"/>
          <w:noEndnote/>
          <w:docGrid w:linePitch="299"/>
        </w:sectPr>
      </w:pPr>
    </w:p>
    <w:p w:rsidR="00D96396" w:rsidP="00D96396" w14:paraId="6015B00C" w14:textId="52AD9956">
      <w:pPr>
        <w:spacing w:after="120"/>
        <w:jc w:val="center"/>
        <w:rPr>
          <w:b/>
          <w:bCs/>
        </w:rPr>
      </w:pPr>
      <w:r>
        <w:rPr>
          <w:b/>
          <w:bCs/>
        </w:rPr>
        <w:t>APPENDIX B</w:t>
      </w:r>
    </w:p>
    <w:p w:rsidR="00D96396" w:rsidP="00D96396" w14:paraId="3B0FA9E8" w14:textId="77777777">
      <w:pPr>
        <w:spacing w:after="120"/>
        <w:jc w:val="center"/>
        <w:rPr>
          <w:b/>
          <w:bCs/>
        </w:rPr>
      </w:pPr>
    </w:p>
    <w:p w:rsidR="00D96396" w:rsidP="00414478" w14:paraId="62F5F22F" w14:textId="76ED56C9">
      <w:pPr>
        <w:widowControl/>
        <w:rPr>
          <w:b/>
          <w:bCs/>
        </w:rPr>
      </w:pPr>
      <w:r>
        <w:rPr>
          <w:b/>
          <w:bCs/>
        </w:rPr>
        <w:br w:type="page"/>
      </w:r>
      <w:r w:rsidRPr="00471594">
        <w:rPr>
          <w:b/>
          <w:bCs/>
          <w:noProof/>
        </w:rPr>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5608878" cy="7680960"/>
            <wp:effectExtent l="0" t="0" r="0" b="0"/>
            <wp:wrapSquare wrapText="bothSides"/>
            <wp:docPr id="641201462" name="Picture 11" descr="P14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1462" name="Picture 11" descr="P144#y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5608878"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6396" w:rsidP="00D96396" w14:paraId="1058EB2A" w14:textId="062F1FAD">
      <w:pPr>
        <w:spacing w:after="120"/>
        <w:jc w:val="center"/>
        <w:rPr>
          <w:b/>
          <w:bCs/>
        </w:rPr>
      </w:pPr>
      <w:r>
        <w:rPr>
          <w:b/>
          <w:bCs/>
          <w:noProof/>
        </w:rPr>
        <w:drawing>
          <wp:anchor distT="0" distB="0" distL="114300" distR="114300" simplePos="0" relativeHeight="251662336" behindDoc="0" locked="0" layoutInCell="1" allowOverlap="1">
            <wp:simplePos x="0" y="0"/>
            <wp:positionH relativeFrom="margin">
              <wp:align>center</wp:align>
            </wp:positionH>
            <wp:positionV relativeFrom="margin">
              <wp:align>center</wp:align>
            </wp:positionV>
            <wp:extent cx="5614670" cy="7681595"/>
            <wp:effectExtent l="0" t="0" r="5080" b="0"/>
            <wp:wrapSquare wrapText="bothSides"/>
            <wp:docPr id="2086830903" name="Picture 17" descr="P14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0903" name="Picture 17" descr="P145#y1"/>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5614670" cy="7681595"/>
                    </a:xfrm>
                    <a:prstGeom prst="rect">
                      <a:avLst/>
                    </a:prstGeom>
                    <a:noFill/>
                  </pic:spPr>
                </pic:pic>
              </a:graphicData>
            </a:graphic>
          </wp:anchor>
        </w:drawing>
      </w:r>
    </w:p>
    <w:p w:rsidR="007E4D59" w:rsidP="00414478" w14:paraId="425EAB2D" w14:textId="0B5F0766">
      <w:pPr>
        <w:widowControl/>
        <w:sectPr w:rsidSect="007D435A">
          <w:endnotePr>
            <w:numFmt w:val="decimal"/>
          </w:endnotePr>
          <w:pgSz w:w="12240" w:h="15840"/>
          <w:pgMar w:top="1440" w:right="1440" w:bottom="720" w:left="1440" w:header="630" w:footer="720" w:gutter="0"/>
          <w:pgNumType w:start="1"/>
          <w:cols w:space="720"/>
          <w:noEndnote/>
          <w:docGrid w:linePitch="299"/>
        </w:sectPr>
      </w:pPr>
      <w:r>
        <w:br w:type="page"/>
      </w:r>
      <w:r>
        <w:rPr>
          <w:noProof/>
        </w:rPr>
        <w:drawing>
          <wp:anchor distT="0" distB="0" distL="114300" distR="114300" simplePos="0" relativeHeight="251661312" behindDoc="0" locked="0" layoutInCell="1" allowOverlap="1">
            <wp:simplePos x="0" y="0"/>
            <wp:positionH relativeFrom="margin">
              <wp:align>center</wp:align>
            </wp:positionH>
            <wp:positionV relativeFrom="margin">
              <wp:align>center</wp:align>
            </wp:positionV>
            <wp:extent cx="5572125" cy="7681595"/>
            <wp:effectExtent l="0" t="0" r="9525" b="0"/>
            <wp:wrapSquare wrapText="bothSides"/>
            <wp:docPr id="1502703637" name="Picture 18" descr="P146#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3637" name="Picture 18" descr="P146#y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5572125" cy="7681595"/>
                    </a:xfrm>
                    <a:prstGeom prst="rect">
                      <a:avLst/>
                    </a:prstGeom>
                    <a:noFill/>
                  </pic:spPr>
                </pic:pic>
              </a:graphicData>
            </a:graphic>
          </wp:anchor>
        </w:drawing>
      </w:r>
      <w:r>
        <w:br w:type="page"/>
      </w:r>
      <w:r>
        <w:rPr>
          <w:noProof/>
        </w:rPr>
        <w:drawing>
          <wp:anchor distT="0" distB="0" distL="114300" distR="114300" simplePos="0" relativeHeight="251660288" behindDoc="0" locked="0" layoutInCell="1" allowOverlap="1">
            <wp:simplePos x="0" y="0"/>
            <wp:positionH relativeFrom="margin">
              <wp:align>center</wp:align>
            </wp:positionH>
            <wp:positionV relativeFrom="margin">
              <wp:align>center</wp:align>
            </wp:positionV>
            <wp:extent cx="5492750" cy="7681595"/>
            <wp:effectExtent l="0" t="0" r="0" b="0"/>
            <wp:wrapSquare wrapText="bothSides"/>
            <wp:docPr id="958992772" name="Picture 19" descr="P1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2772" name="Picture 19" descr="P146#y1"/>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5492750" cy="7681595"/>
                    </a:xfrm>
                    <a:prstGeom prst="rect">
                      <a:avLst/>
                    </a:prstGeom>
                    <a:noFill/>
                  </pic:spPr>
                </pic:pic>
              </a:graphicData>
            </a:graphic>
          </wp:anchor>
        </w:drawing>
      </w:r>
    </w:p>
    <w:p w:rsidR="00D96396" w:rsidP="001D7B56" w14:paraId="70DCDC66" w14:textId="2BC3483C">
      <w:pPr>
        <w:spacing w:after="120"/>
        <w:jc w:val="center"/>
        <w:rPr>
          <w:b/>
          <w:bCs/>
        </w:rPr>
      </w:pPr>
      <w:r w:rsidRPr="00F74A24">
        <w:rPr>
          <w:b/>
          <w:bCs/>
        </w:rPr>
        <w:t>APPENDIX</w:t>
      </w:r>
      <w:r>
        <w:rPr>
          <w:b/>
          <w:bCs/>
        </w:rPr>
        <w:t xml:space="preserve"> </w:t>
      </w:r>
      <w:r w:rsidR="00CF657E">
        <w:rPr>
          <w:b/>
          <w:bCs/>
        </w:rPr>
        <w:t>C</w:t>
      </w:r>
    </w:p>
    <w:bookmarkEnd w:id="0"/>
    <w:p w:rsidR="00C5335A" w:rsidP="000260EE" w14:paraId="3EFC97B5" w14:textId="63609EEA">
      <w:pPr>
        <w:widowControl/>
      </w:pPr>
      <w:r w:rsidRPr="004D3C82">
        <w:rPr>
          <w:noProof/>
        </w:rPr>
        <w:drawing>
          <wp:anchor distT="0" distB="0" distL="114300" distR="114300" simplePos="0" relativeHeight="251658240" behindDoc="0" locked="0" layoutInCell="1" allowOverlap="1">
            <wp:simplePos x="0" y="0"/>
            <wp:positionH relativeFrom="margin">
              <wp:align>center</wp:align>
            </wp:positionH>
            <wp:positionV relativeFrom="margin">
              <wp:align>center</wp:align>
            </wp:positionV>
            <wp:extent cx="5889375" cy="7680960"/>
            <wp:effectExtent l="0" t="0" r="0" b="0"/>
            <wp:wrapSquare wrapText="bothSides"/>
            <wp:docPr id="725638930" name="Picture 5" descr="P14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8930" name="Picture 5" descr="P148#y1"/>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5889375"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r w:rsidRPr="009D523E" w:rsidR="009D523E">
        <w:rPr>
          <w:noProof/>
        </w:rPr>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5913622" cy="7680960"/>
            <wp:effectExtent l="0" t="0" r="0" b="0"/>
            <wp:wrapSquare wrapText="bothSides"/>
            <wp:docPr id="345497729" name="Picture 6" descr="P14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7729" name="Picture 6" descr="P148#y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13622"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23E">
        <w:br w:type="page"/>
      </w:r>
      <w:r w:rsidRPr="00AD75F3" w:rsidR="000260EE">
        <w:rPr>
          <w:noProof/>
        </w:rPr>
        <w:drawing>
          <wp:anchor distT="0" distB="0" distL="114300" distR="114300" simplePos="0" relativeHeight="251664384" behindDoc="0" locked="0" layoutInCell="1" allowOverlap="1">
            <wp:simplePos x="0" y="0"/>
            <wp:positionH relativeFrom="margin">
              <wp:align>center</wp:align>
            </wp:positionH>
            <wp:positionV relativeFrom="margin">
              <wp:posOffset>-635</wp:posOffset>
            </wp:positionV>
            <wp:extent cx="5422450" cy="7680960"/>
            <wp:effectExtent l="0" t="0" r="6985" b="0"/>
            <wp:wrapSquare wrapText="bothSides"/>
            <wp:docPr id="299547766" name="Picture 7" descr="P148#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7766" name="Picture 7" descr="P148#y3"/>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5422450"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75F3">
        <w:br w:type="page"/>
      </w:r>
      <w:r w:rsidRPr="00CB173B" w:rsidR="00CB173B">
        <w:rPr>
          <w:noProof/>
        </w:rPr>
        <w:drawing>
          <wp:anchor distT="0" distB="0" distL="114300" distR="114300" simplePos="0" relativeHeight="251665408" behindDoc="0" locked="0" layoutInCell="1" allowOverlap="1">
            <wp:simplePos x="0" y="0"/>
            <wp:positionH relativeFrom="margin">
              <wp:align>center</wp:align>
            </wp:positionH>
            <wp:positionV relativeFrom="margin">
              <wp:align>top</wp:align>
            </wp:positionV>
            <wp:extent cx="5520664" cy="7680960"/>
            <wp:effectExtent l="0" t="0" r="4445" b="0"/>
            <wp:wrapSquare wrapText="bothSides"/>
            <wp:docPr id="2128288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88182" name="Picture 3"/>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5520664" cy="7680960"/>
                    </a:xfrm>
                    <a:prstGeom prst="rect">
                      <a:avLst/>
                    </a:prstGeom>
                    <a:noFill/>
                    <a:ln>
                      <a:noFill/>
                    </a:ln>
                  </pic:spPr>
                </pic:pic>
              </a:graphicData>
            </a:graphic>
          </wp:anchor>
        </w:drawing>
      </w:r>
      <w:r w:rsidR="00AD3C78">
        <w:br w:type="page"/>
      </w:r>
    </w:p>
    <w:sectPr w:rsidSect="00811445">
      <w:footerReference w:type="default" r:id="rId34"/>
      <w:pgSz w:w="12240" w:h="15840"/>
      <w:pgMar w:top="1360" w:right="1440" w:bottom="2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E6EF7" w14:paraId="3E5B7231" w14:textId="77777777">
      <w:pPr>
        <w:spacing w:line="20" w:lineRule="exact"/>
      </w:pPr>
    </w:p>
  </w:endnote>
  <w:endnote w:type="continuationSeparator" w:id="1">
    <w:p w:rsidR="009E6EF7" w14:paraId="7933232D" w14:textId="77777777">
      <w:r>
        <w:t xml:space="preserve"> </w:t>
      </w:r>
    </w:p>
  </w:endnote>
  <w:endnote w:type="continuationNotice" w:id="2">
    <w:p w:rsidR="009E6EF7" w14:paraId="6565C0A4" w14:textId="77777777">
      <w:r>
        <w:t xml:space="preserve"> </w:t>
      </w:r>
    </w:p>
  </w:endnote>
  <w:endnote w:id="3">
    <w:p w:rsidR="002B7210" w14:paraId="2513F122" w14:textId="3493770E">
      <w:pPr>
        <w:pStyle w:val="EndnoteText"/>
      </w:pPr>
    </w:p>
  </w:endnote>
  <w:endnote w:id="4">
    <w:p w:rsidR="00557928" w14:paraId="1FC4804C" w14:textId="373ABE00">
      <w:pPr>
        <w:pStyle w:val="EndnoteText"/>
      </w:pPr>
    </w:p>
  </w:endnote>
  <w:endnote w:id="5">
    <w:p w:rsidR="00476A7C" w:rsidP="00476A7C" w14:paraId="0B7FFAB1" w14:textId="39CC3772">
      <w:pPr>
        <w:pStyle w:val="EndnoteText"/>
      </w:pPr>
      <w:r w:rsidRPr="002E3D66">
        <w:rPr>
          <w:noProof/>
        </w:rPr>
        <w:drawing>
          <wp:inline distT="0" distB="0" distL="0" distR="0">
            <wp:extent cx="5976915" cy="3383280"/>
            <wp:effectExtent l="0" t="0" r="5080" b="7620"/>
            <wp:docPr id="1324505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5382" name="Picture 4"/>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76915" cy="3383280"/>
                    </a:xfrm>
                    <a:prstGeom prst="rect">
                      <a:avLst/>
                    </a:prstGeom>
                    <a:noFill/>
                    <a:ln>
                      <a:noFill/>
                    </a:ln>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ZWAdobeF">
    <w:altName w:val="Cambria"/>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A3BA8" w14:paraId="226BBE26" w14:textId="77777777">
    <w:pPr>
      <w:pStyle w:val="Footer"/>
      <w:framePr w:wrap="around" w:vAnchor="text" w:hAnchor="margin" w:xAlign="center" w:y="1"/>
    </w:pPr>
    <w:r>
      <w:fldChar w:fldCharType="begin"/>
    </w:r>
    <w:r>
      <w:instrText xml:space="preserve">PAGE  </w:instrText>
    </w:r>
    <w:r>
      <w:fldChar w:fldCharType="separate"/>
    </w:r>
    <w:r>
      <w:fldChar w:fldCharType="end"/>
    </w:r>
  </w:p>
  <w:p w:rsidR="00BA3BA8" w14:paraId="1A6A85B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A3BA8" w14:paraId="2666F3D0"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A3BA8" w14:paraId="0B66F8E1" w14:textId="77777777">
    <w:pPr>
      <w:pStyle w:val="Footer"/>
      <w:tabs>
        <w:tab w:val="clear" w:pos="86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D435A" w14:paraId="38DD6B41" w14:textId="77777777">
    <w:pPr>
      <w:pStyle w:val="Footer"/>
      <w:tabs>
        <w:tab w:val="clear" w:pos="86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11445" w14:paraId="4877303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E6EF7" w14:paraId="4A9C9267" w14:textId="77777777">
      <w:r>
        <w:separator/>
      </w:r>
    </w:p>
  </w:footnote>
  <w:footnote w:type="continuationSeparator" w:id="1">
    <w:p w:rsidR="009E6EF7" w14:paraId="453336E3" w14:textId="77777777">
      <w:pPr>
        <w:rPr>
          <w:sz w:val="20"/>
        </w:rPr>
      </w:pPr>
      <w:r>
        <w:rPr>
          <w:sz w:val="20"/>
        </w:rPr>
        <w:t xml:space="preserve">(Continued from previous page)  </w:t>
      </w:r>
      <w:r>
        <w:rPr>
          <w:sz w:val="20"/>
        </w:rPr>
        <w:separator/>
      </w:r>
    </w:p>
  </w:footnote>
  <w:footnote w:type="continuationNotice" w:id="2">
    <w:p w:rsidR="009E6EF7" w14:paraId="5BFEA6D6" w14:textId="77777777">
      <w:pPr>
        <w:jc w:val="right"/>
        <w:rPr>
          <w:sz w:val="20"/>
        </w:rPr>
      </w:pPr>
      <w:r>
        <w:rPr>
          <w:sz w:val="20"/>
        </w:rPr>
        <w:t>(continued….)</w:t>
      </w:r>
    </w:p>
  </w:footnote>
  <w:footnote w:id="3">
    <w:p w:rsidR="007C2612" w:rsidRPr="000B50CD" w:rsidP="003359D2" w14:paraId="45EB9295" w14:textId="1EA316B6">
      <w:pPr>
        <w:pStyle w:val="FootnoteText"/>
        <w:rPr>
          <w:color w:val="FF0000"/>
        </w:rPr>
      </w:pPr>
      <w:r w:rsidRPr="007C2612">
        <w:rPr>
          <w:rStyle w:val="FootnoteReference"/>
        </w:rPr>
        <w:footnoteRef/>
      </w:r>
      <w:r>
        <w:t xml:space="preserve"> Secure and Trusted Communications Networks Act of 2019, Pub. L. No. 116-124, 133 Stat. 158 (2020) (codified as amended at 47 U.S.C. §§ 1601-1609) (Secure Networks Act); 47 CFR §§ 1.50002, 1.50003.  For the current version of the Covered List, </w:t>
      </w:r>
      <w:r>
        <w:rPr>
          <w:i/>
          <w:iCs/>
        </w:rPr>
        <w:t>see</w:t>
      </w:r>
      <w:r>
        <w:t xml:space="preserve"> </w:t>
      </w:r>
      <w:r w:rsidRPr="007E048F">
        <w:t xml:space="preserve">Federal Communications Commission, </w:t>
      </w:r>
      <w:r w:rsidRPr="007E048F">
        <w:rPr>
          <w:i/>
          <w:iCs/>
        </w:rPr>
        <w:t>List of Equipment and Services Covered By Section 2 of The Secure Networks Act</w:t>
      </w:r>
      <w:r w:rsidRPr="007E048F">
        <w:t xml:space="preserve">, </w:t>
      </w:r>
      <w:hyperlink r:id="rId1" w:tgtFrame="_blank" w:history="1">
        <w:r w:rsidRPr="007E048F">
          <w:rPr>
            <w:rStyle w:val="Hyperlink"/>
          </w:rPr>
          <w:t>https://www.fcc.gov/supplychain/coveredlist</w:t>
        </w:r>
      </w:hyperlink>
      <w:r w:rsidRPr="007E048F">
        <w:t xml:space="preserve"> (last updated </w:t>
      </w:r>
      <w:r w:rsidR="00F8161A">
        <w:t xml:space="preserve">Mar. </w:t>
      </w:r>
      <w:r w:rsidR="00CB07A5">
        <w:t>18, 2026)</w:t>
      </w:r>
      <w:r w:rsidRPr="007E048F">
        <w:t>.</w:t>
      </w:r>
    </w:p>
  </w:footnote>
  <w:footnote w:id="4">
    <w:p w:rsidR="007C2612" w:rsidP="003359D2" w14:paraId="79633B69" w14:textId="77777777">
      <w:pPr>
        <w:pStyle w:val="FootnoteText"/>
      </w:pPr>
      <w:r>
        <w:rPr>
          <w:rStyle w:val="FootnoteReference"/>
        </w:rPr>
        <w:footnoteRef/>
      </w:r>
      <w:r>
        <w:t xml:space="preserve"> </w:t>
      </w:r>
      <w:r w:rsidRPr="00CA5C28">
        <w:t>47 U.S.C. § 1601</w:t>
      </w:r>
      <w:r>
        <w:t>.</w:t>
      </w:r>
    </w:p>
  </w:footnote>
  <w:footnote w:id="5">
    <w:p w:rsidR="00D8162F" w:rsidP="003359D2" w14:paraId="0FC5ACA0" w14:textId="77777777">
      <w:pPr>
        <w:pStyle w:val="FootnoteText"/>
      </w:pPr>
      <w:r>
        <w:rPr>
          <w:rStyle w:val="FootnoteReference"/>
        </w:rPr>
        <w:footnoteRef/>
      </w:r>
      <w:r>
        <w:t xml:space="preserve"> 47 CFR </w:t>
      </w:r>
      <w:r w:rsidRPr="002A57B7">
        <w:t>§§</w:t>
      </w:r>
      <w:r>
        <w:t xml:space="preserve"> 1.50002(a), 1.50003</w:t>
      </w:r>
      <w:r w:rsidRPr="0009544B">
        <w:t xml:space="preserve">; </w:t>
      </w:r>
      <w:r w:rsidRPr="009D00B7">
        <w:rPr>
          <w:i/>
          <w:iCs/>
        </w:rPr>
        <w:t>see</w:t>
      </w:r>
      <w:r w:rsidRPr="0009544B">
        <w:t xml:space="preserve"> </w:t>
      </w:r>
      <w:r>
        <w:rPr>
          <w:i/>
          <w:iCs/>
        </w:rPr>
        <w:t xml:space="preserve">also </w:t>
      </w:r>
      <w:r w:rsidRPr="00901034">
        <w:rPr>
          <w:i/>
          <w:iCs/>
        </w:rPr>
        <w:t>Protecting Against National Security Threats to the Communications Supply Chain Through FCC Programs</w:t>
      </w:r>
      <w:r w:rsidRPr="0009544B">
        <w:t>, WC Docket No. 18-89, Second Report and Order, 35 FCC Rcd 14284 (2020) (</w:t>
      </w:r>
      <w:r w:rsidRPr="009D00B7">
        <w:rPr>
          <w:i/>
          <w:iCs/>
        </w:rPr>
        <w:t>Supply Chain Second Report and Order</w:t>
      </w:r>
      <w:r w:rsidRPr="0009544B">
        <w:t>)</w:t>
      </w:r>
      <w:r>
        <w:t>.</w:t>
      </w:r>
    </w:p>
  </w:footnote>
  <w:footnote w:id="6">
    <w:p w:rsidR="00A0540C" w14:paraId="16D20301" w14:textId="4EC5CF81">
      <w:pPr>
        <w:pStyle w:val="FootnoteText"/>
      </w:pPr>
      <w:r>
        <w:rPr>
          <w:rStyle w:val="FootnoteReference"/>
        </w:rPr>
        <w:footnoteRef/>
      </w:r>
      <w:r>
        <w:t xml:space="preserve"> </w:t>
      </w:r>
      <w:r w:rsidRPr="00FE725F">
        <w:rPr>
          <w:i/>
        </w:rPr>
        <w:t xml:space="preserve">See </w:t>
      </w:r>
      <w:r w:rsidRPr="00FE725F">
        <w:t xml:space="preserve">47 U.S.C. § 1601(c)(1).  </w:t>
      </w:r>
    </w:p>
  </w:footnote>
  <w:footnote w:id="7">
    <w:p w:rsidR="00863335" w14:paraId="2ECD6D04" w14:textId="16A54063">
      <w:pPr>
        <w:pStyle w:val="FootnoteText"/>
      </w:pPr>
      <w:r>
        <w:rPr>
          <w:rStyle w:val="FootnoteReference"/>
        </w:rPr>
        <w:footnoteRef/>
      </w:r>
      <w:r>
        <w:t xml:space="preserve"> The Power Inverters National Security Determination is attached as Appendix </w:t>
      </w:r>
      <w:r w:rsidR="00DC54A8">
        <w:t>B</w:t>
      </w:r>
      <w:r>
        <w:t xml:space="preserve"> to this Public Notice. </w:t>
      </w:r>
    </w:p>
  </w:footnote>
  <w:footnote w:id="8">
    <w:p w:rsidR="00FC3CC2" w14:paraId="2CD3F5B7" w14:textId="43373F9D">
      <w:pPr>
        <w:pStyle w:val="FootnoteText"/>
      </w:pPr>
      <w:r>
        <w:rPr>
          <w:rStyle w:val="FootnoteReference"/>
        </w:rPr>
        <w:footnoteRef/>
      </w:r>
      <w:r>
        <w:t xml:space="preserve"> </w:t>
      </w:r>
      <w:r w:rsidR="00F0765B">
        <w:t xml:space="preserve">Power Inverters National Security Determination at </w:t>
      </w:r>
      <w:r w:rsidR="00A65F25">
        <w:t xml:space="preserve">2-3. </w:t>
      </w:r>
    </w:p>
  </w:footnote>
  <w:footnote w:id="9">
    <w:p w:rsidR="008839B8" w14:paraId="76BE1346" w14:textId="545846FC">
      <w:pPr>
        <w:pStyle w:val="FootnoteText"/>
      </w:pPr>
      <w:r>
        <w:rPr>
          <w:rStyle w:val="FootnoteReference"/>
        </w:rPr>
        <w:footnoteRef/>
      </w:r>
      <w:r>
        <w:t xml:space="preserve"> </w:t>
      </w:r>
      <w:r w:rsidRPr="008839B8">
        <w:rPr>
          <w:i/>
          <w:iCs/>
        </w:rPr>
        <w:t>Id</w:t>
      </w:r>
      <w:r>
        <w:t xml:space="preserve">. at 2. </w:t>
      </w:r>
    </w:p>
  </w:footnote>
  <w:footnote w:id="10">
    <w:p w:rsidR="008A79A9" w14:paraId="4D70F339" w14:textId="21F841BF">
      <w:pPr>
        <w:pStyle w:val="FootnoteText"/>
      </w:pPr>
      <w:r>
        <w:rPr>
          <w:rStyle w:val="FootnoteReference"/>
        </w:rPr>
        <w:footnoteRef/>
      </w:r>
      <w:r>
        <w:t xml:space="preserve"> </w:t>
      </w:r>
      <w:r w:rsidRPr="001E18DE" w:rsidR="001E18DE">
        <w:rPr>
          <w:i/>
          <w:iCs/>
        </w:rPr>
        <w:t>Id</w:t>
      </w:r>
      <w:r w:rsidR="001E18DE">
        <w:t xml:space="preserve">. at 2. </w:t>
      </w:r>
    </w:p>
  </w:footnote>
  <w:footnote w:id="11">
    <w:p w:rsidR="00863335" w14:paraId="3412C7C1" w14:textId="5CA3DEB8">
      <w:pPr>
        <w:pStyle w:val="FootnoteText"/>
      </w:pPr>
      <w:r>
        <w:rPr>
          <w:rStyle w:val="FootnoteReference"/>
        </w:rPr>
        <w:footnoteRef/>
      </w:r>
      <w:r>
        <w:t xml:space="preserve"> The Advanced Robotic Devices National Security </w:t>
      </w:r>
      <w:r w:rsidR="00D10815">
        <w:t xml:space="preserve">Determination is attached as Appendix </w:t>
      </w:r>
      <w:r w:rsidR="00DC54A8">
        <w:t>C</w:t>
      </w:r>
      <w:r w:rsidR="00D10815">
        <w:t xml:space="preserve"> to this Public Notice. </w:t>
      </w:r>
    </w:p>
  </w:footnote>
  <w:footnote w:id="12">
    <w:p w:rsidR="006B2335" w14:paraId="622122FF" w14:textId="5C320A31">
      <w:pPr>
        <w:pStyle w:val="FootnoteText"/>
      </w:pPr>
      <w:r>
        <w:rPr>
          <w:rStyle w:val="FootnoteReference"/>
        </w:rPr>
        <w:footnoteRef/>
      </w:r>
      <w:r>
        <w:t xml:space="preserve"> </w:t>
      </w:r>
      <w:r w:rsidR="00700C1E">
        <w:t xml:space="preserve">Advanced Robotic Devices National Security Determination at </w:t>
      </w:r>
      <w:r w:rsidR="00027F4B">
        <w:t>2-</w:t>
      </w:r>
      <w:r w:rsidR="00700C1E">
        <w:t xml:space="preserve">3. </w:t>
      </w:r>
    </w:p>
  </w:footnote>
  <w:footnote w:id="13">
    <w:p w:rsidR="00362FDE" w14:paraId="09F92AF5" w14:textId="587115DB">
      <w:pPr>
        <w:pStyle w:val="FootnoteText"/>
      </w:pPr>
      <w:r>
        <w:rPr>
          <w:rStyle w:val="FootnoteReference"/>
        </w:rPr>
        <w:footnoteRef/>
      </w:r>
      <w:r>
        <w:t xml:space="preserve"> </w:t>
      </w:r>
      <w:r w:rsidRPr="00362FDE">
        <w:rPr>
          <w:i/>
          <w:iCs/>
        </w:rPr>
        <w:t>Id</w:t>
      </w:r>
      <w:r>
        <w:t>. at 2.</w:t>
      </w:r>
    </w:p>
  </w:footnote>
  <w:footnote w:id="14">
    <w:p w:rsidR="00F44D7C" w:rsidP="00F44D7C" w14:paraId="4B5D0E78" w14:textId="25F65AE7">
      <w:pPr>
        <w:pStyle w:val="FootnoteText"/>
      </w:pPr>
      <w:r>
        <w:rPr>
          <w:rStyle w:val="FootnoteReference"/>
        </w:rPr>
        <w:footnoteRef/>
      </w:r>
      <w:r>
        <w:t xml:space="preserve"> </w:t>
      </w:r>
      <w:r w:rsidR="00826EA1">
        <w:t xml:space="preserve">Advanced Robotic Devices National Security Determination </w:t>
      </w:r>
      <w:r>
        <w:t xml:space="preserve">at </w:t>
      </w:r>
      <w:r w:rsidR="00AC76F9">
        <w:t>4</w:t>
      </w:r>
      <w:r>
        <w:t>.</w:t>
      </w:r>
    </w:p>
  </w:footnote>
  <w:footnote w:id="15">
    <w:p w:rsidR="00836753" w:rsidP="00836753" w14:paraId="48328237" w14:textId="69F62E21">
      <w:pPr>
        <w:pStyle w:val="FootnoteText"/>
      </w:pPr>
      <w:r>
        <w:rPr>
          <w:rStyle w:val="FootnoteReference"/>
        </w:rPr>
        <w:footnoteRef/>
      </w:r>
      <w:r w:rsidR="007F7C8B">
        <w:rPr>
          <w:color w:val="000000"/>
          <w:kern w:val="28"/>
          <w:lang w:eastAsia="ja-JP"/>
        </w:rPr>
        <w:t xml:space="preserve"> </w:t>
      </w:r>
      <w:r w:rsidR="009A4277">
        <w:rPr>
          <w:color w:val="000000"/>
          <w:kern w:val="28"/>
          <w:lang w:eastAsia="ja-JP"/>
        </w:rPr>
        <w:t xml:space="preserve">47 U.S.C. </w:t>
      </w:r>
      <w:r w:rsidR="009A4277">
        <w:t>§ 1601(</w:t>
      </w:r>
      <w:r w:rsidR="005C4F4C">
        <w:t>c).</w:t>
      </w:r>
      <w:r w:rsidRPr="009914BC">
        <w:rPr>
          <w:color w:val="000000"/>
          <w:kern w:val="28"/>
          <w:lang w:eastAsia="ja-JP"/>
        </w:rPr>
        <w:t xml:space="preserve">  </w:t>
      </w:r>
      <w:r>
        <w:t xml:space="preserve"> </w:t>
      </w:r>
    </w:p>
  </w:footnote>
  <w:footnote w:id="16">
    <w:p w:rsidR="00836753" w:rsidP="00836753" w14:paraId="54BA5783" w14:textId="515B24C7">
      <w:pPr>
        <w:pStyle w:val="FootnoteText"/>
        <w:spacing w:before="120"/>
      </w:pPr>
      <w:r>
        <w:rPr>
          <w:rStyle w:val="FootnoteReference"/>
        </w:rPr>
        <w:footnoteRef/>
      </w:r>
      <w:r>
        <w:t xml:space="preserve"> 47 U.S.C. § 1601(b)-(d)</w:t>
      </w:r>
      <w:r w:rsidRPr="00B07C8F">
        <w:t>.</w:t>
      </w:r>
      <w:r>
        <w:t xml:space="preserve">  </w:t>
      </w:r>
    </w:p>
  </w:footnote>
  <w:footnote w:id="17">
    <w:p w:rsidR="00836753" w:rsidRPr="00033494" w:rsidP="00836753" w14:paraId="4D1C4472" w14:textId="46B2F661">
      <w:pPr>
        <w:pStyle w:val="FootnoteText"/>
        <w:spacing w:before="120"/>
      </w:pPr>
      <w:r w:rsidRPr="00836753">
        <w:rPr>
          <w:rStyle w:val="FootnoteReference"/>
          <w:sz w:val="20"/>
        </w:rPr>
        <w:footnoteRef/>
      </w:r>
      <w:r w:rsidRPr="00033494">
        <w:t xml:space="preserve"> 47 CFR §§ 1.50002</w:t>
      </w:r>
      <w:r>
        <w:t>(a)</w:t>
      </w:r>
      <w:r w:rsidRPr="00033494">
        <w:t>, 1.50003.</w:t>
      </w:r>
      <w:r>
        <w:t xml:space="preserve">  </w:t>
      </w:r>
      <w:r>
        <w:rPr>
          <w:i/>
          <w:iCs/>
        </w:rPr>
        <w:t xml:space="preserve">See </w:t>
      </w:r>
      <w:bookmarkStart w:id="1" w:name="_Hlk168823758"/>
      <w:r>
        <w:rPr>
          <w:i/>
          <w:iCs/>
        </w:rPr>
        <w:t>Supply Chain Second Report and Order</w:t>
      </w:r>
      <w:r>
        <w:t xml:space="preserve">, 35 FCC Rcd </w:t>
      </w:r>
      <w:bookmarkEnd w:id="1"/>
      <w:r w:rsidR="00F87ABF">
        <w:t xml:space="preserve">at </w:t>
      </w:r>
      <w:r w:rsidRPr="00033494">
        <w:t>1</w:t>
      </w:r>
      <w:r>
        <w:t>4317, 14319, 14325</w:t>
      </w:r>
      <w:r w:rsidRPr="00033494">
        <w:t xml:space="preserve">, paras. </w:t>
      </w:r>
      <w:r>
        <w:t xml:space="preserve">72, 77, </w:t>
      </w:r>
      <w:r w:rsidRPr="00033494">
        <w:t>92</w:t>
      </w:r>
      <w:r>
        <w:t>.</w:t>
      </w:r>
    </w:p>
  </w:footnote>
  <w:footnote w:id="18">
    <w:p w:rsidR="00836753" w:rsidRPr="00033494" w:rsidP="00836753" w14:paraId="507AB41C" w14:textId="77777777">
      <w:pPr>
        <w:pStyle w:val="FootnoteText"/>
      </w:pPr>
      <w:r w:rsidRPr="00836753">
        <w:rPr>
          <w:rStyle w:val="FootnoteReference"/>
        </w:rPr>
        <w:footnoteRef/>
      </w:r>
      <w:r w:rsidRPr="00033494">
        <w:t xml:space="preserve"> 47 CFR § 2.903(a).</w:t>
      </w:r>
    </w:p>
  </w:footnote>
  <w:footnote w:id="19">
    <w:p w:rsidR="0026424E" w14:paraId="4B3D690D" w14:textId="0AC8BE1B">
      <w:pPr>
        <w:pStyle w:val="FootnoteText"/>
      </w:pPr>
      <w:r>
        <w:rPr>
          <w:rStyle w:val="FootnoteReference"/>
        </w:rPr>
        <w:footnoteRef/>
      </w:r>
      <w:r>
        <w:t xml:space="preserve"> 47 CFR </w:t>
      </w:r>
      <w:r w:rsidRPr="00033494">
        <w:t>§</w:t>
      </w:r>
      <w:r>
        <w:t xml:space="preserve"> 2.911(d)(5)(i).  </w:t>
      </w:r>
    </w:p>
  </w:footnote>
  <w:footnote w:id="20">
    <w:p w:rsidR="00836753" w:rsidP="00836753" w14:paraId="0F07C950" w14:textId="77777777">
      <w:pPr>
        <w:pStyle w:val="FootnoteText"/>
      </w:pPr>
      <w:r>
        <w:rPr>
          <w:rStyle w:val="FootnoteReference"/>
        </w:rPr>
        <w:footnoteRef/>
      </w:r>
      <w:r>
        <w:t xml:space="preserve"> </w:t>
      </w:r>
      <w:r>
        <w:rPr>
          <w:i/>
          <w:iCs/>
        </w:rPr>
        <w:t xml:space="preserve">See </w:t>
      </w:r>
      <w:r>
        <w:t xml:space="preserve">47 CFR §§ 2.903, 2.906, 2.907, 2.911, 2.929, 2.932, 2.938, 2.1033, 2.1043. </w:t>
      </w:r>
    </w:p>
  </w:footnote>
  <w:footnote w:id="21">
    <w:p w:rsidR="00836753" w:rsidRPr="00532D57" w:rsidP="00836753" w14:paraId="202007CA" w14:textId="1B094018">
      <w:pPr>
        <w:spacing w:before="120"/>
        <w:rPr>
          <w:snapToGrid/>
          <w:kern w:val="0"/>
          <w:sz w:val="20"/>
        </w:rPr>
      </w:pPr>
      <w:r w:rsidRPr="00B5055B">
        <w:rPr>
          <w:rStyle w:val="FootnoteReference"/>
          <w:sz w:val="20"/>
        </w:rPr>
        <w:footnoteRef/>
      </w:r>
      <w:r w:rsidRPr="00B5055B">
        <w:rPr>
          <w:sz w:val="20"/>
        </w:rPr>
        <w:t xml:space="preserve"> </w:t>
      </w:r>
      <w:r w:rsidRPr="005E4812">
        <w:rPr>
          <w:sz w:val="20"/>
        </w:rPr>
        <w:t xml:space="preserve">The FCC website also contains a list of </w:t>
      </w:r>
      <w:r>
        <w:rPr>
          <w:sz w:val="20"/>
        </w:rPr>
        <w:t xml:space="preserve">certain </w:t>
      </w:r>
      <w:r w:rsidRPr="005E4812">
        <w:rPr>
          <w:sz w:val="20"/>
        </w:rPr>
        <w:t xml:space="preserve">affiliates and subsidiaries of entities identified on the Covered List.  The list of affiliates and subsidiaries does not constitute a comprehensive list of all entities that the Commission may find, upon further examination, to qualify as relevant subsidiaries or affiliates of entities on the Covered List.  Those entities, whether or not they currently provide covered communications equipment or services, are subject to the Commission’s prohibitions, such as the prohibition against obtaining authorizations for covered equipment.  </w:t>
      </w:r>
      <w:r w:rsidRPr="005E4812">
        <w:rPr>
          <w:i/>
          <w:iCs/>
          <w:sz w:val="20"/>
        </w:rPr>
        <w:t xml:space="preserve">See </w:t>
      </w:r>
      <w:r w:rsidRPr="00F85B34">
        <w:rPr>
          <w:i/>
          <w:iCs/>
          <w:sz w:val="20"/>
        </w:rPr>
        <w:t>Reminder: Communications Equipment And Services On The Covered List Pose An Unacceptable Risk To National Security</w:t>
      </w:r>
      <w:r w:rsidRPr="005E4812">
        <w:rPr>
          <w:sz w:val="20"/>
        </w:rPr>
        <w:t xml:space="preserve">, </w:t>
      </w:r>
      <w:r w:rsidRPr="00F85B34">
        <w:rPr>
          <w:sz w:val="20"/>
        </w:rPr>
        <w:t>National Security Advisory No. 2025-01, DA 25-927,</w:t>
      </w:r>
      <w:r w:rsidRPr="005E4812">
        <w:rPr>
          <w:i/>
          <w:iCs/>
          <w:sz w:val="20"/>
        </w:rPr>
        <w:t xml:space="preserve"> </w:t>
      </w:r>
      <w:r w:rsidRPr="005E4812">
        <w:rPr>
          <w:sz w:val="20"/>
        </w:rPr>
        <w:t>note 3 (</w:t>
      </w:r>
      <w:r w:rsidR="00F85B34">
        <w:rPr>
          <w:sz w:val="20"/>
        </w:rPr>
        <w:t>PSHSB</w:t>
      </w:r>
      <w:r w:rsidRPr="005E4812">
        <w:rPr>
          <w:sz w:val="20"/>
        </w:rPr>
        <w:t xml:space="preserve"> Oct</w:t>
      </w:r>
      <w:r w:rsidR="00F85B34">
        <w:rPr>
          <w:sz w:val="20"/>
        </w:rPr>
        <w:t>.</w:t>
      </w:r>
      <w:r w:rsidRPr="005E4812">
        <w:rPr>
          <w:sz w:val="20"/>
        </w:rPr>
        <w:t xml:space="preserve"> 14, 2025)</w:t>
      </w:r>
      <w:r w:rsidRPr="005E4812">
        <w:rPr>
          <w:snapToGrid/>
          <w:kern w:val="0"/>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F718B" w:rsidRPr="007166E4" w:rsidP="006F718B" w14:paraId="6F293F0C" w14:textId="76EB3D22">
    <w:pPr>
      <w:tabs>
        <w:tab w:val="center" w:pos="4680"/>
        <w:tab w:val="right" w:pos="9360"/>
      </w:tabs>
      <w:jc w:val="center"/>
      <w:rPr>
        <w:szCs w:val="22"/>
      </w:rPr>
    </w:pPr>
    <w:r>
      <w:rPr>
        <w:b/>
        <w:szCs w:val="22"/>
      </w:rPr>
      <w:tab/>
    </w:r>
    <w:r w:rsidRPr="007166E4">
      <w:rPr>
        <w:b/>
        <w:szCs w:val="22"/>
      </w:rPr>
      <w:t>Federal Communications Commission</w:t>
    </w:r>
    <w:r w:rsidRPr="007166E4">
      <w:rPr>
        <w:b/>
        <w:szCs w:val="22"/>
      </w:rPr>
      <w:tab/>
    </w:r>
    <w:r w:rsidRPr="00165E68">
      <w:rPr>
        <w:b/>
        <w:szCs w:val="22"/>
      </w:rPr>
      <w:t>DA 26-</w:t>
    </w:r>
    <w:r>
      <w:rPr>
        <w:b/>
        <w:szCs w:val="22"/>
      </w:rPr>
      <w:t>7</w:t>
    </w:r>
    <w:r w:rsidR="009B7326">
      <w:rPr>
        <w:b/>
        <w:szCs w:val="22"/>
      </w:rPr>
      <w:t>86</w:t>
    </w:r>
  </w:p>
  <w:p w:rsidR="00BA3BA8" w:rsidP="00FF4BD6" w14:paraId="1E709C3D" w14:textId="77777777">
    <w:pPr>
      <w:tabs>
        <w:tab w:val="left" w:pos="-720"/>
      </w:tabs>
      <w:suppressAutoHyphens/>
      <w:spacing w:line="19" w:lineRule="exact"/>
      <w:rPr>
        <w:rFonts w:ascii="Arial" w:hAnsi="Arial" w:cs="Arial"/>
        <w:b/>
        <w:sz w:val="20"/>
      </w:rPr>
    </w:pPr>
    <w:r>
      <w:rPr>
        <w:noProof/>
      </w:rPr>
      <mc:AlternateContent>
        <mc:Choice Requires="wps">
          <w:drawing>
            <wp:anchor distT="0" distB="0" distL="114300" distR="114300" simplePos="0" relativeHeight="251658240" behindDoc="1" locked="0" layoutInCell="0" allowOverlap="1">
              <wp:simplePos x="0" y="0"/>
              <wp:positionH relativeFrom="margin">
                <wp:posOffset>0</wp:posOffset>
              </wp:positionH>
              <wp:positionV relativeFrom="paragraph">
                <wp:posOffset>0</wp:posOffset>
              </wp:positionV>
              <wp:extent cx="5943600" cy="12065"/>
              <wp:effectExtent l="0" t="0" r="0" b="0"/>
              <wp:wrapNone/>
              <wp:docPr id="15"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943600" cy="12065"/>
                      </a:xfrm>
                      <a:prstGeom prst="rect">
                        <a:avLst/>
                      </a:prstGeom>
                      <a:solidFill>
                        <a:srgbClr val="000000"/>
                      </a:solidFill>
                      <a:ln>
                        <a:noFill/>
                      </a:ln>
                      <a:effectLst/>
                      <a:extLst>
                        <a:ext xmlns:a="http://schemas.openxmlformats.org/drawingml/2006/main" uri="{91240B29-F687-4F45-9708-019B960494DF}">
                          <a14:hiddenLine xmlns:a14="http://schemas.microsoft.com/office/drawing/2010/main" w="635">
                            <a:solidFill>
                              <a:srgbClr val="000000"/>
                            </a:solidFill>
                            <a:miter lim="800000"/>
                            <a:headEnd/>
                            <a:tailEnd/>
                          </a14:hiddenLine>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3" o:spid="_x0000_s2049" style="width:468pt;height:0.95pt;margin-top:0;margin-left:0;mso-height-percent:0;mso-height-relative:page;mso-position-horizontal-relative:margin;mso-width-percent:0;mso-width-relative:page;mso-wrap-distance-bottom:0;mso-wrap-distance-left:9pt;mso-wrap-distance-right:9pt;mso-wrap-distance-top:0;mso-wrap-style:square;position:absolute;visibility:visible;v-text-anchor:top;z-index:-251657216" o:allowincell="f" fillcolor="black" stroked="f" strokeweight="0.05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D048A" w:rsidP="00ED048A" w14:paraId="4609B64C" w14:textId="7011C690">
    <w:pPr>
      <w:tabs>
        <w:tab w:val="left" w:pos="-720"/>
      </w:tabs>
      <w:suppressAutoHyphens/>
      <w:spacing w:line="19" w:lineRule="exact"/>
      <w:rPr>
        <w:spacing w:val="-2"/>
      </w:rPr>
    </w:pPr>
    <w:r>
      <w:rPr>
        <w:noProof/>
      </w:rPr>
      <w:drawing>
        <wp:inline distT="0" distB="0" distL="0" distR="0">
          <wp:extent cx="5943600" cy="1426210"/>
          <wp:effectExtent l="0" t="0" r="0" b="2540"/>
          <wp:docPr id="1564390678" name="Picture 1564390678"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0678" name="Picture 1" descr="Text&#10;&#10;AI-generated content may be incorrect."/>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1426210"/>
                  </a:xfrm>
                  <a:prstGeom prst="rect">
                    <a:avLst/>
                  </a:prstGeom>
                  <a:noFill/>
                  <a:ln>
                    <a:noFill/>
                  </a:ln>
                </pic:spPr>
              </pic:pic>
            </a:graphicData>
          </a:graphic>
        </wp:inline>
      </w:drawing>
    </w:r>
    <w:r>
      <w:rPr>
        <w:noProof/>
      </w:rPr>
      <w:drawing>
        <wp:inline distT="0" distB="0" distL="0" distR="0">
          <wp:extent cx="5943600" cy="1426210"/>
          <wp:effectExtent l="0" t="0" r="0" b="2540"/>
          <wp:docPr id="1"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AI-generated content may be incorrect."/>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1426210"/>
                  </a:xfrm>
                  <a:prstGeom prst="rect">
                    <a:avLst/>
                  </a:prstGeom>
                  <a:noFill/>
                  <a:ln>
                    <a:noFill/>
                  </a:ln>
                </pic:spPr>
              </pic:pic>
            </a:graphicData>
          </a:graphic>
        </wp:inline>
      </w:drawing>
    </w:r>
    <w:r>
      <w:rPr>
        <w:noProof/>
      </w:rPr>
      <mc:AlternateContent>
        <mc:Choice Requires="wps">
          <w:drawing>
            <wp:anchor distT="0" distB="0" distL="114300" distR="114300" simplePos="0" relativeHeight="251660288" behindDoc="1" locked="0" layoutInCell="0" allowOverlap="1">
              <wp:simplePos x="0" y="0"/>
              <wp:positionH relativeFrom="margin">
                <wp:posOffset>0</wp:posOffset>
              </wp:positionH>
              <wp:positionV relativeFrom="paragraph">
                <wp:posOffset>0</wp:posOffset>
              </wp:positionV>
              <wp:extent cx="5943600" cy="12065"/>
              <wp:effectExtent l="0" t="0" r="0" b="0"/>
              <wp:wrapNone/>
              <wp:docPr id="1331116554"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943600" cy="12065"/>
                      </a:xfrm>
                      <a:prstGeom prst="rect">
                        <a:avLst/>
                      </a:prstGeom>
                      <a:solidFill>
                        <a:srgbClr val="000000"/>
                      </a:solidFill>
                      <a:ln>
                        <a:noFill/>
                      </a:ln>
                      <a:effectLst/>
                      <a:extLst>
                        <a:ext xmlns:a="http://schemas.openxmlformats.org/drawingml/2006/main" uri="{91240B29-F687-4F45-9708-019B960494DF}">
                          <a14:hiddenLine xmlns:a14="http://schemas.microsoft.com/office/drawing/2010/main" w="635">
                            <a:solidFill>
                              <a:srgbClr val="000000"/>
                            </a:solidFill>
                            <a:miter lim="800000"/>
                            <a:headEnd/>
                            <a:tailEnd/>
                          </a14:hiddenLine>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3" o:spid="_x0000_s2050" style="width:468pt;height:0.95pt;margin-top:0;margin-left:0;mso-height-percent:0;mso-height-relative:page;mso-position-horizontal-relative:margin;mso-width-percent:0;mso-width-relative:page;mso-wrap-distance-bottom:0;mso-wrap-distance-left:9pt;mso-wrap-distance-right:9pt;mso-wrap-distance-top:0;mso-wrap-style:square;position:absolute;visibility:visible;v-text-anchor:top;z-index:-251655168" o:allowincell="f" fillcolor="black" stroked="f" strokeweight="0.05pt">
              <w10:wrap anchorx="margin"/>
            </v:rect>
          </w:pict>
        </mc:Fallback>
      </mc:AlternateContent>
    </w:r>
  </w:p>
  <w:p w:rsidR="00ED048A" w:rsidP="00ED048A" w14:paraId="7DA34E42" w14:textId="4674E900">
    <w:pPr>
      <w:spacing w:before="40"/>
      <w:rPr>
        <w:rFonts w:ascii="Arial" w:hAnsi="Arial" w:cs="Arial"/>
        <w:b/>
        <w:sz w:val="20"/>
      </w:rPr>
    </w:pPr>
    <w:r w:rsidRPr="00D009F4">
      <w:rPr>
        <w:noProof/>
      </w:rPr>
      <w:drawing>
        <wp:inline distT="0" distB="0" distL="0" distR="0">
          <wp:extent cx="5943600" cy="1426210"/>
          <wp:effectExtent l="0" t="0" r="0" b="2540"/>
          <wp:docPr id="1028230955" name="Picture 1028230955"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0955" name="Picture 1" descr="Text&#10;&#10;AI-generated content may be incorrect."/>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14262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67AC95C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E1C33D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D70B0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120F022"/>
    <w:lvl w:ilvl="0">
      <w:start w:val="1"/>
      <w:numFmt w:val="decimal"/>
      <w:pStyle w:val="ListNumber2"/>
      <w:lvlText w:val="%1."/>
      <w:lvlJc w:val="left"/>
      <w:pPr>
        <w:tabs>
          <w:tab w:val="num" w:pos="720"/>
        </w:tabs>
        <w:ind w:left="720" w:hanging="360"/>
      </w:pPr>
    </w:lvl>
  </w:abstractNum>
  <w:abstractNum w:abstractNumId="4">
    <w:nsid w:val="FFFFFF80"/>
    <w:multiLevelType w:val="singleLevel"/>
    <w:tmpl w:val="15E416A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07441E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304352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27E55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9B0C2AC"/>
    <w:lvl w:ilvl="0">
      <w:start w:val="1"/>
      <w:numFmt w:val="decimal"/>
      <w:pStyle w:val="ListNumber"/>
      <w:lvlText w:val="%1."/>
      <w:lvlJc w:val="left"/>
      <w:pPr>
        <w:tabs>
          <w:tab w:val="num" w:pos="360"/>
        </w:tabs>
        <w:ind w:left="360" w:hanging="360"/>
      </w:pPr>
    </w:lvl>
  </w:abstractNum>
  <w:abstractNum w:abstractNumId="9">
    <w:nsid w:val="FFFFFF89"/>
    <w:multiLevelType w:val="singleLevel"/>
    <w:tmpl w:val="0CB4BB2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84B453C"/>
    <w:multiLevelType w:val="singleLevel"/>
    <w:tmpl w:val="40A8E97A"/>
    <w:lvl w:ilvl="0">
      <w:start w:val="1"/>
      <w:numFmt w:val="decimal"/>
      <w:lvlText w:val="%1."/>
      <w:lvlJc w:val="left"/>
      <w:pPr>
        <w:tabs>
          <w:tab w:val="num" w:pos="1080"/>
        </w:tabs>
        <w:ind w:left="0" w:firstLine="720"/>
      </w:pPr>
    </w:lvl>
  </w:abstractNum>
  <w:abstractNum w:abstractNumId="11">
    <w:nsid w:val="23F40A0F"/>
    <w:multiLevelType w:val="singleLevel"/>
    <w:tmpl w:val="3244DD0A"/>
    <w:lvl w:ilvl="0">
      <w:start w:val="1"/>
      <w:numFmt w:val="bullet"/>
      <w:pStyle w:val="Bullet"/>
      <w:lvlText w:val=""/>
      <w:lvlJc w:val="left"/>
      <w:pPr>
        <w:tabs>
          <w:tab w:val="num" w:pos="360"/>
        </w:tabs>
        <w:ind w:left="360" w:hanging="360"/>
      </w:pPr>
      <w:rPr>
        <w:rFonts w:ascii="Symbol" w:hAnsi="Symbol" w:hint="default"/>
      </w:rPr>
    </w:lvl>
  </w:abstractNum>
  <w:abstractNum w:abstractNumId="12">
    <w:nsid w:val="248246F3"/>
    <w:multiLevelType w:val="singleLevel"/>
    <w:tmpl w:val="B1F45678"/>
    <w:lvl w:ilvl="0">
      <w:start w:val="1"/>
      <w:numFmt w:val="decimal"/>
      <w:lvlText w:val="%1."/>
      <w:lvlJc w:val="left"/>
      <w:pPr>
        <w:tabs>
          <w:tab w:val="num" w:pos="1080"/>
        </w:tabs>
        <w:ind w:left="0" w:firstLine="720"/>
      </w:pPr>
    </w:lvl>
  </w:abstractNum>
  <w:abstractNum w:abstractNumId="13">
    <w:nsid w:val="27E06CBB"/>
    <w:multiLevelType w:val="multilevel"/>
    <w:tmpl w:val="F1A86982"/>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4">
    <w:nsid w:val="28D40EB3"/>
    <w:multiLevelType w:val="hybridMultilevel"/>
    <w:tmpl w:val="4FAA8120"/>
    <w:lvl w:ilvl="0">
      <w:start w:val="1"/>
      <w:numFmt w:val="decimal"/>
      <w:lvlText w:val="%1."/>
      <w:lvlJc w:val="left"/>
      <w:pPr>
        <w:ind w:left="720" w:hanging="360"/>
      </w:pPr>
      <w:rPr>
        <w:rFonts w:ascii="Times New Roman" w:eastAsia="Times New Roman" w:hAnsi="Times New Roman" w:cs="Times New Roman"/>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42340974"/>
    <w:multiLevelType w:val="hybridMultilevel"/>
    <w:tmpl w:val="35AC791E"/>
    <w:lvl w:ilvl="0">
      <w:start w:val="3"/>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2"/>
      <w:numFmt w:val="lowerLetter"/>
      <w:lvlText w:val="%2."/>
      <w:lvlJc w:val="left"/>
      <w:pPr>
        <w:ind w:left="1080" w:hanging="360"/>
      </w:pPr>
      <w:rPr>
        <w:rFonts w:ascii="Times New Roman" w:eastAsia="Times New Roman" w:hAnsi="Times New Roman" w:cs="Times New Roman" w:hint="default"/>
        <w:b w:val="0"/>
        <w:bCs w:val="0"/>
        <w:i w:val="0"/>
        <w:iCs w:val="0"/>
        <w:spacing w:val="-1"/>
        <w:w w:val="100"/>
        <w:sz w:val="24"/>
        <w:szCs w:val="24"/>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16">
    <w:nsid w:val="4C1B741E"/>
    <w:multiLevelType w:val="hybridMultilevel"/>
    <w:tmpl w:val="6D20E81A"/>
    <w:lvl w:ilvl="0">
      <w:start w:val="3"/>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0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17">
    <w:nsid w:val="4DF61CE4"/>
    <w:multiLevelType w:val="multilevel"/>
    <w:tmpl w:val="F1A86982"/>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nsid w:val="5A6F136C"/>
    <w:multiLevelType w:val="hybridMultilevel"/>
    <w:tmpl w:val="E27C4FA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1182925"/>
    <w:multiLevelType w:val="singleLevel"/>
    <w:tmpl w:val="D180CED0"/>
    <w:lvl w:ilvl="0">
      <w:start w:val="1"/>
      <w:numFmt w:val="decimal"/>
      <w:pStyle w:val="ParaNum"/>
      <w:lvlText w:val="%1."/>
      <w:lvlJc w:val="left"/>
      <w:pPr>
        <w:tabs>
          <w:tab w:val="num" w:pos="1080"/>
        </w:tabs>
        <w:ind w:left="0" w:firstLine="720"/>
      </w:pPr>
    </w:lvl>
  </w:abstractNum>
  <w:num w:numId="1" w16cid:durableId="1500534273">
    <w:abstractNumId w:val="11"/>
  </w:num>
  <w:num w:numId="2" w16cid:durableId="1007749714">
    <w:abstractNumId w:val="19"/>
  </w:num>
  <w:num w:numId="3" w16cid:durableId="786899658">
    <w:abstractNumId w:val="13"/>
  </w:num>
  <w:num w:numId="4" w16cid:durableId="1767581959">
    <w:abstractNumId w:val="17"/>
  </w:num>
  <w:num w:numId="5" w16cid:durableId="1055200300">
    <w:abstractNumId w:val="12"/>
  </w:num>
  <w:num w:numId="6" w16cid:durableId="296642183">
    <w:abstractNumId w:val="10"/>
  </w:num>
  <w:num w:numId="7" w16cid:durableId="412319208">
    <w:abstractNumId w:val="18"/>
  </w:num>
  <w:num w:numId="8" w16cid:durableId="125702372">
    <w:abstractNumId w:val="15"/>
  </w:num>
  <w:num w:numId="9" w16cid:durableId="368409721">
    <w:abstractNumId w:val="14"/>
  </w:num>
  <w:num w:numId="10" w16cid:durableId="1777820589">
    <w:abstractNumId w:val="16"/>
  </w:num>
  <w:num w:numId="11" w16cid:durableId="2095391449">
    <w:abstractNumId w:val="9"/>
  </w:num>
  <w:num w:numId="12" w16cid:durableId="82387164">
    <w:abstractNumId w:val="7"/>
  </w:num>
  <w:num w:numId="13" w16cid:durableId="146754158">
    <w:abstractNumId w:val="6"/>
  </w:num>
  <w:num w:numId="14" w16cid:durableId="944271794">
    <w:abstractNumId w:val="5"/>
  </w:num>
  <w:num w:numId="15" w16cid:durableId="249002592">
    <w:abstractNumId w:val="4"/>
  </w:num>
  <w:num w:numId="16" w16cid:durableId="21902449">
    <w:abstractNumId w:val="8"/>
  </w:num>
  <w:num w:numId="17" w16cid:durableId="2068139431">
    <w:abstractNumId w:val="3"/>
  </w:num>
  <w:num w:numId="18" w16cid:durableId="1266695808">
    <w:abstractNumId w:val="2"/>
  </w:num>
  <w:num w:numId="19" w16cid:durableId="2064673530">
    <w:abstractNumId w:val="1"/>
  </w:num>
  <w:num w:numId="20" w16cid:durableId="17933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 w:id="2"/>
  </w:footnotePr>
  <w:endnotePr>
    <w:numFmt w:val="decimal"/>
    <w:endnote w:id="0"/>
    <w:endnote w:id="1"/>
    <w:endnote w:id="2"/>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24"/>
    <w:rsid w:val="00001607"/>
    <w:rsid w:val="00001FD9"/>
    <w:rsid w:val="00002BEB"/>
    <w:rsid w:val="00003B38"/>
    <w:rsid w:val="000043EB"/>
    <w:rsid w:val="00006ACB"/>
    <w:rsid w:val="0000775A"/>
    <w:rsid w:val="000115E1"/>
    <w:rsid w:val="0001162F"/>
    <w:rsid w:val="00013427"/>
    <w:rsid w:val="000153F6"/>
    <w:rsid w:val="00017494"/>
    <w:rsid w:val="00017EA0"/>
    <w:rsid w:val="00020542"/>
    <w:rsid w:val="000207B9"/>
    <w:rsid w:val="00023344"/>
    <w:rsid w:val="00024127"/>
    <w:rsid w:val="00025C74"/>
    <w:rsid w:val="00025EBC"/>
    <w:rsid w:val="000260EE"/>
    <w:rsid w:val="00026924"/>
    <w:rsid w:val="00027F4B"/>
    <w:rsid w:val="00031889"/>
    <w:rsid w:val="00032C2E"/>
    <w:rsid w:val="00033494"/>
    <w:rsid w:val="0003639E"/>
    <w:rsid w:val="000408EF"/>
    <w:rsid w:val="00040EF6"/>
    <w:rsid w:val="00041C2D"/>
    <w:rsid w:val="000446DC"/>
    <w:rsid w:val="000454B0"/>
    <w:rsid w:val="0005063E"/>
    <w:rsid w:val="0005084B"/>
    <w:rsid w:val="000526E8"/>
    <w:rsid w:val="00052C0E"/>
    <w:rsid w:val="00052D10"/>
    <w:rsid w:val="00056670"/>
    <w:rsid w:val="00056AE1"/>
    <w:rsid w:val="00056D55"/>
    <w:rsid w:val="00056F97"/>
    <w:rsid w:val="00057289"/>
    <w:rsid w:val="00060999"/>
    <w:rsid w:val="00061B44"/>
    <w:rsid w:val="00061EFE"/>
    <w:rsid w:val="00061F73"/>
    <w:rsid w:val="000637F6"/>
    <w:rsid w:val="00064A69"/>
    <w:rsid w:val="00065D4D"/>
    <w:rsid w:val="0006680B"/>
    <w:rsid w:val="00067C30"/>
    <w:rsid w:val="000701B9"/>
    <w:rsid w:val="00070826"/>
    <w:rsid w:val="000712F4"/>
    <w:rsid w:val="000715B1"/>
    <w:rsid w:val="000716A1"/>
    <w:rsid w:val="000728EE"/>
    <w:rsid w:val="000733A3"/>
    <w:rsid w:val="00073773"/>
    <w:rsid w:val="00075162"/>
    <w:rsid w:val="00076511"/>
    <w:rsid w:val="00080A77"/>
    <w:rsid w:val="00081368"/>
    <w:rsid w:val="00081C49"/>
    <w:rsid w:val="000841A4"/>
    <w:rsid w:val="000857EB"/>
    <w:rsid w:val="00085B8A"/>
    <w:rsid w:val="000879E8"/>
    <w:rsid w:val="000901E5"/>
    <w:rsid w:val="000919F6"/>
    <w:rsid w:val="000921CB"/>
    <w:rsid w:val="000927E0"/>
    <w:rsid w:val="00094553"/>
    <w:rsid w:val="00094EE3"/>
    <w:rsid w:val="0009544B"/>
    <w:rsid w:val="000956D0"/>
    <w:rsid w:val="00096444"/>
    <w:rsid w:val="00097CC1"/>
    <w:rsid w:val="000A3853"/>
    <w:rsid w:val="000A41BE"/>
    <w:rsid w:val="000B0C64"/>
    <w:rsid w:val="000B14B5"/>
    <w:rsid w:val="000B1F05"/>
    <w:rsid w:val="000B4449"/>
    <w:rsid w:val="000B4D07"/>
    <w:rsid w:val="000B50CD"/>
    <w:rsid w:val="000B5880"/>
    <w:rsid w:val="000B7449"/>
    <w:rsid w:val="000C3183"/>
    <w:rsid w:val="000C3532"/>
    <w:rsid w:val="000C7467"/>
    <w:rsid w:val="000D1310"/>
    <w:rsid w:val="000D1D0C"/>
    <w:rsid w:val="000D1FEB"/>
    <w:rsid w:val="000D26E8"/>
    <w:rsid w:val="000D45D2"/>
    <w:rsid w:val="000E0C01"/>
    <w:rsid w:val="000E118E"/>
    <w:rsid w:val="000E11ED"/>
    <w:rsid w:val="000E14C9"/>
    <w:rsid w:val="000E1706"/>
    <w:rsid w:val="000E4099"/>
    <w:rsid w:val="000E4B34"/>
    <w:rsid w:val="000E4EEB"/>
    <w:rsid w:val="000E752D"/>
    <w:rsid w:val="000F0D92"/>
    <w:rsid w:val="000F160A"/>
    <w:rsid w:val="000F1A4B"/>
    <w:rsid w:val="000F24BC"/>
    <w:rsid w:val="000F3D86"/>
    <w:rsid w:val="000F43F6"/>
    <w:rsid w:val="000F51E5"/>
    <w:rsid w:val="000F5E43"/>
    <w:rsid w:val="000F632A"/>
    <w:rsid w:val="000F71F5"/>
    <w:rsid w:val="000F7595"/>
    <w:rsid w:val="00100A7D"/>
    <w:rsid w:val="00100DCE"/>
    <w:rsid w:val="00101634"/>
    <w:rsid w:val="00101F67"/>
    <w:rsid w:val="0010260F"/>
    <w:rsid w:val="00104F03"/>
    <w:rsid w:val="00106461"/>
    <w:rsid w:val="00106631"/>
    <w:rsid w:val="00110669"/>
    <w:rsid w:val="00110733"/>
    <w:rsid w:val="001145C6"/>
    <w:rsid w:val="00114C57"/>
    <w:rsid w:val="001154A2"/>
    <w:rsid w:val="0011669D"/>
    <w:rsid w:val="00121243"/>
    <w:rsid w:val="0012275A"/>
    <w:rsid w:val="0012441E"/>
    <w:rsid w:val="001245F2"/>
    <w:rsid w:val="001255CF"/>
    <w:rsid w:val="001259E0"/>
    <w:rsid w:val="00125B30"/>
    <w:rsid w:val="00125F69"/>
    <w:rsid w:val="001278EB"/>
    <w:rsid w:val="00130D9D"/>
    <w:rsid w:val="001311B0"/>
    <w:rsid w:val="00131BD7"/>
    <w:rsid w:val="00131D95"/>
    <w:rsid w:val="001323B9"/>
    <w:rsid w:val="0013456F"/>
    <w:rsid w:val="0013792A"/>
    <w:rsid w:val="00140F28"/>
    <w:rsid w:val="001413AD"/>
    <w:rsid w:val="001427CB"/>
    <w:rsid w:val="0014395A"/>
    <w:rsid w:val="00143C58"/>
    <w:rsid w:val="00144935"/>
    <w:rsid w:val="00146BC1"/>
    <w:rsid w:val="00146E1A"/>
    <w:rsid w:val="001477E2"/>
    <w:rsid w:val="0015012F"/>
    <w:rsid w:val="001501C1"/>
    <w:rsid w:val="001534B2"/>
    <w:rsid w:val="00154790"/>
    <w:rsid w:val="001565F6"/>
    <w:rsid w:val="001572A9"/>
    <w:rsid w:val="0015731A"/>
    <w:rsid w:val="00161902"/>
    <w:rsid w:val="0016372D"/>
    <w:rsid w:val="00163CCC"/>
    <w:rsid w:val="001651A6"/>
    <w:rsid w:val="001655BD"/>
    <w:rsid w:val="00165E68"/>
    <w:rsid w:val="001665C0"/>
    <w:rsid w:val="00170B97"/>
    <w:rsid w:val="001712FF"/>
    <w:rsid w:val="00171856"/>
    <w:rsid w:val="00172A0C"/>
    <w:rsid w:val="00172F47"/>
    <w:rsid w:val="00174C70"/>
    <w:rsid w:val="00174D5D"/>
    <w:rsid w:val="001772E9"/>
    <w:rsid w:val="001806ED"/>
    <w:rsid w:val="00181240"/>
    <w:rsid w:val="00183AE1"/>
    <w:rsid w:val="00183C55"/>
    <w:rsid w:val="0018475E"/>
    <w:rsid w:val="00186E08"/>
    <w:rsid w:val="00191076"/>
    <w:rsid w:val="001910CA"/>
    <w:rsid w:val="001931FF"/>
    <w:rsid w:val="00194AA6"/>
    <w:rsid w:val="001A067D"/>
    <w:rsid w:val="001A172D"/>
    <w:rsid w:val="001A2A27"/>
    <w:rsid w:val="001A3B74"/>
    <w:rsid w:val="001A4151"/>
    <w:rsid w:val="001A4AEA"/>
    <w:rsid w:val="001A59B0"/>
    <w:rsid w:val="001A5BBE"/>
    <w:rsid w:val="001A6AAA"/>
    <w:rsid w:val="001A6D92"/>
    <w:rsid w:val="001A6E2A"/>
    <w:rsid w:val="001A7FAE"/>
    <w:rsid w:val="001B103F"/>
    <w:rsid w:val="001B1A9A"/>
    <w:rsid w:val="001B4F65"/>
    <w:rsid w:val="001B5BDF"/>
    <w:rsid w:val="001B6F6A"/>
    <w:rsid w:val="001C2AD3"/>
    <w:rsid w:val="001C2B52"/>
    <w:rsid w:val="001C4057"/>
    <w:rsid w:val="001C481D"/>
    <w:rsid w:val="001C576A"/>
    <w:rsid w:val="001C5D93"/>
    <w:rsid w:val="001C64D2"/>
    <w:rsid w:val="001C6A77"/>
    <w:rsid w:val="001C7F83"/>
    <w:rsid w:val="001D0309"/>
    <w:rsid w:val="001D76B4"/>
    <w:rsid w:val="001D7B56"/>
    <w:rsid w:val="001E18DE"/>
    <w:rsid w:val="001E2F8E"/>
    <w:rsid w:val="001E403E"/>
    <w:rsid w:val="001E4F06"/>
    <w:rsid w:val="001E6989"/>
    <w:rsid w:val="001F1C81"/>
    <w:rsid w:val="001F2A69"/>
    <w:rsid w:val="001F6DF1"/>
    <w:rsid w:val="00201A24"/>
    <w:rsid w:val="00205BCA"/>
    <w:rsid w:val="00205FEA"/>
    <w:rsid w:val="002067E6"/>
    <w:rsid w:val="002068FF"/>
    <w:rsid w:val="0021019A"/>
    <w:rsid w:val="00213F50"/>
    <w:rsid w:val="002152EF"/>
    <w:rsid w:val="00215986"/>
    <w:rsid w:val="00221363"/>
    <w:rsid w:val="002242BA"/>
    <w:rsid w:val="00226D38"/>
    <w:rsid w:val="002276BE"/>
    <w:rsid w:val="002323C2"/>
    <w:rsid w:val="0023325D"/>
    <w:rsid w:val="00234540"/>
    <w:rsid w:val="002359BF"/>
    <w:rsid w:val="00240D6C"/>
    <w:rsid w:val="00241308"/>
    <w:rsid w:val="0024560B"/>
    <w:rsid w:val="002458F2"/>
    <w:rsid w:val="002462C4"/>
    <w:rsid w:val="00246834"/>
    <w:rsid w:val="002505E7"/>
    <w:rsid w:val="002512D3"/>
    <w:rsid w:val="0025177A"/>
    <w:rsid w:val="002536C2"/>
    <w:rsid w:val="002538BC"/>
    <w:rsid w:val="00254F8B"/>
    <w:rsid w:val="0025622E"/>
    <w:rsid w:val="002578F0"/>
    <w:rsid w:val="002602E0"/>
    <w:rsid w:val="00260451"/>
    <w:rsid w:val="00260975"/>
    <w:rsid w:val="002617FD"/>
    <w:rsid w:val="00261A94"/>
    <w:rsid w:val="0026424E"/>
    <w:rsid w:val="00264660"/>
    <w:rsid w:val="00266D7E"/>
    <w:rsid w:val="00270182"/>
    <w:rsid w:val="0027033E"/>
    <w:rsid w:val="00270B7D"/>
    <w:rsid w:val="0027143C"/>
    <w:rsid w:val="002724AC"/>
    <w:rsid w:val="00272ACF"/>
    <w:rsid w:val="00276C3C"/>
    <w:rsid w:val="00280774"/>
    <w:rsid w:val="00280F88"/>
    <w:rsid w:val="00281A62"/>
    <w:rsid w:val="002866C5"/>
    <w:rsid w:val="0029185D"/>
    <w:rsid w:val="00293035"/>
    <w:rsid w:val="002930D4"/>
    <w:rsid w:val="00294E08"/>
    <w:rsid w:val="00296691"/>
    <w:rsid w:val="0029683D"/>
    <w:rsid w:val="00297D5C"/>
    <w:rsid w:val="002A055D"/>
    <w:rsid w:val="002A3B39"/>
    <w:rsid w:val="002A57B7"/>
    <w:rsid w:val="002A6D13"/>
    <w:rsid w:val="002A6F06"/>
    <w:rsid w:val="002A774E"/>
    <w:rsid w:val="002B1B3F"/>
    <w:rsid w:val="002B5655"/>
    <w:rsid w:val="002B6769"/>
    <w:rsid w:val="002B6E22"/>
    <w:rsid w:val="002B7210"/>
    <w:rsid w:val="002B793F"/>
    <w:rsid w:val="002C2352"/>
    <w:rsid w:val="002C72C7"/>
    <w:rsid w:val="002D2DA3"/>
    <w:rsid w:val="002E2EE7"/>
    <w:rsid w:val="002E3D66"/>
    <w:rsid w:val="002E4024"/>
    <w:rsid w:val="002E43B8"/>
    <w:rsid w:val="002E6F90"/>
    <w:rsid w:val="002E7988"/>
    <w:rsid w:val="002F073D"/>
    <w:rsid w:val="002F0A53"/>
    <w:rsid w:val="002F22E3"/>
    <w:rsid w:val="002F2535"/>
    <w:rsid w:val="002F3162"/>
    <w:rsid w:val="002F3291"/>
    <w:rsid w:val="002F341C"/>
    <w:rsid w:val="002F4BAA"/>
    <w:rsid w:val="002F5431"/>
    <w:rsid w:val="002F79BF"/>
    <w:rsid w:val="002F7D9B"/>
    <w:rsid w:val="002F7FA8"/>
    <w:rsid w:val="00302DA1"/>
    <w:rsid w:val="003030EA"/>
    <w:rsid w:val="00303F55"/>
    <w:rsid w:val="00305DB7"/>
    <w:rsid w:val="0031006C"/>
    <w:rsid w:val="003101B0"/>
    <w:rsid w:val="003103BA"/>
    <w:rsid w:val="00310A1D"/>
    <w:rsid w:val="00311C3C"/>
    <w:rsid w:val="0031757C"/>
    <w:rsid w:val="00317989"/>
    <w:rsid w:val="00322D81"/>
    <w:rsid w:val="00323676"/>
    <w:rsid w:val="003277CC"/>
    <w:rsid w:val="00330D3A"/>
    <w:rsid w:val="00331ECF"/>
    <w:rsid w:val="003327C3"/>
    <w:rsid w:val="00332A50"/>
    <w:rsid w:val="003341B0"/>
    <w:rsid w:val="003355BB"/>
    <w:rsid w:val="003359D2"/>
    <w:rsid w:val="00340866"/>
    <w:rsid w:val="00340927"/>
    <w:rsid w:val="0034177B"/>
    <w:rsid w:val="00351793"/>
    <w:rsid w:val="00351B3B"/>
    <w:rsid w:val="00357759"/>
    <w:rsid w:val="003606E7"/>
    <w:rsid w:val="00360D6B"/>
    <w:rsid w:val="00361007"/>
    <w:rsid w:val="00362FDE"/>
    <w:rsid w:val="00363FB8"/>
    <w:rsid w:val="00364763"/>
    <w:rsid w:val="003701A0"/>
    <w:rsid w:val="00370968"/>
    <w:rsid w:val="00371256"/>
    <w:rsid w:val="00371BCD"/>
    <w:rsid w:val="0037212C"/>
    <w:rsid w:val="003736C9"/>
    <w:rsid w:val="003741B7"/>
    <w:rsid w:val="0037465E"/>
    <w:rsid w:val="00384001"/>
    <w:rsid w:val="00384233"/>
    <w:rsid w:val="003873C5"/>
    <w:rsid w:val="00392D45"/>
    <w:rsid w:val="003934FC"/>
    <w:rsid w:val="00394EF7"/>
    <w:rsid w:val="00396546"/>
    <w:rsid w:val="00396AD2"/>
    <w:rsid w:val="003A0D68"/>
    <w:rsid w:val="003A1B32"/>
    <w:rsid w:val="003A3562"/>
    <w:rsid w:val="003A43E2"/>
    <w:rsid w:val="003A58BF"/>
    <w:rsid w:val="003A5BC9"/>
    <w:rsid w:val="003A605D"/>
    <w:rsid w:val="003A69B2"/>
    <w:rsid w:val="003B0076"/>
    <w:rsid w:val="003B1007"/>
    <w:rsid w:val="003B2A25"/>
    <w:rsid w:val="003B448F"/>
    <w:rsid w:val="003B6239"/>
    <w:rsid w:val="003B71A2"/>
    <w:rsid w:val="003B7815"/>
    <w:rsid w:val="003B7D62"/>
    <w:rsid w:val="003C1C58"/>
    <w:rsid w:val="003C2705"/>
    <w:rsid w:val="003C2AD8"/>
    <w:rsid w:val="003C2F16"/>
    <w:rsid w:val="003C521A"/>
    <w:rsid w:val="003C562C"/>
    <w:rsid w:val="003C7E66"/>
    <w:rsid w:val="003D0A5E"/>
    <w:rsid w:val="003D2363"/>
    <w:rsid w:val="003D2BBB"/>
    <w:rsid w:val="003D3822"/>
    <w:rsid w:val="003D383A"/>
    <w:rsid w:val="003D38B4"/>
    <w:rsid w:val="003D6F52"/>
    <w:rsid w:val="003E0DEC"/>
    <w:rsid w:val="003E2B34"/>
    <w:rsid w:val="003E2C65"/>
    <w:rsid w:val="003E32AF"/>
    <w:rsid w:val="003E3F2D"/>
    <w:rsid w:val="003E4595"/>
    <w:rsid w:val="003E72AF"/>
    <w:rsid w:val="003F00A6"/>
    <w:rsid w:val="003F0C5A"/>
    <w:rsid w:val="003F14E1"/>
    <w:rsid w:val="003F287F"/>
    <w:rsid w:val="003F68CC"/>
    <w:rsid w:val="003F6DA1"/>
    <w:rsid w:val="00400002"/>
    <w:rsid w:val="00401BA0"/>
    <w:rsid w:val="00401DCA"/>
    <w:rsid w:val="00403443"/>
    <w:rsid w:val="00404501"/>
    <w:rsid w:val="004079E4"/>
    <w:rsid w:val="00413553"/>
    <w:rsid w:val="00413C82"/>
    <w:rsid w:val="00414478"/>
    <w:rsid w:val="00414584"/>
    <w:rsid w:val="0042017B"/>
    <w:rsid w:val="00420FFF"/>
    <w:rsid w:val="00424D4D"/>
    <w:rsid w:val="00425082"/>
    <w:rsid w:val="00427013"/>
    <w:rsid w:val="00430183"/>
    <w:rsid w:val="00431DA8"/>
    <w:rsid w:val="00433B0C"/>
    <w:rsid w:val="00433EF6"/>
    <w:rsid w:val="00434D84"/>
    <w:rsid w:val="0043551B"/>
    <w:rsid w:val="00437F3F"/>
    <w:rsid w:val="0044045F"/>
    <w:rsid w:val="00442400"/>
    <w:rsid w:val="00444537"/>
    <w:rsid w:val="00446BFB"/>
    <w:rsid w:val="0044738F"/>
    <w:rsid w:val="004478AD"/>
    <w:rsid w:val="00451A55"/>
    <w:rsid w:val="004521AA"/>
    <w:rsid w:val="0045258C"/>
    <w:rsid w:val="0045287B"/>
    <w:rsid w:val="0045325B"/>
    <w:rsid w:val="004536DC"/>
    <w:rsid w:val="004546BE"/>
    <w:rsid w:val="004552EB"/>
    <w:rsid w:val="00455879"/>
    <w:rsid w:val="00455D7F"/>
    <w:rsid w:val="00457678"/>
    <w:rsid w:val="00457D04"/>
    <w:rsid w:val="004633D9"/>
    <w:rsid w:val="004638E3"/>
    <w:rsid w:val="00467DE1"/>
    <w:rsid w:val="00467FA5"/>
    <w:rsid w:val="00471594"/>
    <w:rsid w:val="00471750"/>
    <w:rsid w:val="004720A6"/>
    <w:rsid w:val="00472B35"/>
    <w:rsid w:val="004731E5"/>
    <w:rsid w:val="00473F40"/>
    <w:rsid w:val="00474198"/>
    <w:rsid w:val="00475D4B"/>
    <w:rsid w:val="00476A7C"/>
    <w:rsid w:val="00476DF8"/>
    <w:rsid w:val="004801C2"/>
    <w:rsid w:val="00480246"/>
    <w:rsid w:val="004811A2"/>
    <w:rsid w:val="00482598"/>
    <w:rsid w:val="00482DE9"/>
    <w:rsid w:val="00487356"/>
    <w:rsid w:val="00491A0E"/>
    <w:rsid w:val="004923BA"/>
    <w:rsid w:val="00493250"/>
    <w:rsid w:val="00493F2E"/>
    <w:rsid w:val="00494343"/>
    <w:rsid w:val="004955A6"/>
    <w:rsid w:val="004A1431"/>
    <w:rsid w:val="004A405C"/>
    <w:rsid w:val="004A469B"/>
    <w:rsid w:val="004A5280"/>
    <w:rsid w:val="004A5F9E"/>
    <w:rsid w:val="004A6E81"/>
    <w:rsid w:val="004B0D58"/>
    <w:rsid w:val="004B2D45"/>
    <w:rsid w:val="004B3026"/>
    <w:rsid w:val="004B3F51"/>
    <w:rsid w:val="004B63F1"/>
    <w:rsid w:val="004C00E2"/>
    <w:rsid w:val="004C19C9"/>
    <w:rsid w:val="004C1DD5"/>
    <w:rsid w:val="004C24FA"/>
    <w:rsid w:val="004C560D"/>
    <w:rsid w:val="004D186D"/>
    <w:rsid w:val="004D34C4"/>
    <w:rsid w:val="004D3C82"/>
    <w:rsid w:val="004D5FCC"/>
    <w:rsid w:val="004E0E0B"/>
    <w:rsid w:val="004E1700"/>
    <w:rsid w:val="004E1993"/>
    <w:rsid w:val="004E2D26"/>
    <w:rsid w:val="004E44CF"/>
    <w:rsid w:val="004E52C0"/>
    <w:rsid w:val="004E6C66"/>
    <w:rsid w:val="004F226A"/>
    <w:rsid w:val="004F237F"/>
    <w:rsid w:val="004F3BCD"/>
    <w:rsid w:val="004F79A1"/>
    <w:rsid w:val="00500480"/>
    <w:rsid w:val="00501D34"/>
    <w:rsid w:val="00502172"/>
    <w:rsid w:val="005051FC"/>
    <w:rsid w:val="005054AD"/>
    <w:rsid w:val="00515033"/>
    <w:rsid w:val="005153BC"/>
    <w:rsid w:val="00516EFE"/>
    <w:rsid w:val="0052100F"/>
    <w:rsid w:val="00521044"/>
    <w:rsid w:val="00521384"/>
    <w:rsid w:val="00524A89"/>
    <w:rsid w:val="005260F8"/>
    <w:rsid w:val="00526217"/>
    <w:rsid w:val="00526A87"/>
    <w:rsid w:val="00526B6A"/>
    <w:rsid w:val="00530350"/>
    <w:rsid w:val="00530FF9"/>
    <w:rsid w:val="00531ADE"/>
    <w:rsid w:val="005321B8"/>
    <w:rsid w:val="00532D57"/>
    <w:rsid w:val="00532DC3"/>
    <w:rsid w:val="0053343C"/>
    <w:rsid w:val="00536494"/>
    <w:rsid w:val="00537C76"/>
    <w:rsid w:val="00537EB4"/>
    <w:rsid w:val="00540DFA"/>
    <w:rsid w:val="00540E81"/>
    <w:rsid w:val="0054458C"/>
    <w:rsid w:val="00544AD7"/>
    <w:rsid w:val="00544EDE"/>
    <w:rsid w:val="00545A48"/>
    <w:rsid w:val="005478CF"/>
    <w:rsid w:val="00547DEB"/>
    <w:rsid w:val="0055071D"/>
    <w:rsid w:val="005519F6"/>
    <w:rsid w:val="00552AED"/>
    <w:rsid w:val="00555713"/>
    <w:rsid w:val="00555A3E"/>
    <w:rsid w:val="00556130"/>
    <w:rsid w:val="00557928"/>
    <w:rsid w:val="00557B9C"/>
    <w:rsid w:val="00560591"/>
    <w:rsid w:val="00561CF8"/>
    <w:rsid w:val="00563E67"/>
    <w:rsid w:val="00567236"/>
    <w:rsid w:val="005673BF"/>
    <w:rsid w:val="0057038D"/>
    <w:rsid w:val="005703A0"/>
    <w:rsid w:val="00570C03"/>
    <w:rsid w:val="00571559"/>
    <w:rsid w:val="00573767"/>
    <w:rsid w:val="00573E9C"/>
    <w:rsid w:val="0057584A"/>
    <w:rsid w:val="00575EC5"/>
    <w:rsid w:val="005810D0"/>
    <w:rsid w:val="005822C3"/>
    <w:rsid w:val="00582AC2"/>
    <w:rsid w:val="00582FFD"/>
    <w:rsid w:val="00583B08"/>
    <w:rsid w:val="00584518"/>
    <w:rsid w:val="00587062"/>
    <w:rsid w:val="00587494"/>
    <w:rsid w:val="00590620"/>
    <w:rsid w:val="0059086D"/>
    <w:rsid w:val="00591056"/>
    <w:rsid w:val="00595175"/>
    <w:rsid w:val="00597A23"/>
    <w:rsid w:val="00597EC6"/>
    <w:rsid w:val="005A2E0D"/>
    <w:rsid w:val="005A2FCC"/>
    <w:rsid w:val="005A4ED7"/>
    <w:rsid w:val="005B0BB4"/>
    <w:rsid w:val="005B0DC6"/>
    <w:rsid w:val="005B1586"/>
    <w:rsid w:val="005B20EB"/>
    <w:rsid w:val="005B318B"/>
    <w:rsid w:val="005B3AE3"/>
    <w:rsid w:val="005B4B0D"/>
    <w:rsid w:val="005B7BAA"/>
    <w:rsid w:val="005C19C8"/>
    <w:rsid w:val="005C306A"/>
    <w:rsid w:val="005C479D"/>
    <w:rsid w:val="005C47F5"/>
    <w:rsid w:val="005C4F4C"/>
    <w:rsid w:val="005D03A8"/>
    <w:rsid w:val="005D0E37"/>
    <w:rsid w:val="005D26B0"/>
    <w:rsid w:val="005D40DC"/>
    <w:rsid w:val="005D5E0C"/>
    <w:rsid w:val="005D5ED1"/>
    <w:rsid w:val="005D76CA"/>
    <w:rsid w:val="005E00EF"/>
    <w:rsid w:val="005E229D"/>
    <w:rsid w:val="005E2491"/>
    <w:rsid w:val="005E4812"/>
    <w:rsid w:val="005E4A81"/>
    <w:rsid w:val="005E7D10"/>
    <w:rsid w:val="005F0CEF"/>
    <w:rsid w:val="005F3680"/>
    <w:rsid w:val="005F57E9"/>
    <w:rsid w:val="005F6F70"/>
    <w:rsid w:val="005F7327"/>
    <w:rsid w:val="005F744B"/>
    <w:rsid w:val="006010DE"/>
    <w:rsid w:val="00602F1E"/>
    <w:rsid w:val="00604B5F"/>
    <w:rsid w:val="0060708A"/>
    <w:rsid w:val="006070BA"/>
    <w:rsid w:val="006076FD"/>
    <w:rsid w:val="006079EB"/>
    <w:rsid w:val="00610785"/>
    <w:rsid w:val="00611A49"/>
    <w:rsid w:val="00613B36"/>
    <w:rsid w:val="00613FE5"/>
    <w:rsid w:val="00614A6D"/>
    <w:rsid w:val="006150DB"/>
    <w:rsid w:val="00615BF9"/>
    <w:rsid w:val="00616CD7"/>
    <w:rsid w:val="00622A91"/>
    <w:rsid w:val="00623898"/>
    <w:rsid w:val="006243AC"/>
    <w:rsid w:val="00625BAB"/>
    <w:rsid w:val="0062637D"/>
    <w:rsid w:val="00627E8C"/>
    <w:rsid w:val="006301E7"/>
    <w:rsid w:val="006307EA"/>
    <w:rsid w:val="00630C9E"/>
    <w:rsid w:val="00632049"/>
    <w:rsid w:val="00632D48"/>
    <w:rsid w:val="00632FF9"/>
    <w:rsid w:val="00636F3D"/>
    <w:rsid w:val="00637613"/>
    <w:rsid w:val="00637BCC"/>
    <w:rsid w:val="006401B6"/>
    <w:rsid w:val="0064076A"/>
    <w:rsid w:val="00641003"/>
    <w:rsid w:val="006412B5"/>
    <w:rsid w:val="00642312"/>
    <w:rsid w:val="00643A0F"/>
    <w:rsid w:val="00644F32"/>
    <w:rsid w:val="00647B22"/>
    <w:rsid w:val="006534D7"/>
    <w:rsid w:val="00653CE5"/>
    <w:rsid w:val="006546DE"/>
    <w:rsid w:val="0065593E"/>
    <w:rsid w:val="00655B60"/>
    <w:rsid w:val="0065691D"/>
    <w:rsid w:val="00656A0E"/>
    <w:rsid w:val="006574E9"/>
    <w:rsid w:val="00657649"/>
    <w:rsid w:val="0066015C"/>
    <w:rsid w:val="0066041F"/>
    <w:rsid w:val="00670BCB"/>
    <w:rsid w:val="006711B3"/>
    <w:rsid w:val="0067150F"/>
    <w:rsid w:val="00672297"/>
    <w:rsid w:val="00672D18"/>
    <w:rsid w:val="00675308"/>
    <w:rsid w:val="00676496"/>
    <w:rsid w:val="006775BE"/>
    <w:rsid w:val="00677B1A"/>
    <w:rsid w:val="00682035"/>
    <w:rsid w:val="006832D5"/>
    <w:rsid w:val="00683852"/>
    <w:rsid w:val="0068389E"/>
    <w:rsid w:val="006839DA"/>
    <w:rsid w:val="006842EB"/>
    <w:rsid w:val="00684A9B"/>
    <w:rsid w:val="00685FA3"/>
    <w:rsid w:val="00686AA1"/>
    <w:rsid w:val="00686B87"/>
    <w:rsid w:val="00686DE9"/>
    <w:rsid w:val="0069015E"/>
    <w:rsid w:val="00690BC6"/>
    <w:rsid w:val="00691CE3"/>
    <w:rsid w:val="00692DA5"/>
    <w:rsid w:val="00693D7E"/>
    <w:rsid w:val="0069520C"/>
    <w:rsid w:val="00695BA2"/>
    <w:rsid w:val="006973A4"/>
    <w:rsid w:val="006975BD"/>
    <w:rsid w:val="006A122B"/>
    <w:rsid w:val="006A193B"/>
    <w:rsid w:val="006A3A6D"/>
    <w:rsid w:val="006A5468"/>
    <w:rsid w:val="006A7464"/>
    <w:rsid w:val="006A757B"/>
    <w:rsid w:val="006B0DF8"/>
    <w:rsid w:val="006B2335"/>
    <w:rsid w:val="006B2DDB"/>
    <w:rsid w:val="006B3E35"/>
    <w:rsid w:val="006B4260"/>
    <w:rsid w:val="006B5BF1"/>
    <w:rsid w:val="006B5CAE"/>
    <w:rsid w:val="006B664B"/>
    <w:rsid w:val="006C0040"/>
    <w:rsid w:val="006C050E"/>
    <w:rsid w:val="006C0F0F"/>
    <w:rsid w:val="006C132D"/>
    <w:rsid w:val="006C1723"/>
    <w:rsid w:val="006C1D4F"/>
    <w:rsid w:val="006C2046"/>
    <w:rsid w:val="006C3371"/>
    <w:rsid w:val="006C3EEA"/>
    <w:rsid w:val="006C5F0A"/>
    <w:rsid w:val="006C76B3"/>
    <w:rsid w:val="006C7902"/>
    <w:rsid w:val="006C7C26"/>
    <w:rsid w:val="006D093B"/>
    <w:rsid w:val="006D11DF"/>
    <w:rsid w:val="006D2563"/>
    <w:rsid w:val="006D2611"/>
    <w:rsid w:val="006D412D"/>
    <w:rsid w:val="006D4E5C"/>
    <w:rsid w:val="006D682A"/>
    <w:rsid w:val="006D724C"/>
    <w:rsid w:val="006D7C78"/>
    <w:rsid w:val="006E05CD"/>
    <w:rsid w:val="006E0F95"/>
    <w:rsid w:val="006E143A"/>
    <w:rsid w:val="006E28B8"/>
    <w:rsid w:val="006E2EE8"/>
    <w:rsid w:val="006E35FC"/>
    <w:rsid w:val="006E3A92"/>
    <w:rsid w:val="006E456D"/>
    <w:rsid w:val="006E4576"/>
    <w:rsid w:val="006E7412"/>
    <w:rsid w:val="006F048F"/>
    <w:rsid w:val="006F2146"/>
    <w:rsid w:val="006F2C18"/>
    <w:rsid w:val="006F3035"/>
    <w:rsid w:val="006F718B"/>
    <w:rsid w:val="006F797D"/>
    <w:rsid w:val="00700309"/>
    <w:rsid w:val="007009DD"/>
    <w:rsid w:val="00700C1E"/>
    <w:rsid w:val="007021AF"/>
    <w:rsid w:val="0070347C"/>
    <w:rsid w:val="00703743"/>
    <w:rsid w:val="0070491A"/>
    <w:rsid w:val="00704E4D"/>
    <w:rsid w:val="007050AD"/>
    <w:rsid w:val="00710DF9"/>
    <w:rsid w:val="00711E88"/>
    <w:rsid w:val="00712861"/>
    <w:rsid w:val="00712A6A"/>
    <w:rsid w:val="00713070"/>
    <w:rsid w:val="0071548C"/>
    <w:rsid w:val="007166E4"/>
    <w:rsid w:val="00716865"/>
    <w:rsid w:val="00716A5C"/>
    <w:rsid w:val="007213B0"/>
    <w:rsid w:val="0072207D"/>
    <w:rsid w:val="007223ED"/>
    <w:rsid w:val="00723B6C"/>
    <w:rsid w:val="00723ECE"/>
    <w:rsid w:val="00726097"/>
    <w:rsid w:val="0072699C"/>
    <w:rsid w:val="00726B1D"/>
    <w:rsid w:val="00727660"/>
    <w:rsid w:val="007304B0"/>
    <w:rsid w:val="00730FAD"/>
    <w:rsid w:val="00731EB8"/>
    <w:rsid w:val="007328EB"/>
    <w:rsid w:val="00732FF8"/>
    <w:rsid w:val="00733757"/>
    <w:rsid w:val="00734031"/>
    <w:rsid w:val="00735B7F"/>
    <w:rsid w:val="00736C13"/>
    <w:rsid w:val="00737D72"/>
    <w:rsid w:val="007401F4"/>
    <w:rsid w:val="00743616"/>
    <w:rsid w:val="007439F0"/>
    <w:rsid w:val="007442E4"/>
    <w:rsid w:val="00746C17"/>
    <w:rsid w:val="00747B8F"/>
    <w:rsid w:val="0075051E"/>
    <w:rsid w:val="00750E31"/>
    <w:rsid w:val="0075257D"/>
    <w:rsid w:val="007537FF"/>
    <w:rsid w:val="0075449B"/>
    <w:rsid w:val="007557C6"/>
    <w:rsid w:val="00756370"/>
    <w:rsid w:val="00756B68"/>
    <w:rsid w:val="00760D1F"/>
    <w:rsid w:val="00761C85"/>
    <w:rsid w:val="00763A1F"/>
    <w:rsid w:val="007667F3"/>
    <w:rsid w:val="007675C2"/>
    <w:rsid w:val="007675F4"/>
    <w:rsid w:val="00770424"/>
    <w:rsid w:val="00771267"/>
    <w:rsid w:val="00771681"/>
    <w:rsid w:val="00773C59"/>
    <w:rsid w:val="007820C2"/>
    <w:rsid w:val="00782D45"/>
    <w:rsid w:val="007845F3"/>
    <w:rsid w:val="00785DED"/>
    <w:rsid w:val="007871E0"/>
    <w:rsid w:val="0078787E"/>
    <w:rsid w:val="007903FF"/>
    <w:rsid w:val="0079059E"/>
    <w:rsid w:val="00791B90"/>
    <w:rsid w:val="00792903"/>
    <w:rsid w:val="007931AC"/>
    <w:rsid w:val="00794FA9"/>
    <w:rsid w:val="007957BC"/>
    <w:rsid w:val="007A0B60"/>
    <w:rsid w:val="007A1C31"/>
    <w:rsid w:val="007A1D0F"/>
    <w:rsid w:val="007A218F"/>
    <w:rsid w:val="007A3FAA"/>
    <w:rsid w:val="007B054F"/>
    <w:rsid w:val="007B2121"/>
    <w:rsid w:val="007B33F3"/>
    <w:rsid w:val="007B5463"/>
    <w:rsid w:val="007B5469"/>
    <w:rsid w:val="007B68FC"/>
    <w:rsid w:val="007B6D10"/>
    <w:rsid w:val="007B6F4D"/>
    <w:rsid w:val="007B7BD2"/>
    <w:rsid w:val="007C0075"/>
    <w:rsid w:val="007C042C"/>
    <w:rsid w:val="007C0542"/>
    <w:rsid w:val="007C0D6D"/>
    <w:rsid w:val="007C2612"/>
    <w:rsid w:val="007C2DE7"/>
    <w:rsid w:val="007C3044"/>
    <w:rsid w:val="007C3BCE"/>
    <w:rsid w:val="007C44EF"/>
    <w:rsid w:val="007C6433"/>
    <w:rsid w:val="007D0D78"/>
    <w:rsid w:val="007D435A"/>
    <w:rsid w:val="007D5A48"/>
    <w:rsid w:val="007D79BE"/>
    <w:rsid w:val="007E048F"/>
    <w:rsid w:val="007E16DC"/>
    <w:rsid w:val="007E4D4B"/>
    <w:rsid w:val="007E4D59"/>
    <w:rsid w:val="007E6746"/>
    <w:rsid w:val="007F266B"/>
    <w:rsid w:val="007F2892"/>
    <w:rsid w:val="007F3502"/>
    <w:rsid w:val="007F45C6"/>
    <w:rsid w:val="007F7C8B"/>
    <w:rsid w:val="008006A9"/>
    <w:rsid w:val="00801E82"/>
    <w:rsid w:val="0080291E"/>
    <w:rsid w:val="00803B51"/>
    <w:rsid w:val="00803CC3"/>
    <w:rsid w:val="00804562"/>
    <w:rsid w:val="00804760"/>
    <w:rsid w:val="008053A4"/>
    <w:rsid w:val="00805728"/>
    <w:rsid w:val="00807476"/>
    <w:rsid w:val="00811445"/>
    <w:rsid w:val="00811A0E"/>
    <w:rsid w:val="00811EFE"/>
    <w:rsid w:val="00812E16"/>
    <w:rsid w:val="0081626C"/>
    <w:rsid w:val="00816527"/>
    <w:rsid w:val="008168CE"/>
    <w:rsid w:val="008168F6"/>
    <w:rsid w:val="00817F1E"/>
    <w:rsid w:val="00822035"/>
    <w:rsid w:val="00822565"/>
    <w:rsid w:val="00823D98"/>
    <w:rsid w:val="0082508C"/>
    <w:rsid w:val="00826EA1"/>
    <w:rsid w:val="00827361"/>
    <w:rsid w:val="00831B5B"/>
    <w:rsid w:val="0083458A"/>
    <w:rsid w:val="00835472"/>
    <w:rsid w:val="00836753"/>
    <w:rsid w:val="00837F63"/>
    <w:rsid w:val="00845735"/>
    <w:rsid w:val="0084590E"/>
    <w:rsid w:val="00845DD2"/>
    <w:rsid w:val="00853CCA"/>
    <w:rsid w:val="008548BC"/>
    <w:rsid w:val="00854F53"/>
    <w:rsid w:val="00860994"/>
    <w:rsid w:val="008610D3"/>
    <w:rsid w:val="00863078"/>
    <w:rsid w:val="00863335"/>
    <w:rsid w:val="00863CAE"/>
    <w:rsid w:val="00870846"/>
    <w:rsid w:val="00870FB1"/>
    <w:rsid w:val="008713F6"/>
    <w:rsid w:val="00874057"/>
    <w:rsid w:val="0087445E"/>
    <w:rsid w:val="00874D3F"/>
    <w:rsid w:val="00876B8C"/>
    <w:rsid w:val="00876E6C"/>
    <w:rsid w:val="00877197"/>
    <w:rsid w:val="00877F05"/>
    <w:rsid w:val="008831EE"/>
    <w:rsid w:val="008839B8"/>
    <w:rsid w:val="00885518"/>
    <w:rsid w:val="00886809"/>
    <w:rsid w:val="008868F9"/>
    <w:rsid w:val="00887128"/>
    <w:rsid w:val="0088742C"/>
    <w:rsid w:val="00887A28"/>
    <w:rsid w:val="00887E85"/>
    <w:rsid w:val="0089070C"/>
    <w:rsid w:val="00891846"/>
    <w:rsid w:val="00892856"/>
    <w:rsid w:val="00893121"/>
    <w:rsid w:val="00893D24"/>
    <w:rsid w:val="00893EE8"/>
    <w:rsid w:val="008A0844"/>
    <w:rsid w:val="008A11C2"/>
    <w:rsid w:val="008A1D3C"/>
    <w:rsid w:val="008A28FF"/>
    <w:rsid w:val="008A32DF"/>
    <w:rsid w:val="008A33DA"/>
    <w:rsid w:val="008A62A9"/>
    <w:rsid w:val="008A6443"/>
    <w:rsid w:val="008A7856"/>
    <w:rsid w:val="008A79A9"/>
    <w:rsid w:val="008B2B30"/>
    <w:rsid w:val="008B44E4"/>
    <w:rsid w:val="008B5634"/>
    <w:rsid w:val="008B7045"/>
    <w:rsid w:val="008B7BAD"/>
    <w:rsid w:val="008C0149"/>
    <w:rsid w:val="008C3084"/>
    <w:rsid w:val="008C50D9"/>
    <w:rsid w:val="008C5158"/>
    <w:rsid w:val="008C59A9"/>
    <w:rsid w:val="008C5EFE"/>
    <w:rsid w:val="008C6C14"/>
    <w:rsid w:val="008C77EE"/>
    <w:rsid w:val="008D046F"/>
    <w:rsid w:val="008D0B7E"/>
    <w:rsid w:val="008D2854"/>
    <w:rsid w:val="008D2F7E"/>
    <w:rsid w:val="008D3746"/>
    <w:rsid w:val="008D54A7"/>
    <w:rsid w:val="008D56BD"/>
    <w:rsid w:val="008E1003"/>
    <w:rsid w:val="008E1837"/>
    <w:rsid w:val="008E3B88"/>
    <w:rsid w:val="008E63B2"/>
    <w:rsid w:val="008E79C8"/>
    <w:rsid w:val="008E7C28"/>
    <w:rsid w:val="008F2113"/>
    <w:rsid w:val="008F2DF5"/>
    <w:rsid w:val="008F30C9"/>
    <w:rsid w:val="008F48D0"/>
    <w:rsid w:val="008F56FC"/>
    <w:rsid w:val="008F600C"/>
    <w:rsid w:val="008F70ED"/>
    <w:rsid w:val="008F7C7C"/>
    <w:rsid w:val="00900103"/>
    <w:rsid w:val="0090012B"/>
    <w:rsid w:val="00901034"/>
    <w:rsid w:val="009021FF"/>
    <w:rsid w:val="0090445E"/>
    <w:rsid w:val="0090473E"/>
    <w:rsid w:val="009051B3"/>
    <w:rsid w:val="00906423"/>
    <w:rsid w:val="00907AEC"/>
    <w:rsid w:val="0091050D"/>
    <w:rsid w:val="00910A4D"/>
    <w:rsid w:val="009126FC"/>
    <w:rsid w:val="00913247"/>
    <w:rsid w:val="009170B2"/>
    <w:rsid w:val="00920774"/>
    <w:rsid w:val="00922FF1"/>
    <w:rsid w:val="00923166"/>
    <w:rsid w:val="00926BD7"/>
    <w:rsid w:val="00927BC5"/>
    <w:rsid w:val="00931113"/>
    <w:rsid w:val="00931B26"/>
    <w:rsid w:val="00932582"/>
    <w:rsid w:val="009339AD"/>
    <w:rsid w:val="00934952"/>
    <w:rsid w:val="009357F3"/>
    <w:rsid w:val="00940773"/>
    <w:rsid w:val="009419AB"/>
    <w:rsid w:val="0094258C"/>
    <w:rsid w:val="0094258E"/>
    <w:rsid w:val="009429CE"/>
    <w:rsid w:val="009431BC"/>
    <w:rsid w:val="00943203"/>
    <w:rsid w:val="00943BD4"/>
    <w:rsid w:val="00943CB4"/>
    <w:rsid w:val="00944560"/>
    <w:rsid w:val="00944D68"/>
    <w:rsid w:val="00946320"/>
    <w:rsid w:val="009503D9"/>
    <w:rsid w:val="009504AC"/>
    <w:rsid w:val="009508E4"/>
    <w:rsid w:val="009523DB"/>
    <w:rsid w:val="00952D4D"/>
    <w:rsid w:val="00961969"/>
    <w:rsid w:val="00966996"/>
    <w:rsid w:val="00966CA8"/>
    <w:rsid w:val="009707DB"/>
    <w:rsid w:val="00977715"/>
    <w:rsid w:val="0098540D"/>
    <w:rsid w:val="00987CEE"/>
    <w:rsid w:val="00990629"/>
    <w:rsid w:val="00990E5A"/>
    <w:rsid w:val="009914BC"/>
    <w:rsid w:val="009925FA"/>
    <w:rsid w:val="00994C76"/>
    <w:rsid w:val="009952BA"/>
    <w:rsid w:val="009974C9"/>
    <w:rsid w:val="009975D6"/>
    <w:rsid w:val="009A1328"/>
    <w:rsid w:val="009A3F23"/>
    <w:rsid w:val="009A4138"/>
    <w:rsid w:val="009A4277"/>
    <w:rsid w:val="009A5A86"/>
    <w:rsid w:val="009A75B0"/>
    <w:rsid w:val="009B16AE"/>
    <w:rsid w:val="009B321F"/>
    <w:rsid w:val="009B3946"/>
    <w:rsid w:val="009B3E7D"/>
    <w:rsid w:val="009B53CC"/>
    <w:rsid w:val="009B5DA6"/>
    <w:rsid w:val="009B7326"/>
    <w:rsid w:val="009C0C67"/>
    <w:rsid w:val="009C1B63"/>
    <w:rsid w:val="009C30BC"/>
    <w:rsid w:val="009C34CB"/>
    <w:rsid w:val="009C59B2"/>
    <w:rsid w:val="009C6533"/>
    <w:rsid w:val="009C753D"/>
    <w:rsid w:val="009C788A"/>
    <w:rsid w:val="009C7DA3"/>
    <w:rsid w:val="009D00B7"/>
    <w:rsid w:val="009D3541"/>
    <w:rsid w:val="009D3C72"/>
    <w:rsid w:val="009D523E"/>
    <w:rsid w:val="009D68AA"/>
    <w:rsid w:val="009D74FE"/>
    <w:rsid w:val="009D7DB1"/>
    <w:rsid w:val="009E117A"/>
    <w:rsid w:val="009E1C09"/>
    <w:rsid w:val="009E1C9C"/>
    <w:rsid w:val="009E2294"/>
    <w:rsid w:val="009E317E"/>
    <w:rsid w:val="009E3687"/>
    <w:rsid w:val="009E416F"/>
    <w:rsid w:val="009E441D"/>
    <w:rsid w:val="009E54D3"/>
    <w:rsid w:val="009E5CA2"/>
    <w:rsid w:val="009E6EF7"/>
    <w:rsid w:val="009E6FA3"/>
    <w:rsid w:val="009E760D"/>
    <w:rsid w:val="009E7B6C"/>
    <w:rsid w:val="009F23DD"/>
    <w:rsid w:val="009F2773"/>
    <w:rsid w:val="009F34D3"/>
    <w:rsid w:val="009F3898"/>
    <w:rsid w:val="009F3E69"/>
    <w:rsid w:val="009F443C"/>
    <w:rsid w:val="009F5134"/>
    <w:rsid w:val="009F56A8"/>
    <w:rsid w:val="009F5BBD"/>
    <w:rsid w:val="009F6AC7"/>
    <w:rsid w:val="00A00B1B"/>
    <w:rsid w:val="00A00D0D"/>
    <w:rsid w:val="00A02518"/>
    <w:rsid w:val="00A04E63"/>
    <w:rsid w:val="00A05297"/>
    <w:rsid w:val="00A0540C"/>
    <w:rsid w:val="00A05715"/>
    <w:rsid w:val="00A07493"/>
    <w:rsid w:val="00A11A95"/>
    <w:rsid w:val="00A15579"/>
    <w:rsid w:val="00A155C8"/>
    <w:rsid w:val="00A160C0"/>
    <w:rsid w:val="00A16F45"/>
    <w:rsid w:val="00A173E1"/>
    <w:rsid w:val="00A20679"/>
    <w:rsid w:val="00A20F80"/>
    <w:rsid w:val="00A21406"/>
    <w:rsid w:val="00A222FA"/>
    <w:rsid w:val="00A24910"/>
    <w:rsid w:val="00A26BE5"/>
    <w:rsid w:val="00A3056E"/>
    <w:rsid w:val="00A307D0"/>
    <w:rsid w:val="00A30861"/>
    <w:rsid w:val="00A31BC1"/>
    <w:rsid w:val="00A31BE2"/>
    <w:rsid w:val="00A34495"/>
    <w:rsid w:val="00A35798"/>
    <w:rsid w:val="00A363D5"/>
    <w:rsid w:val="00A4133A"/>
    <w:rsid w:val="00A42513"/>
    <w:rsid w:val="00A42AE8"/>
    <w:rsid w:val="00A44523"/>
    <w:rsid w:val="00A45784"/>
    <w:rsid w:val="00A500C9"/>
    <w:rsid w:val="00A502FB"/>
    <w:rsid w:val="00A535C4"/>
    <w:rsid w:val="00A55032"/>
    <w:rsid w:val="00A55CC7"/>
    <w:rsid w:val="00A55FE4"/>
    <w:rsid w:val="00A60623"/>
    <w:rsid w:val="00A61A3F"/>
    <w:rsid w:val="00A63E8D"/>
    <w:rsid w:val="00A65F25"/>
    <w:rsid w:val="00A66FEC"/>
    <w:rsid w:val="00A713E0"/>
    <w:rsid w:val="00A71653"/>
    <w:rsid w:val="00A71EDE"/>
    <w:rsid w:val="00A72C07"/>
    <w:rsid w:val="00A73694"/>
    <w:rsid w:val="00A807E1"/>
    <w:rsid w:val="00A8118E"/>
    <w:rsid w:val="00A81923"/>
    <w:rsid w:val="00A83A8E"/>
    <w:rsid w:val="00A84675"/>
    <w:rsid w:val="00A870BD"/>
    <w:rsid w:val="00A90087"/>
    <w:rsid w:val="00A915E0"/>
    <w:rsid w:val="00A91E34"/>
    <w:rsid w:val="00A91EF3"/>
    <w:rsid w:val="00A92DFA"/>
    <w:rsid w:val="00A93669"/>
    <w:rsid w:val="00A94891"/>
    <w:rsid w:val="00A957DD"/>
    <w:rsid w:val="00A95E74"/>
    <w:rsid w:val="00A95F88"/>
    <w:rsid w:val="00A96564"/>
    <w:rsid w:val="00A96825"/>
    <w:rsid w:val="00A96850"/>
    <w:rsid w:val="00A96C70"/>
    <w:rsid w:val="00A97629"/>
    <w:rsid w:val="00AA09A3"/>
    <w:rsid w:val="00AA0A13"/>
    <w:rsid w:val="00AA0DD8"/>
    <w:rsid w:val="00AA4152"/>
    <w:rsid w:val="00AA75CC"/>
    <w:rsid w:val="00AB0026"/>
    <w:rsid w:val="00AB0498"/>
    <w:rsid w:val="00AB06A7"/>
    <w:rsid w:val="00AB1A80"/>
    <w:rsid w:val="00AB2F66"/>
    <w:rsid w:val="00AB3AD5"/>
    <w:rsid w:val="00AB3DB4"/>
    <w:rsid w:val="00AB4878"/>
    <w:rsid w:val="00AB5E2B"/>
    <w:rsid w:val="00AB6606"/>
    <w:rsid w:val="00AC0123"/>
    <w:rsid w:val="00AC059B"/>
    <w:rsid w:val="00AC0F64"/>
    <w:rsid w:val="00AC1DE5"/>
    <w:rsid w:val="00AC265D"/>
    <w:rsid w:val="00AC2A1F"/>
    <w:rsid w:val="00AC528B"/>
    <w:rsid w:val="00AC632B"/>
    <w:rsid w:val="00AC76F9"/>
    <w:rsid w:val="00AC7C02"/>
    <w:rsid w:val="00AD3C78"/>
    <w:rsid w:val="00AD6681"/>
    <w:rsid w:val="00AD75F3"/>
    <w:rsid w:val="00AE0942"/>
    <w:rsid w:val="00AE0AC6"/>
    <w:rsid w:val="00AE1B01"/>
    <w:rsid w:val="00AE2B45"/>
    <w:rsid w:val="00AF114B"/>
    <w:rsid w:val="00AF50FD"/>
    <w:rsid w:val="00AF7447"/>
    <w:rsid w:val="00B005C9"/>
    <w:rsid w:val="00B05A4B"/>
    <w:rsid w:val="00B078CD"/>
    <w:rsid w:val="00B07C8F"/>
    <w:rsid w:val="00B1088A"/>
    <w:rsid w:val="00B10C5C"/>
    <w:rsid w:val="00B11AE3"/>
    <w:rsid w:val="00B11D40"/>
    <w:rsid w:val="00B11E64"/>
    <w:rsid w:val="00B12379"/>
    <w:rsid w:val="00B15FED"/>
    <w:rsid w:val="00B1703B"/>
    <w:rsid w:val="00B17C25"/>
    <w:rsid w:val="00B20B20"/>
    <w:rsid w:val="00B21154"/>
    <w:rsid w:val="00B211A8"/>
    <w:rsid w:val="00B241DA"/>
    <w:rsid w:val="00B24A9D"/>
    <w:rsid w:val="00B255CE"/>
    <w:rsid w:val="00B26530"/>
    <w:rsid w:val="00B30087"/>
    <w:rsid w:val="00B30DA2"/>
    <w:rsid w:val="00B3117A"/>
    <w:rsid w:val="00B312BA"/>
    <w:rsid w:val="00B3151C"/>
    <w:rsid w:val="00B324CE"/>
    <w:rsid w:val="00B33B50"/>
    <w:rsid w:val="00B33FF4"/>
    <w:rsid w:val="00B342B9"/>
    <w:rsid w:val="00B362D5"/>
    <w:rsid w:val="00B36657"/>
    <w:rsid w:val="00B36852"/>
    <w:rsid w:val="00B40285"/>
    <w:rsid w:val="00B405C5"/>
    <w:rsid w:val="00B42CE6"/>
    <w:rsid w:val="00B42EFB"/>
    <w:rsid w:val="00B43EF2"/>
    <w:rsid w:val="00B441E9"/>
    <w:rsid w:val="00B44F9D"/>
    <w:rsid w:val="00B46FAB"/>
    <w:rsid w:val="00B5055B"/>
    <w:rsid w:val="00B50830"/>
    <w:rsid w:val="00B53063"/>
    <w:rsid w:val="00B56404"/>
    <w:rsid w:val="00B56FFB"/>
    <w:rsid w:val="00B575FC"/>
    <w:rsid w:val="00B6074C"/>
    <w:rsid w:val="00B61BC8"/>
    <w:rsid w:val="00B648BA"/>
    <w:rsid w:val="00B651ED"/>
    <w:rsid w:val="00B65FA1"/>
    <w:rsid w:val="00B6667B"/>
    <w:rsid w:val="00B6757B"/>
    <w:rsid w:val="00B67731"/>
    <w:rsid w:val="00B67AA4"/>
    <w:rsid w:val="00B67C78"/>
    <w:rsid w:val="00B7037E"/>
    <w:rsid w:val="00B73797"/>
    <w:rsid w:val="00B75B35"/>
    <w:rsid w:val="00B75DD2"/>
    <w:rsid w:val="00B76524"/>
    <w:rsid w:val="00B77127"/>
    <w:rsid w:val="00B77B31"/>
    <w:rsid w:val="00B817DB"/>
    <w:rsid w:val="00B8526D"/>
    <w:rsid w:val="00B86C81"/>
    <w:rsid w:val="00B878A5"/>
    <w:rsid w:val="00B87FE0"/>
    <w:rsid w:val="00B91FF4"/>
    <w:rsid w:val="00B92FF2"/>
    <w:rsid w:val="00B95232"/>
    <w:rsid w:val="00B96DB2"/>
    <w:rsid w:val="00B971F8"/>
    <w:rsid w:val="00BA0311"/>
    <w:rsid w:val="00BA0E8C"/>
    <w:rsid w:val="00BA1C56"/>
    <w:rsid w:val="00BA2C5D"/>
    <w:rsid w:val="00BA3822"/>
    <w:rsid w:val="00BA3BA8"/>
    <w:rsid w:val="00BA5249"/>
    <w:rsid w:val="00BA59C5"/>
    <w:rsid w:val="00BA727D"/>
    <w:rsid w:val="00BA7EFA"/>
    <w:rsid w:val="00BB004B"/>
    <w:rsid w:val="00BB0D3C"/>
    <w:rsid w:val="00BB795C"/>
    <w:rsid w:val="00BC03F3"/>
    <w:rsid w:val="00BC045B"/>
    <w:rsid w:val="00BC26BA"/>
    <w:rsid w:val="00BC2931"/>
    <w:rsid w:val="00BC3553"/>
    <w:rsid w:val="00BC386D"/>
    <w:rsid w:val="00BC6999"/>
    <w:rsid w:val="00BC6CE8"/>
    <w:rsid w:val="00BC7CB2"/>
    <w:rsid w:val="00BD2BD9"/>
    <w:rsid w:val="00BD2DBC"/>
    <w:rsid w:val="00BD4019"/>
    <w:rsid w:val="00BD5111"/>
    <w:rsid w:val="00BD7D0C"/>
    <w:rsid w:val="00BE0E46"/>
    <w:rsid w:val="00BE0ED0"/>
    <w:rsid w:val="00BE1C1C"/>
    <w:rsid w:val="00BE2BA1"/>
    <w:rsid w:val="00BE30E0"/>
    <w:rsid w:val="00BE4AA4"/>
    <w:rsid w:val="00BE4D04"/>
    <w:rsid w:val="00BE4FE8"/>
    <w:rsid w:val="00BE7CBF"/>
    <w:rsid w:val="00BF00D3"/>
    <w:rsid w:val="00BF19D9"/>
    <w:rsid w:val="00BF1E41"/>
    <w:rsid w:val="00BF2710"/>
    <w:rsid w:val="00BF29FA"/>
    <w:rsid w:val="00BF36BE"/>
    <w:rsid w:val="00BF3903"/>
    <w:rsid w:val="00BF4843"/>
    <w:rsid w:val="00BF4A12"/>
    <w:rsid w:val="00BF65D2"/>
    <w:rsid w:val="00BF71AE"/>
    <w:rsid w:val="00C00CCC"/>
    <w:rsid w:val="00C031E7"/>
    <w:rsid w:val="00C03E3E"/>
    <w:rsid w:val="00C046C3"/>
    <w:rsid w:val="00C052F6"/>
    <w:rsid w:val="00C1004A"/>
    <w:rsid w:val="00C12655"/>
    <w:rsid w:val="00C13E56"/>
    <w:rsid w:val="00C14FEF"/>
    <w:rsid w:val="00C162DD"/>
    <w:rsid w:val="00C2301B"/>
    <w:rsid w:val="00C26BFD"/>
    <w:rsid w:val="00C274AB"/>
    <w:rsid w:val="00C27517"/>
    <w:rsid w:val="00C30A37"/>
    <w:rsid w:val="00C3193C"/>
    <w:rsid w:val="00C32794"/>
    <w:rsid w:val="00C32B12"/>
    <w:rsid w:val="00C34BCB"/>
    <w:rsid w:val="00C35064"/>
    <w:rsid w:val="00C352AF"/>
    <w:rsid w:val="00C358E3"/>
    <w:rsid w:val="00C35CC8"/>
    <w:rsid w:val="00C368B1"/>
    <w:rsid w:val="00C41CA4"/>
    <w:rsid w:val="00C479EC"/>
    <w:rsid w:val="00C5335A"/>
    <w:rsid w:val="00C54123"/>
    <w:rsid w:val="00C56129"/>
    <w:rsid w:val="00C608B3"/>
    <w:rsid w:val="00C614DA"/>
    <w:rsid w:val="00C62610"/>
    <w:rsid w:val="00C66155"/>
    <w:rsid w:val="00C67A7B"/>
    <w:rsid w:val="00C70846"/>
    <w:rsid w:val="00C72802"/>
    <w:rsid w:val="00C73D1B"/>
    <w:rsid w:val="00C742E7"/>
    <w:rsid w:val="00C75D90"/>
    <w:rsid w:val="00C77396"/>
    <w:rsid w:val="00C77CDE"/>
    <w:rsid w:val="00C77D01"/>
    <w:rsid w:val="00C808C1"/>
    <w:rsid w:val="00C82375"/>
    <w:rsid w:val="00C83405"/>
    <w:rsid w:val="00C83B6E"/>
    <w:rsid w:val="00C843A0"/>
    <w:rsid w:val="00C84AA5"/>
    <w:rsid w:val="00C860F7"/>
    <w:rsid w:val="00C86E09"/>
    <w:rsid w:val="00C877B6"/>
    <w:rsid w:val="00C918D8"/>
    <w:rsid w:val="00C91995"/>
    <w:rsid w:val="00C939F0"/>
    <w:rsid w:val="00C947D2"/>
    <w:rsid w:val="00C96D13"/>
    <w:rsid w:val="00CA070F"/>
    <w:rsid w:val="00CA152B"/>
    <w:rsid w:val="00CA3C90"/>
    <w:rsid w:val="00CA4069"/>
    <w:rsid w:val="00CA5C28"/>
    <w:rsid w:val="00CA69CF"/>
    <w:rsid w:val="00CA6E74"/>
    <w:rsid w:val="00CB053A"/>
    <w:rsid w:val="00CB063E"/>
    <w:rsid w:val="00CB07A5"/>
    <w:rsid w:val="00CB173B"/>
    <w:rsid w:val="00CB2859"/>
    <w:rsid w:val="00CB3A4D"/>
    <w:rsid w:val="00CB5932"/>
    <w:rsid w:val="00CB606E"/>
    <w:rsid w:val="00CB63A5"/>
    <w:rsid w:val="00CB663A"/>
    <w:rsid w:val="00CB704D"/>
    <w:rsid w:val="00CB79EF"/>
    <w:rsid w:val="00CC127B"/>
    <w:rsid w:val="00CC1A47"/>
    <w:rsid w:val="00CC1BDC"/>
    <w:rsid w:val="00CC1C51"/>
    <w:rsid w:val="00CC63EF"/>
    <w:rsid w:val="00CD0EBB"/>
    <w:rsid w:val="00CD12D4"/>
    <w:rsid w:val="00CD295D"/>
    <w:rsid w:val="00CD2EF1"/>
    <w:rsid w:val="00CD4186"/>
    <w:rsid w:val="00CD4E78"/>
    <w:rsid w:val="00CD5C40"/>
    <w:rsid w:val="00CD5D7E"/>
    <w:rsid w:val="00CE115F"/>
    <w:rsid w:val="00CE555B"/>
    <w:rsid w:val="00CE7B8F"/>
    <w:rsid w:val="00CF251E"/>
    <w:rsid w:val="00CF2A4F"/>
    <w:rsid w:val="00CF41BC"/>
    <w:rsid w:val="00CF470A"/>
    <w:rsid w:val="00CF4CB4"/>
    <w:rsid w:val="00CF657E"/>
    <w:rsid w:val="00CF6C3A"/>
    <w:rsid w:val="00D009F4"/>
    <w:rsid w:val="00D01038"/>
    <w:rsid w:val="00D04771"/>
    <w:rsid w:val="00D04DE2"/>
    <w:rsid w:val="00D063BC"/>
    <w:rsid w:val="00D10614"/>
    <w:rsid w:val="00D10815"/>
    <w:rsid w:val="00D10919"/>
    <w:rsid w:val="00D10A51"/>
    <w:rsid w:val="00D129E1"/>
    <w:rsid w:val="00D13CA0"/>
    <w:rsid w:val="00D166FA"/>
    <w:rsid w:val="00D17185"/>
    <w:rsid w:val="00D2257F"/>
    <w:rsid w:val="00D235CF"/>
    <w:rsid w:val="00D2442F"/>
    <w:rsid w:val="00D24C5F"/>
    <w:rsid w:val="00D27DF1"/>
    <w:rsid w:val="00D301BD"/>
    <w:rsid w:val="00D319E2"/>
    <w:rsid w:val="00D327BF"/>
    <w:rsid w:val="00D3388E"/>
    <w:rsid w:val="00D36829"/>
    <w:rsid w:val="00D40049"/>
    <w:rsid w:val="00D40B46"/>
    <w:rsid w:val="00D41376"/>
    <w:rsid w:val="00D41989"/>
    <w:rsid w:val="00D4215A"/>
    <w:rsid w:val="00D4352D"/>
    <w:rsid w:val="00D4787C"/>
    <w:rsid w:val="00D503CE"/>
    <w:rsid w:val="00D51CA4"/>
    <w:rsid w:val="00D51D13"/>
    <w:rsid w:val="00D531AB"/>
    <w:rsid w:val="00D5399E"/>
    <w:rsid w:val="00D55D44"/>
    <w:rsid w:val="00D55E34"/>
    <w:rsid w:val="00D56CC9"/>
    <w:rsid w:val="00D6072A"/>
    <w:rsid w:val="00D60CA3"/>
    <w:rsid w:val="00D6187B"/>
    <w:rsid w:val="00D65E1B"/>
    <w:rsid w:val="00D669CA"/>
    <w:rsid w:val="00D7013B"/>
    <w:rsid w:val="00D704CF"/>
    <w:rsid w:val="00D72C09"/>
    <w:rsid w:val="00D74F1F"/>
    <w:rsid w:val="00D8162F"/>
    <w:rsid w:val="00D823A1"/>
    <w:rsid w:val="00D827AB"/>
    <w:rsid w:val="00D82832"/>
    <w:rsid w:val="00D82DF9"/>
    <w:rsid w:val="00D83C46"/>
    <w:rsid w:val="00D85B09"/>
    <w:rsid w:val="00D85E7B"/>
    <w:rsid w:val="00D85EFC"/>
    <w:rsid w:val="00D860DB"/>
    <w:rsid w:val="00D86D05"/>
    <w:rsid w:val="00D91591"/>
    <w:rsid w:val="00D96317"/>
    <w:rsid w:val="00D96396"/>
    <w:rsid w:val="00D964C4"/>
    <w:rsid w:val="00DA29F4"/>
    <w:rsid w:val="00DA3624"/>
    <w:rsid w:val="00DA42CF"/>
    <w:rsid w:val="00DA45CF"/>
    <w:rsid w:val="00DA6FFC"/>
    <w:rsid w:val="00DB0649"/>
    <w:rsid w:val="00DB08E8"/>
    <w:rsid w:val="00DB0BEC"/>
    <w:rsid w:val="00DB1B07"/>
    <w:rsid w:val="00DC0311"/>
    <w:rsid w:val="00DC03AC"/>
    <w:rsid w:val="00DC03E9"/>
    <w:rsid w:val="00DC1A61"/>
    <w:rsid w:val="00DC1E7C"/>
    <w:rsid w:val="00DC4771"/>
    <w:rsid w:val="00DC54A8"/>
    <w:rsid w:val="00DC5804"/>
    <w:rsid w:val="00DC67E8"/>
    <w:rsid w:val="00DC7322"/>
    <w:rsid w:val="00DD05D8"/>
    <w:rsid w:val="00DD06A9"/>
    <w:rsid w:val="00DD195C"/>
    <w:rsid w:val="00DD1EC0"/>
    <w:rsid w:val="00DD51C2"/>
    <w:rsid w:val="00DD54F3"/>
    <w:rsid w:val="00DD5D5B"/>
    <w:rsid w:val="00DD635E"/>
    <w:rsid w:val="00DD65FD"/>
    <w:rsid w:val="00DD6F7D"/>
    <w:rsid w:val="00DE1ECB"/>
    <w:rsid w:val="00DE2443"/>
    <w:rsid w:val="00DE3DBA"/>
    <w:rsid w:val="00DE3FBB"/>
    <w:rsid w:val="00DE49DB"/>
    <w:rsid w:val="00DE4D5E"/>
    <w:rsid w:val="00DE617D"/>
    <w:rsid w:val="00DE67BE"/>
    <w:rsid w:val="00DF2979"/>
    <w:rsid w:val="00DF3265"/>
    <w:rsid w:val="00DF43EE"/>
    <w:rsid w:val="00DF4C59"/>
    <w:rsid w:val="00E00A20"/>
    <w:rsid w:val="00E01ACD"/>
    <w:rsid w:val="00E01E96"/>
    <w:rsid w:val="00E030F0"/>
    <w:rsid w:val="00E051DE"/>
    <w:rsid w:val="00E063A8"/>
    <w:rsid w:val="00E070D6"/>
    <w:rsid w:val="00E10B3A"/>
    <w:rsid w:val="00E12849"/>
    <w:rsid w:val="00E13886"/>
    <w:rsid w:val="00E14F7C"/>
    <w:rsid w:val="00E1604C"/>
    <w:rsid w:val="00E166F8"/>
    <w:rsid w:val="00E16803"/>
    <w:rsid w:val="00E204D5"/>
    <w:rsid w:val="00E20F0D"/>
    <w:rsid w:val="00E22751"/>
    <w:rsid w:val="00E227DE"/>
    <w:rsid w:val="00E23A8C"/>
    <w:rsid w:val="00E24B26"/>
    <w:rsid w:val="00E25336"/>
    <w:rsid w:val="00E25B81"/>
    <w:rsid w:val="00E25CDC"/>
    <w:rsid w:val="00E261A0"/>
    <w:rsid w:val="00E2689B"/>
    <w:rsid w:val="00E26A91"/>
    <w:rsid w:val="00E271EE"/>
    <w:rsid w:val="00E27462"/>
    <w:rsid w:val="00E31189"/>
    <w:rsid w:val="00E31E9B"/>
    <w:rsid w:val="00E321E6"/>
    <w:rsid w:val="00E32B76"/>
    <w:rsid w:val="00E333FD"/>
    <w:rsid w:val="00E34376"/>
    <w:rsid w:val="00E35D97"/>
    <w:rsid w:val="00E364D1"/>
    <w:rsid w:val="00E40C2F"/>
    <w:rsid w:val="00E41C0A"/>
    <w:rsid w:val="00E4284D"/>
    <w:rsid w:val="00E45E6E"/>
    <w:rsid w:val="00E47866"/>
    <w:rsid w:val="00E50706"/>
    <w:rsid w:val="00E52300"/>
    <w:rsid w:val="00E539B4"/>
    <w:rsid w:val="00E557D4"/>
    <w:rsid w:val="00E5664F"/>
    <w:rsid w:val="00E56BEC"/>
    <w:rsid w:val="00E56CDB"/>
    <w:rsid w:val="00E57887"/>
    <w:rsid w:val="00E60003"/>
    <w:rsid w:val="00E6059D"/>
    <w:rsid w:val="00E60A52"/>
    <w:rsid w:val="00E613C5"/>
    <w:rsid w:val="00E61486"/>
    <w:rsid w:val="00E628D2"/>
    <w:rsid w:val="00E63AF4"/>
    <w:rsid w:val="00E6578D"/>
    <w:rsid w:val="00E659E6"/>
    <w:rsid w:val="00E65F01"/>
    <w:rsid w:val="00E66F45"/>
    <w:rsid w:val="00E6749A"/>
    <w:rsid w:val="00E70934"/>
    <w:rsid w:val="00E73C4A"/>
    <w:rsid w:val="00E7435C"/>
    <w:rsid w:val="00E74968"/>
    <w:rsid w:val="00E7505B"/>
    <w:rsid w:val="00E7526B"/>
    <w:rsid w:val="00E763BF"/>
    <w:rsid w:val="00E766DE"/>
    <w:rsid w:val="00E77626"/>
    <w:rsid w:val="00E80304"/>
    <w:rsid w:val="00E80BDB"/>
    <w:rsid w:val="00E83984"/>
    <w:rsid w:val="00E83D2D"/>
    <w:rsid w:val="00E85975"/>
    <w:rsid w:val="00E87060"/>
    <w:rsid w:val="00E8752F"/>
    <w:rsid w:val="00E87B19"/>
    <w:rsid w:val="00E902D0"/>
    <w:rsid w:val="00E90FC7"/>
    <w:rsid w:val="00E912DA"/>
    <w:rsid w:val="00E92EC6"/>
    <w:rsid w:val="00E9624D"/>
    <w:rsid w:val="00E96923"/>
    <w:rsid w:val="00E96B1F"/>
    <w:rsid w:val="00E96B8B"/>
    <w:rsid w:val="00E96D8C"/>
    <w:rsid w:val="00E97670"/>
    <w:rsid w:val="00EA1F49"/>
    <w:rsid w:val="00EA352D"/>
    <w:rsid w:val="00EA5654"/>
    <w:rsid w:val="00EA64CF"/>
    <w:rsid w:val="00EA654B"/>
    <w:rsid w:val="00EB194C"/>
    <w:rsid w:val="00EB3259"/>
    <w:rsid w:val="00EB3D05"/>
    <w:rsid w:val="00EC041E"/>
    <w:rsid w:val="00EC1B38"/>
    <w:rsid w:val="00EC4532"/>
    <w:rsid w:val="00EC4F2D"/>
    <w:rsid w:val="00EC60F2"/>
    <w:rsid w:val="00EC7870"/>
    <w:rsid w:val="00EC79AE"/>
    <w:rsid w:val="00ED048A"/>
    <w:rsid w:val="00ED11F0"/>
    <w:rsid w:val="00ED19EF"/>
    <w:rsid w:val="00ED25FA"/>
    <w:rsid w:val="00ED3B87"/>
    <w:rsid w:val="00ED6AAF"/>
    <w:rsid w:val="00ED6C72"/>
    <w:rsid w:val="00ED704A"/>
    <w:rsid w:val="00ED7B61"/>
    <w:rsid w:val="00EE1559"/>
    <w:rsid w:val="00EE2B50"/>
    <w:rsid w:val="00EE2E2C"/>
    <w:rsid w:val="00EE4EDE"/>
    <w:rsid w:val="00EE7DE9"/>
    <w:rsid w:val="00EF1429"/>
    <w:rsid w:val="00EF16A8"/>
    <w:rsid w:val="00EF2720"/>
    <w:rsid w:val="00EF3E8C"/>
    <w:rsid w:val="00EF4358"/>
    <w:rsid w:val="00EF438B"/>
    <w:rsid w:val="00EF466B"/>
    <w:rsid w:val="00EF5980"/>
    <w:rsid w:val="00EF73EE"/>
    <w:rsid w:val="00EF7CAD"/>
    <w:rsid w:val="00F006C7"/>
    <w:rsid w:val="00F00CBE"/>
    <w:rsid w:val="00F017A7"/>
    <w:rsid w:val="00F03EA1"/>
    <w:rsid w:val="00F06A78"/>
    <w:rsid w:val="00F072CD"/>
    <w:rsid w:val="00F0765B"/>
    <w:rsid w:val="00F07F63"/>
    <w:rsid w:val="00F10B86"/>
    <w:rsid w:val="00F11872"/>
    <w:rsid w:val="00F1289E"/>
    <w:rsid w:val="00F12F1B"/>
    <w:rsid w:val="00F13C76"/>
    <w:rsid w:val="00F14889"/>
    <w:rsid w:val="00F16ACA"/>
    <w:rsid w:val="00F1721D"/>
    <w:rsid w:val="00F219EE"/>
    <w:rsid w:val="00F22068"/>
    <w:rsid w:val="00F23ADA"/>
    <w:rsid w:val="00F24394"/>
    <w:rsid w:val="00F25237"/>
    <w:rsid w:val="00F25759"/>
    <w:rsid w:val="00F26385"/>
    <w:rsid w:val="00F264F1"/>
    <w:rsid w:val="00F31C70"/>
    <w:rsid w:val="00F376A4"/>
    <w:rsid w:val="00F37ACB"/>
    <w:rsid w:val="00F413A5"/>
    <w:rsid w:val="00F44C88"/>
    <w:rsid w:val="00F44D7C"/>
    <w:rsid w:val="00F46870"/>
    <w:rsid w:val="00F50194"/>
    <w:rsid w:val="00F52B3B"/>
    <w:rsid w:val="00F52EE0"/>
    <w:rsid w:val="00F546AF"/>
    <w:rsid w:val="00F56154"/>
    <w:rsid w:val="00F56269"/>
    <w:rsid w:val="00F56807"/>
    <w:rsid w:val="00F56F09"/>
    <w:rsid w:val="00F57958"/>
    <w:rsid w:val="00F57EFA"/>
    <w:rsid w:val="00F60CC3"/>
    <w:rsid w:val="00F61F63"/>
    <w:rsid w:val="00F629B9"/>
    <w:rsid w:val="00F635FF"/>
    <w:rsid w:val="00F643EF"/>
    <w:rsid w:val="00F6578D"/>
    <w:rsid w:val="00F67BB3"/>
    <w:rsid w:val="00F70B1E"/>
    <w:rsid w:val="00F70C79"/>
    <w:rsid w:val="00F74A24"/>
    <w:rsid w:val="00F75C5E"/>
    <w:rsid w:val="00F772E3"/>
    <w:rsid w:val="00F774E3"/>
    <w:rsid w:val="00F77920"/>
    <w:rsid w:val="00F80CFD"/>
    <w:rsid w:val="00F80E4F"/>
    <w:rsid w:val="00F8161A"/>
    <w:rsid w:val="00F82723"/>
    <w:rsid w:val="00F82AC9"/>
    <w:rsid w:val="00F83111"/>
    <w:rsid w:val="00F8445B"/>
    <w:rsid w:val="00F85B34"/>
    <w:rsid w:val="00F85B46"/>
    <w:rsid w:val="00F86D0C"/>
    <w:rsid w:val="00F87ABF"/>
    <w:rsid w:val="00F87EA9"/>
    <w:rsid w:val="00F9097A"/>
    <w:rsid w:val="00F92BFE"/>
    <w:rsid w:val="00F944EF"/>
    <w:rsid w:val="00F95B27"/>
    <w:rsid w:val="00F95CEF"/>
    <w:rsid w:val="00F95E1F"/>
    <w:rsid w:val="00FA3371"/>
    <w:rsid w:val="00FA3B5C"/>
    <w:rsid w:val="00FA3BFF"/>
    <w:rsid w:val="00FA4C25"/>
    <w:rsid w:val="00FA5AC8"/>
    <w:rsid w:val="00FA6A57"/>
    <w:rsid w:val="00FA6D27"/>
    <w:rsid w:val="00FA7796"/>
    <w:rsid w:val="00FB2AA6"/>
    <w:rsid w:val="00FB46CE"/>
    <w:rsid w:val="00FB4FC8"/>
    <w:rsid w:val="00FB5883"/>
    <w:rsid w:val="00FB660B"/>
    <w:rsid w:val="00FB749E"/>
    <w:rsid w:val="00FB7DCA"/>
    <w:rsid w:val="00FC03BF"/>
    <w:rsid w:val="00FC09CE"/>
    <w:rsid w:val="00FC2DDB"/>
    <w:rsid w:val="00FC3CC2"/>
    <w:rsid w:val="00FC5689"/>
    <w:rsid w:val="00FC5ECC"/>
    <w:rsid w:val="00FC607F"/>
    <w:rsid w:val="00FC7737"/>
    <w:rsid w:val="00FD0E69"/>
    <w:rsid w:val="00FD15D5"/>
    <w:rsid w:val="00FD180F"/>
    <w:rsid w:val="00FD1BBA"/>
    <w:rsid w:val="00FD1F50"/>
    <w:rsid w:val="00FD2170"/>
    <w:rsid w:val="00FD285E"/>
    <w:rsid w:val="00FD2D2E"/>
    <w:rsid w:val="00FD2F7A"/>
    <w:rsid w:val="00FD3472"/>
    <w:rsid w:val="00FD3565"/>
    <w:rsid w:val="00FD4657"/>
    <w:rsid w:val="00FD4DF3"/>
    <w:rsid w:val="00FD54A4"/>
    <w:rsid w:val="00FD5A32"/>
    <w:rsid w:val="00FE0283"/>
    <w:rsid w:val="00FE1CAC"/>
    <w:rsid w:val="00FE2B70"/>
    <w:rsid w:val="00FE2CBD"/>
    <w:rsid w:val="00FE56AF"/>
    <w:rsid w:val="00FE57EE"/>
    <w:rsid w:val="00FE5EEE"/>
    <w:rsid w:val="00FE725F"/>
    <w:rsid w:val="00FE7BD8"/>
    <w:rsid w:val="00FF0F37"/>
    <w:rsid w:val="00FF149B"/>
    <w:rsid w:val="00FF23BC"/>
    <w:rsid w:val="00FF2A35"/>
    <w:rsid w:val="00FF4BD6"/>
    <w:rsid w:val="00FF5BE7"/>
    <w:rsid w:val="00FF64C6"/>
    <w:rsid w:val="00FF6F8E"/>
    <w:rsid w:val="189373F6"/>
    <w:rsid w:val="28D938C6"/>
    <w:rsid w:val="2EE665D4"/>
    <w:rsid w:val="3EC77BAF"/>
    <w:rsid w:val="532EF8EC"/>
    <w:rsid w:val="53CC640B"/>
    <w:rsid w:val="593CAB10"/>
    <w:rsid w:val="72FCB43B"/>
    <w:rsid w:val="7CB413DA"/>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71B4A116"/>
  <w15:chartTrackingRefBased/>
  <w15:docId w15:val="{9B4171E3-954D-4702-A308-4B2EBFB5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snapToGrid w:val="0"/>
      <w:kern w:val="28"/>
      <w:sz w:val="22"/>
    </w:rPr>
  </w:style>
  <w:style w:type="paragraph" w:styleId="Heading1">
    <w:name w:val="heading 1"/>
    <w:basedOn w:val="Normal"/>
    <w:next w:val="ParaNum"/>
    <w:qFormat/>
    <w:pPr>
      <w:keepNext/>
      <w:numPr>
        <w:numId w:val="3"/>
      </w:numPr>
      <w:tabs>
        <w:tab w:val="left" w:pos="720"/>
      </w:tabs>
      <w:suppressAutoHyphens/>
      <w:spacing w:after="120"/>
      <w:outlineLvl w:val="0"/>
    </w:pPr>
    <w:rPr>
      <w:rFonts w:ascii="Times New Roman Bold" w:hAnsi="Times New Roman Bold"/>
      <w:b/>
      <w:caps/>
    </w:rPr>
  </w:style>
  <w:style w:type="paragraph" w:styleId="Heading2">
    <w:name w:val="heading 2"/>
    <w:basedOn w:val="Normal"/>
    <w:next w:val="ParaNum"/>
    <w:autoRedefine/>
    <w:qFormat/>
    <w:pPr>
      <w:keepNext/>
      <w:numPr>
        <w:ilvl w:val="1"/>
        <w:numId w:val="3"/>
      </w:numPr>
      <w:spacing w:after="120"/>
      <w:outlineLvl w:val="1"/>
    </w:pPr>
    <w:rPr>
      <w:b/>
    </w:rPr>
  </w:style>
  <w:style w:type="paragraph" w:styleId="Heading3">
    <w:name w:val="heading 3"/>
    <w:basedOn w:val="Normal"/>
    <w:next w:val="ParaNum"/>
    <w:qFormat/>
    <w:pPr>
      <w:keepNext/>
      <w:numPr>
        <w:ilvl w:val="2"/>
        <w:numId w:val="3"/>
      </w:numPr>
      <w:tabs>
        <w:tab w:val="left" w:pos="2160"/>
      </w:tabs>
      <w:spacing w:after="120"/>
      <w:outlineLvl w:val="2"/>
    </w:pPr>
    <w:rPr>
      <w:b/>
    </w:rPr>
  </w:style>
  <w:style w:type="paragraph" w:styleId="Heading4">
    <w:name w:val="heading 4"/>
    <w:basedOn w:val="Normal"/>
    <w:next w:val="ParaNum"/>
    <w:qFormat/>
    <w:pPr>
      <w:keepNext/>
      <w:numPr>
        <w:ilvl w:val="3"/>
        <w:numId w:val="3"/>
      </w:numPr>
      <w:tabs>
        <w:tab w:val="left" w:pos="2880"/>
      </w:tabs>
      <w:spacing w:after="120"/>
      <w:outlineLvl w:val="3"/>
    </w:pPr>
    <w:rPr>
      <w:b/>
    </w:rPr>
  </w:style>
  <w:style w:type="paragraph" w:styleId="Heading5">
    <w:name w:val="heading 5"/>
    <w:basedOn w:val="Normal"/>
    <w:next w:val="ParaNum"/>
    <w:qFormat/>
    <w:pPr>
      <w:keepNext/>
      <w:numPr>
        <w:ilvl w:val="4"/>
        <w:numId w:val="3"/>
      </w:numPr>
      <w:tabs>
        <w:tab w:val="left" w:pos="3600"/>
      </w:tabs>
      <w:suppressAutoHyphens/>
      <w:spacing w:after="120"/>
      <w:outlineLvl w:val="4"/>
    </w:pPr>
    <w:rPr>
      <w:b/>
    </w:rPr>
  </w:style>
  <w:style w:type="paragraph" w:styleId="Heading6">
    <w:name w:val="heading 6"/>
    <w:basedOn w:val="Normal"/>
    <w:next w:val="ParaNum"/>
    <w:qFormat/>
    <w:pPr>
      <w:numPr>
        <w:ilvl w:val="5"/>
        <w:numId w:val="3"/>
      </w:numPr>
      <w:tabs>
        <w:tab w:val="left" w:pos="4320"/>
      </w:tabs>
      <w:spacing w:after="120"/>
      <w:outlineLvl w:val="5"/>
    </w:pPr>
    <w:rPr>
      <w:b/>
    </w:rPr>
  </w:style>
  <w:style w:type="paragraph" w:styleId="Heading7">
    <w:name w:val="heading 7"/>
    <w:basedOn w:val="Normal"/>
    <w:next w:val="ParaNum"/>
    <w:qFormat/>
    <w:pPr>
      <w:numPr>
        <w:ilvl w:val="6"/>
        <w:numId w:val="3"/>
      </w:numPr>
      <w:tabs>
        <w:tab w:val="left" w:pos="5040"/>
      </w:tabs>
      <w:spacing w:after="120"/>
      <w:ind w:left="5040" w:hanging="720"/>
      <w:outlineLvl w:val="6"/>
    </w:pPr>
    <w:rPr>
      <w:b/>
    </w:rPr>
  </w:style>
  <w:style w:type="paragraph" w:styleId="Heading8">
    <w:name w:val="heading 8"/>
    <w:basedOn w:val="Normal"/>
    <w:next w:val="ParaNum"/>
    <w:qFormat/>
    <w:pPr>
      <w:numPr>
        <w:ilvl w:val="7"/>
        <w:numId w:val="3"/>
      </w:numPr>
      <w:tabs>
        <w:tab w:val="clear" w:pos="5400"/>
        <w:tab w:val="left" w:pos="5760"/>
      </w:tabs>
      <w:spacing w:after="120"/>
      <w:ind w:left="5760" w:hanging="720"/>
      <w:outlineLvl w:val="7"/>
    </w:pPr>
    <w:rPr>
      <w:b/>
    </w:rPr>
  </w:style>
  <w:style w:type="paragraph" w:styleId="Heading9">
    <w:name w:val="heading 9"/>
    <w:basedOn w:val="Normal"/>
    <w:next w:val="ParaNum"/>
    <w:qFormat/>
    <w:pPr>
      <w:numPr>
        <w:ilvl w:val="8"/>
        <w:numId w:val="3"/>
      </w:numPr>
      <w:tabs>
        <w:tab w:val="clear" w:pos="6120"/>
        <w:tab w:val="left" w:pos="6480"/>
      </w:tabs>
      <w:spacing w:after="120"/>
      <w:ind w:left="6480" w:hanging="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
    <w:name w:val="ParaNum"/>
    <w:basedOn w:val="Normal"/>
    <w:pPr>
      <w:numPr>
        <w:numId w:val="2"/>
      </w:numPr>
      <w:tabs>
        <w:tab w:val="clear" w:pos="1080"/>
        <w:tab w:val="num" w:pos="1440"/>
      </w:tabs>
      <w:spacing w:after="120"/>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FootnoteText">
    <w:name w:val="footnote text"/>
    <w:aliases w:val="ALTS FOOTNOTE,ALTS FOOTNOTE Char1,Footnote Text Char Char,Footnote Text Char1,Footnote Text Char2,Footnote Text Char2 Char Char,Footnote Text Char2 Char1 Char1 Char Char,Footnote Text Char3 Char1 Char Char,Footnote Text... + Italic,f,fn,f "/>
    <w:link w:val="FootnoteTextChar"/>
    <w:uiPriority w:val="99"/>
    <w:qFormat/>
    <w:pPr>
      <w:spacing w:after="120"/>
    </w:pPr>
  </w:style>
  <w:style w:type="character" w:styleId="FootnoteReference">
    <w:name w:val="footnote reference"/>
    <w:aliases w:val="(NECG) Footnote Reference,-E Funotenzeichen,A,Appel note de bas de p,FR,Footnote Reference/,Footnote Reference1,Ref,Style 1,Style 12,Style 124,Style 13,Style 17,Style 20,Style 3,Style 34,Style 4,Style 6,Style 7,Style 9,callout,fr,o,R"/>
    <w:uiPriority w:val="99"/>
    <w:qFormat/>
    <w:rPr>
      <w:rFonts w:ascii="Times New Roman" w:hAnsi="Times New Roman"/>
      <w:dstrike w:val="0"/>
      <w:color w:val="auto"/>
      <w:sz w:val="22"/>
      <w:vertAlign w:val="superscript"/>
    </w:rPr>
  </w:style>
  <w:style w:type="paragraph" w:styleId="TOC1">
    <w:name w:val="toc 1"/>
    <w:basedOn w:val="Normal"/>
    <w:next w:val="Normal"/>
    <w:uiPriority w:val="39"/>
    <w:pPr>
      <w:tabs>
        <w:tab w:val="left" w:pos="360"/>
        <w:tab w:val="right" w:leader="dot" w:pos="9360"/>
      </w:tabs>
      <w:suppressAutoHyphens/>
      <w:ind w:left="360" w:right="720" w:hanging="360"/>
    </w:pPr>
    <w:rPr>
      <w:caps/>
      <w:noProof/>
    </w:rPr>
  </w:style>
  <w:style w:type="paragraph" w:styleId="TOC2">
    <w:name w:val="toc 2"/>
    <w:basedOn w:val="Normal"/>
    <w:next w:val="Normal"/>
    <w:semiHidden/>
    <w:pPr>
      <w:tabs>
        <w:tab w:val="left" w:pos="720"/>
        <w:tab w:val="right" w:leader="dot" w:pos="9360"/>
      </w:tabs>
      <w:suppressAutoHyphens/>
      <w:ind w:left="720" w:right="720" w:hanging="360"/>
    </w:pPr>
    <w:rPr>
      <w:noProof/>
    </w:rPr>
  </w:style>
  <w:style w:type="paragraph" w:styleId="TOC3">
    <w:name w:val="toc 3"/>
    <w:basedOn w:val="Normal"/>
    <w:next w:val="Normal"/>
    <w:semiHidden/>
    <w:pPr>
      <w:tabs>
        <w:tab w:val="left" w:pos="1080"/>
        <w:tab w:val="right" w:leader="dot" w:pos="9360"/>
      </w:tabs>
      <w:suppressAutoHyphens/>
      <w:ind w:left="1080" w:right="720" w:hanging="360"/>
    </w:pPr>
    <w:rPr>
      <w:noProof/>
    </w:rPr>
  </w:style>
  <w:style w:type="paragraph" w:styleId="TOC4">
    <w:name w:val="toc 4"/>
    <w:basedOn w:val="Normal"/>
    <w:next w:val="Normal"/>
    <w:autoRedefine/>
    <w:semiHidden/>
    <w:pPr>
      <w:tabs>
        <w:tab w:val="left" w:pos="1440"/>
        <w:tab w:val="right" w:leader="dot" w:pos="9360"/>
      </w:tabs>
      <w:suppressAutoHyphens/>
      <w:ind w:left="1440" w:right="720" w:hanging="360"/>
    </w:pPr>
    <w:rPr>
      <w:noProof/>
    </w:rPr>
  </w:style>
  <w:style w:type="paragraph" w:styleId="TOC5">
    <w:name w:val="toc 5"/>
    <w:basedOn w:val="Normal"/>
    <w:next w:val="Normal"/>
    <w:autoRedefine/>
    <w:semiHidden/>
    <w:pPr>
      <w:tabs>
        <w:tab w:val="left" w:pos="1800"/>
        <w:tab w:val="right" w:leader="dot" w:pos="9360"/>
      </w:tabs>
      <w:suppressAutoHyphens/>
      <w:ind w:left="1800" w:right="720" w:hanging="360"/>
    </w:pPr>
    <w:rPr>
      <w:noProof/>
    </w:rPr>
  </w:style>
  <w:style w:type="paragraph" w:styleId="TOC6">
    <w:name w:val="toc 6"/>
    <w:basedOn w:val="Normal"/>
    <w:next w:val="Normal"/>
    <w:autoRedefine/>
    <w:semiHidden/>
    <w:pPr>
      <w:tabs>
        <w:tab w:val="left" w:pos="2160"/>
        <w:tab w:val="right" w:leader="dot" w:pos="9360"/>
      </w:tabs>
      <w:suppressAutoHyphens/>
      <w:ind w:left="2160" w:hanging="360"/>
    </w:pPr>
    <w:rPr>
      <w:noProof/>
    </w:rPr>
  </w:style>
  <w:style w:type="paragraph" w:styleId="TOC7">
    <w:name w:val="toc 7"/>
    <w:basedOn w:val="Normal"/>
    <w:next w:val="Normal"/>
    <w:autoRedefine/>
    <w:semiHidden/>
    <w:pPr>
      <w:tabs>
        <w:tab w:val="left" w:pos="2520"/>
        <w:tab w:val="right" w:leader="dot" w:pos="9360"/>
      </w:tabs>
      <w:suppressAutoHyphens/>
      <w:ind w:left="2520" w:hanging="360"/>
    </w:pPr>
    <w:rPr>
      <w:noProof/>
    </w:rPr>
  </w:style>
  <w:style w:type="paragraph" w:styleId="TOC8">
    <w:name w:val="toc 8"/>
    <w:basedOn w:val="Normal"/>
    <w:next w:val="Normal"/>
    <w:autoRedefine/>
    <w:semiHidden/>
    <w:pPr>
      <w:tabs>
        <w:tab w:val="left" w:pos="2880"/>
        <w:tab w:val="right" w:leader="dot" w:pos="9360"/>
      </w:tabs>
      <w:suppressAutoHyphens/>
      <w:ind w:left="2880" w:hanging="360"/>
    </w:pPr>
    <w:rPr>
      <w:noProof/>
    </w:rPr>
  </w:style>
  <w:style w:type="paragraph" w:styleId="TOC9">
    <w:name w:val="toc 9"/>
    <w:basedOn w:val="Normal"/>
    <w:next w:val="Normal"/>
    <w:autoRedefine/>
    <w:semiHidden/>
    <w:pPr>
      <w:tabs>
        <w:tab w:val="left" w:pos="3240"/>
        <w:tab w:val="right" w:leader="dot" w:pos="9360"/>
      </w:tabs>
      <w:suppressAutoHyphens/>
      <w:ind w:left="3240" w:hanging="360"/>
    </w:pPr>
    <w:rPr>
      <w:noProof/>
    </w:rPr>
  </w:style>
  <w:style w:type="paragraph" w:styleId="TOAHeading">
    <w:name w:val="toa heading"/>
    <w:basedOn w:val="Normal"/>
    <w:next w:val="Normal"/>
    <w:semiHidden/>
    <w:pPr>
      <w:tabs>
        <w:tab w:val="right" w:pos="9360"/>
      </w:tabs>
      <w:suppressAutoHyphens/>
    </w:pPr>
  </w:style>
  <w:style w:type="character" w:customStyle="1" w:styleId="EquationCaption">
    <w:name w:val="_Equation Caption"/>
  </w:style>
  <w:style w:type="paragraph" w:styleId="Header">
    <w:name w:val="header"/>
    <w:basedOn w:val="Normal"/>
    <w:autoRedefine/>
    <w:pPr>
      <w:tabs>
        <w:tab w:val="center" w:pos="4680"/>
        <w:tab w:val="right" w:pos="9360"/>
      </w:tabs>
    </w:pPr>
    <w:rPr>
      <w:rFonts w:ascii="Arial" w:hAnsi="Arial" w:cs="Arial"/>
      <w:b/>
      <w:sz w:val="96"/>
      <w:szCs w:val="96"/>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lockText">
    <w:name w:val="Block Text"/>
    <w:basedOn w:val="Normal"/>
    <w:pPr>
      <w:spacing w:after="240"/>
      <w:ind w:left="1440" w:right="1440"/>
    </w:pPr>
  </w:style>
  <w:style w:type="paragraph" w:customStyle="1" w:styleId="Paratitle">
    <w:name w:val="Para title"/>
    <w:basedOn w:val="Normal"/>
    <w:pPr>
      <w:tabs>
        <w:tab w:val="center" w:pos="9270"/>
      </w:tabs>
      <w:spacing w:after="240"/>
    </w:pPr>
    <w:rPr>
      <w:spacing w:val="-2"/>
    </w:rPr>
  </w:style>
  <w:style w:type="paragraph" w:customStyle="1" w:styleId="Bullet">
    <w:name w:val="Bullet"/>
    <w:basedOn w:val="Normal"/>
    <w:pPr>
      <w:numPr>
        <w:numId w:val="1"/>
      </w:numPr>
      <w:tabs>
        <w:tab w:val="clear" w:pos="360"/>
        <w:tab w:val="left" w:pos="2160"/>
      </w:tabs>
      <w:spacing w:after="220"/>
      <w:ind w:left="2160" w:hanging="720"/>
    </w:pPr>
  </w:style>
  <w:style w:type="paragraph" w:customStyle="1" w:styleId="TableFormat">
    <w:name w:val="TableFormat"/>
    <w:basedOn w:val="Bullet"/>
    <w:pPr>
      <w:numPr>
        <w:numId w:val="0"/>
      </w:numPr>
      <w:tabs>
        <w:tab w:val="clear" w:pos="2160"/>
        <w:tab w:val="left" w:pos="5040"/>
      </w:tabs>
      <w:ind w:left="5040" w:hanging="3600"/>
    </w:pPr>
  </w:style>
  <w:style w:type="paragraph" w:customStyle="1" w:styleId="TOCTitle">
    <w:name w:val="TOC Title"/>
    <w:basedOn w:val="Normal"/>
    <w:pPr>
      <w:spacing w:before="240" w:after="240"/>
      <w:jc w:val="center"/>
    </w:pPr>
    <w:rPr>
      <w:rFonts w:ascii="Times New Roman Bold" w:hAnsi="Times New Roman Bold"/>
      <w:b/>
      <w:caps/>
      <w:spacing w:val="-2"/>
    </w:rPr>
  </w:style>
  <w:style w:type="paragraph" w:customStyle="1" w:styleId="StyleBoldCentered">
    <w:name w:val="Style Bold Centered"/>
    <w:basedOn w:val="Normal"/>
    <w:pPr>
      <w:jc w:val="center"/>
    </w:pPr>
    <w:rPr>
      <w:rFonts w:ascii="Times New Roman Bold" w:hAnsi="Times New Roman Bold"/>
      <w:b/>
      <w:bCs/>
      <w:caps/>
      <w:szCs w:val="22"/>
    </w:rPr>
  </w:style>
  <w:style w:type="character" w:styleId="Hyperlink">
    <w:name w:val="Hyperlink"/>
    <w:rPr>
      <w:color w:val="0000FF"/>
      <w:u w:val="single"/>
    </w:rPr>
  </w:style>
  <w:style w:type="character" w:customStyle="1" w:styleId="FooterChar">
    <w:name w:val="Footer Char"/>
    <w:link w:val="Footer"/>
    <w:uiPriority w:val="99"/>
    <w:rPr>
      <w:snapToGrid w:val="0"/>
      <w:kern w:val="28"/>
      <w:sz w:val="22"/>
    </w:rPr>
  </w:style>
  <w:style w:type="character" w:styleId="UnresolvedMention">
    <w:name w:val="Unresolved Mention"/>
    <w:uiPriority w:val="99"/>
    <w:semiHidden/>
    <w:unhideWhenUsed/>
    <w:rPr>
      <w:color w:val="605E5C"/>
      <w:shd w:val="clear" w:color="auto" w:fill="E1DFDD"/>
    </w:rPr>
  </w:style>
  <w:style w:type="character" w:customStyle="1" w:styleId="FootnoteTextChar">
    <w:name w:val="Footnote Text Char"/>
    <w:aliases w:val="ALTS FOOTNOTE Char,ALTS FOOTNOTE Char1 Char,Footnote Text Char Char Char,Footnote Text Char1 Char,Footnote Text Char2 Char,Footnote Text Char2 Char Char Char,Footnote Text Char2 Char1 Char1 Char Char Char,f Char,fn Char,f  Char"/>
    <w:link w:val="FootnoteText"/>
    <w:uiPriority w:val="99"/>
    <w:rsid w:val="007C2612"/>
  </w:style>
  <w:style w:type="character" w:styleId="CommentReference">
    <w:name w:val="annotation reference"/>
    <w:uiPriority w:val="99"/>
    <w:semiHidden/>
    <w:unhideWhenUsed/>
    <w:rsid w:val="00836753"/>
    <w:rPr>
      <w:sz w:val="16"/>
      <w:szCs w:val="16"/>
    </w:rPr>
  </w:style>
  <w:style w:type="paragraph" w:styleId="CommentText">
    <w:name w:val="annotation text"/>
    <w:basedOn w:val="Normal"/>
    <w:link w:val="CommentTextChar"/>
    <w:uiPriority w:val="99"/>
    <w:unhideWhenUsed/>
    <w:rsid w:val="00A26BE5"/>
    <w:rPr>
      <w:sz w:val="20"/>
    </w:rPr>
  </w:style>
  <w:style w:type="character" w:customStyle="1" w:styleId="CommentTextChar">
    <w:name w:val="Comment Text Char"/>
    <w:basedOn w:val="DefaultParagraphFont"/>
    <w:link w:val="CommentText"/>
    <w:uiPriority w:val="99"/>
    <w:rsid w:val="00A26BE5"/>
    <w:rPr>
      <w:snapToGrid w:val="0"/>
      <w:kern w:val="28"/>
    </w:rPr>
  </w:style>
  <w:style w:type="paragraph" w:styleId="CommentSubject">
    <w:name w:val="annotation subject"/>
    <w:basedOn w:val="CommentText"/>
    <w:next w:val="CommentText"/>
    <w:link w:val="CommentSubjectChar"/>
    <w:uiPriority w:val="99"/>
    <w:semiHidden/>
    <w:unhideWhenUsed/>
    <w:rsid w:val="00A26BE5"/>
    <w:rPr>
      <w:b/>
      <w:bCs/>
    </w:rPr>
  </w:style>
  <w:style w:type="character" w:customStyle="1" w:styleId="CommentSubjectChar">
    <w:name w:val="Comment Subject Char"/>
    <w:basedOn w:val="CommentTextChar"/>
    <w:link w:val="CommentSubject"/>
    <w:uiPriority w:val="99"/>
    <w:semiHidden/>
    <w:rsid w:val="00A26BE5"/>
    <w:rPr>
      <w:b/>
      <w:bCs/>
      <w:snapToGrid w:val="0"/>
      <w:kern w:val="28"/>
    </w:rPr>
  </w:style>
  <w:style w:type="table" w:styleId="TableGrid">
    <w:name w:val="Table Grid"/>
    <w:basedOn w:val="TableNormal"/>
    <w:uiPriority w:val="59"/>
    <w:rsid w:val="00172F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24394"/>
    <w:pPr>
      <w:autoSpaceDE w:val="0"/>
      <w:autoSpaceDN w:val="0"/>
      <w:ind w:left="1080" w:hanging="360"/>
    </w:pPr>
    <w:rPr>
      <w:snapToGrid/>
      <w:kern w:val="0"/>
      <w:sz w:val="24"/>
      <w:szCs w:val="24"/>
    </w:rPr>
  </w:style>
  <w:style w:type="character" w:customStyle="1" w:styleId="BodyTextChar">
    <w:name w:val="Body Text Char"/>
    <w:basedOn w:val="DefaultParagraphFont"/>
    <w:link w:val="BodyText"/>
    <w:uiPriority w:val="1"/>
    <w:rsid w:val="00F24394"/>
    <w:rPr>
      <w:sz w:val="24"/>
      <w:szCs w:val="24"/>
    </w:rPr>
  </w:style>
  <w:style w:type="paragraph" w:styleId="ListParagraph">
    <w:name w:val="List Paragraph"/>
    <w:basedOn w:val="Normal"/>
    <w:uiPriority w:val="1"/>
    <w:qFormat/>
    <w:rsid w:val="00F24394"/>
    <w:pPr>
      <w:autoSpaceDE w:val="0"/>
      <w:autoSpaceDN w:val="0"/>
      <w:ind w:left="1080" w:hanging="360"/>
    </w:pPr>
    <w:rPr>
      <w:snapToGrid/>
      <w:kern w:val="0"/>
      <w:szCs w:val="22"/>
    </w:rPr>
  </w:style>
  <w:style w:type="paragraph" w:styleId="Revision">
    <w:name w:val="Revision"/>
    <w:hidden/>
    <w:uiPriority w:val="99"/>
    <w:semiHidden/>
    <w:rsid w:val="00B878A5"/>
    <w:rPr>
      <w:snapToGrid w:val="0"/>
      <w:kern w:val="28"/>
      <w:sz w:val="22"/>
    </w:rPr>
  </w:style>
  <w:style w:type="character" w:styleId="FollowedHyperlink">
    <w:name w:val="FollowedHyperlink"/>
    <w:basedOn w:val="DefaultParagraphFont"/>
    <w:uiPriority w:val="99"/>
    <w:semiHidden/>
    <w:unhideWhenUsed/>
    <w:rsid w:val="00E20F0D"/>
    <w:rPr>
      <w:color w:val="96607D" w:themeColor="followedHyperlink"/>
      <w:u w:val="single"/>
    </w:rPr>
  </w:style>
  <w:style w:type="character" w:styleId="Mention">
    <w:name w:val="Mention"/>
    <w:basedOn w:val="DefaultParagraphFont"/>
    <w:uiPriority w:val="99"/>
    <w:unhideWhenUsed/>
    <w:rsid w:val="00272ACF"/>
    <w:rPr>
      <w:color w:val="2B579A"/>
      <w:shd w:val="clear" w:color="auto" w:fill="E1DFDD"/>
    </w:rPr>
  </w:style>
  <w:style w:type="paragraph" w:styleId="BalloonText">
    <w:name w:val="Balloon Text"/>
    <w:basedOn w:val="Normal"/>
    <w:link w:val="BalloonTextChar"/>
    <w:uiPriority w:val="99"/>
    <w:semiHidden/>
    <w:unhideWhenUsed/>
    <w:rsid w:val="00B312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2BA"/>
    <w:rPr>
      <w:rFonts w:ascii="Segoe UI" w:hAnsi="Segoe UI" w:cs="Segoe UI"/>
      <w:snapToGrid w:val="0"/>
      <w:kern w:val="28"/>
      <w:sz w:val="18"/>
      <w:szCs w:val="18"/>
    </w:rPr>
  </w:style>
  <w:style w:type="paragraph" w:styleId="Bibliography">
    <w:name w:val="Bibliography"/>
    <w:basedOn w:val="Normal"/>
    <w:next w:val="Normal"/>
    <w:uiPriority w:val="37"/>
    <w:semiHidden/>
    <w:unhideWhenUsed/>
    <w:rsid w:val="00B312BA"/>
  </w:style>
  <w:style w:type="paragraph" w:styleId="BodyText2">
    <w:name w:val="Body Text 2"/>
    <w:basedOn w:val="Normal"/>
    <w:link w:val="BodyText2Char"/>
    <w:uiPriority w:val="99"/>
    <w:semiHidden/>
    <w:unhideWhenUsed/>
    <w:rsid w:val="00B312BA"/>
    <w:pPr>
      <w:spacing w:after="120" w:line="480" w:lineRule="auto"/>
    </w:pPr>
  </w:style>
  <w:style w:type="character" w:customStyle="1" w:styleId="BodyText2Char">
    <w:name w:val="Body Text 2 Char"/>
    <w:basedOn w:val="DefaultParagraphFont"/>
    <w:link w:val="BodyText2"/>
    <w:uiPriority w:val="99"/>
    <w:semiHidden/>
    <w:rsid w:val="00B312BA"/>
    <w:rPr>
      <w:snapToGrid w:val="0"/>
      <w:kern w:val="28"/>
      <w:sz w:val="22"/>
    </w:rPr>
  </w:style>
  <w:style w:type="paragraph" w:styleId="BodyText3">
    <w:name w:val="Body Text 3"/>
    <w:basedOn w:val="Normal"/>
    <w:link w:val="BodyText3Char"/>
    <w:uiPriority w:val="99"/>
    <w:semiHidden/>
    <w:unhideWhenUsed/>
    <w:rsid w:val="00B312BA"/>
    <w:pPr>
      <w:spacing w:after="120"/>
    </w:pPr>
    <w:rPr>
      <w:sz w:val="16"/>
      <w:szCs w:val="16"/>
    </w:rPr>
  </w:style>
  <w:style w:type="character" w:customStyle="1" w:styleId="BodyText3Char">
    <w:name w:val="Body Text 3 Char"/>
    <w:basedOn w:val="DefaultParagraphFont"/>
    <w:link w:val="BodyText3"/>
    <w:uiPriority w:val="99"/>
    <w:semiHidden/>
    <w:rsid w:val="00B312BA"/>
    <w:rPr>
      <w:snapToGrid w:val="0"/>
      <w:kern w:val="28"/>
      <w:sz w:val="16"/>
      <w:szCs w:val="16"/>
    </w:rPr>
  </w:style>
  <w:style w:type="paragraph" w:styleId="BodyTextFirstIndent">
    <w:name w:val="Body Text First Indent"/>
    <w:basedOn w:val="BodyText"/>
    <w:link w:val="BodyTextFirstIndentChar"/>
    <w:uiPriority w:val="99"/>
    <w:semiHidden/>
    <w:unhideWhenUsed/>
    <w:rsid w:val="00B312BA"/>
    <w:pPr>
      <w:autoSpaceDE/>
      <w:autoSpaceDN/>
      <w:ind w:left="0" w:firstLine="360"/>
    </w:pPr>
    <w:rPr>
      <w:snapToGrid w:val="0"/>
      <w:kern w:val="28"/>
      <w:sz w:val="22"/>
      <w:szCs w:val="20"/>
    </w:rPr>
  </w:style>
  <w:style w:type="character" w:customStyle="1" w:styleId="BodyTextFirstIndentChar">
    <w:name w:val="Body Text First Indent Char"/>
    <w:basedOn w:val="BodyTextChar"/>
    <w:link w:val="BodyTextFirstIndent"/>
    <w:uiPriority w:val="99"/>
    <w:semiHidden/>
    <w:rsid w:val="00B312BA"/>
    <w:rPr>
      <w:snapToGrid w:val="0"/>
      <w:kern w:val="28"/>
      <w:sz w:val="22"/>
      <w:szCs w:val="24"/>
    </w:rPr>
  </w:style>
  <w:style w:type="paragraph" w:styleId="BodyTextIndent">
    <w:name w:val="Body Text Indent"/>
    <w:basedOn w:val="Normal"/>
    <w:link w:val="BodyTextIndentChar"/>
    <w:uiPriority w:val="99"/>
    <w:semiHidden/>
    <w:unhideWhenUsed/>
    <w:rsid w:val="00B312BA"/>
    <w:pPr>
      <w:spacing w:after="120"/>
      <w:ind w:left="360"/>
    </w:pPr>
  </w:style>
  <w:style w:type="character" w:customStyle="1" w:styleId="BodyTextIndentChar">
    <w:name w:val="Body Text Indent Char"/>
    <w:basedOn w:val="DefaultParagraphFont"/>
    <w:link w:val="BodyTextIndent"/>
    <w:uiPriority w:val="99"/>
    <w:semiHidden/>
    <w:rsid w:val="00B312BA"/>
    <w:rPr>
      <w:snapToGrid w:val="0"/>
      <w:kern w:val="28"/>
      <w:sz w:val="22"/>
    </w:rPr>
  </w:style>
  <w:style w:type="paragraph" w:styleId="BodyTextFirstIndent2">
    <w:name w:val="Body Text First Indent 2"/>
    <w:basedOn w:val="BodyTextIndent"/>
    <w:link w:val="BodyTextFirstIndent2Char"/>
    <w:uiPriority w:val="99"/>
    <w:semiHidden/>
    <w:unhideWhenUsed/>
    <w:rsid w:val="00B312BA"/>
    <w:pPr>
      <w:spacing w:after="0"/>
      <w:ind w:firstLine="360"/>
    </w:pPr>
  </w:style>
  <w:style w:type="character" w:customStyle="1" w:styleId="BodyTextFirstIndent2Char">
    <w:name w:val="Body Text First Indent 2 Char"/>
    <w:basedOn w:val="BodyTextIndentChar"/>
    <w:link w:val="BodyTextFirstIndent2"/>
    <w:uiPriority w:val="99"/>
    <w:semiHidden/>
    <w:rsid w:val="00B312BA"/>
    <w:rPr>
      <w:snapToGrid w:val="0"/>
      <w:kern w:val="28"/>
      <w:sz w:val="22"/>
    </w:rPr>
  </w:style>
  <w:style w:type="paragraph" w:styleId="BodyTextIndent2">
    <w:name w:val="Body Text Indent 2"/>
    <w:basedOn w:val="Normal"/>
    <w:link w:val="BodyTextIndent2Char"/>
    <w:uiPriority w:val="99"/>
    <w:semiHidden/>
    <w:unhideWhenUsed/>
    <w:rsid w:val="00B312BA"/>
    <w:pPr>
      <w:spacing w:after="120" w:line="480" w:lineRule="auto"/>
      <w:ind w:left="360"/>
    </w:pPr>
  </w:style>
  <w:style w:type="character" w:customStyle="1" w:styleId="BodyTextIndent2Char">
    <w:name w:val="Body Text Indent 2 Char"/>
    <w:basedOn w:val="DefaultParagraphFont"/>
    <w:link w:val="BodyTextIndent2"/>
    <w:uiPriority w:val="99"/>
    <w:semiHidden/>
    <w:rsid w:val="00B312BA"/>
    <w:rPr>
      <w:snapToGrid w:val="0"/>
      <w:kern w:val="28"/>
      <w:sz w:val="22"/>
    </w:rPr>
  </w:style>
  <w:style w:type="paragraph" w:styleId="BodyTextIndent3">
    <w:name w:val="Body Text Indent 3"/>
    <w:basedOn w:val="Normal"/>
    <w:link w:val="BodyTextIndent3Char"/>
    <w:uiPriority w:val="99"/>
    <w:semiHidden/>
    <w:unhideWhenUsed/>
    <w:rsid w:val="00B312B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312BA"/>
    <w:rPr>
      <w:snapToGrid w:val="0"/>
      <w:kern w:val="28"/>
      <w:sz w:val="16"/>
      <w:szCs w:val="16"/>
    </w:rPr>
  </w:style>
  <w:style w:type="paragraph" w:styleId="Caption">
    <w:name w:val="caption"/>
    <w:basedOn w:val="Normal"/>
    <w:next w:val="Normal"/>
    <w:uiPriority w:val="35"/>
    <w:semiHidden/>
    <w:unhideWhenUsed/>
    <w:qFormat/>
    <w:rsid w:val="00B312BA"/>
    <w:pPr>
      <w:spacing w:after="200"/>
    </w:pPr>
    <w:rPr>
      <w:i/>
      <w:iCs/>
      <w:color w:val="0E2841" w:themeColor="text2"/>
      <w:sz w:val="18"/>
      <w:szCs w:val="18"/>
    </w:rPr>
  </w:style>
  <w:style w:type="paragraph" w:styleId="Closing">
    <w:name w:val="Closing"/>
    <w:basedOn w:val="Normal"/>
    <w:link w:val="ClosingChar"/>
    <w:uiPriority w:val="99"/>
    <w:semiHidden/>
    <w:unhideWhenUsed/>
    <w:rsid w:val="00B312BA"/>
    <w:pPr>
      <w:ind w:left="4320"/>
    </w:pPr>
  </w:style>
  <w:style w:type="character" w:customStyle="1" w:styleId="ClosingChar">
    <w:name w:val="Closing Char"/>
    <w:basedOn w:val="DefaultParagraphFont"/>
    <w:link w:val="Closing"/>
    <w:uiPriority w:val="99"/>
    <w:semiHidden/>
    <w:rsid w:val="00B312BA"/>
    <w:rPr>
      <w:snapToGrid w:val="0"/>
      <w:kern w:val="28"/>
      <w:sz w:val="22"/>
    </w:rPr>
  </w:style>
  <w:style w:type="paragraph" w:styleId="Date">
    <w:name w:val="Date"/>
    <w:basedOn w:val="Normal"/>
    <w:next w:val="Normal"/>
    <w:link w:val="DateChar"/>
    <w:uiPriority w:val="99"/>
    <w:semiHidden/>
    <w:unhideWhenUsed/>
    <w:rsid w:val="00B312BA"/>
  </w:style>
  <w:style w:type="character" w:customStyle="1" w:styleId="DateChar">
    <w:name w:val="Date Char"/>
    <w:basedOn w:val="DefaultParagraphFont"/>
    <w:link w:val="Date"/>
    <w:uiPriority w:val="99"/>
    <w:semiHidden/>
    <w:rsid w:val="00B312BA"/>
    <w:rPr>
      <w:snapToGrid w:val="0"/>
      <w:kern w:val="28"/>
      <w:sz w:val="22"/>
    </w:rPr>
  </w:style>
  <w:style w:type="paragraph" w:styleId="DocumentMap">
    <w:name w:val="Document Map"/>
    <w:basedOn w:val="Normal"/>
    <w:link w:val="DocumentMapChar"/>
    <w:uiPriority w:val="99"/>
    <w:semiHidden/>
    <w:unhideWhenUsed/>
    <w:rsid w:val="00B312BA"/>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312BA"/>
    <w:rPr>
      <w:rFonts w:ascii="Segoe UI" w:hAnsi="Segoe UI" w:cs="Segoe UI"/>
      <w:snapToGrid w:val="0"/>
      <w:kern w:val="28"/>
      <w:sz w:val="16"/>
      <w:szCs w:val="16"/>
    </w:rPr>
  </w:style>
  <w:style w:type="paragraph" w:styleId="E-mailSignature">
    <w:name w:val="E-mail Signature"/>
    <w:basedOn w:val="Normal"/>
    <w:link w:val="E-mailSignatureChar"/>
    <w:uiPriority w:val="99"/>
    <w:semiHidden/>
    <w:unhideWhenUsed/>
    <w:rsid w:val="00B312BA"/>
  </w:style>
  <w:style w:type="character" w:customStyle="1" w:styleId="E-mailSignatureChar">
    <w:name w:val="E-mail Signature Char"/>
    <w:basedOn w:val="DefaultParagraphFont"/>
    <w:link w:val="E-mailSignature"/>
    <w:uiPriority w:val="99"/>
    <w:semiHidden/>
    <w:rsid w:val="00B312BA"/>
    <w:rPr>
      <w:snapToGrid w:val="0"/>
      <w:kern w:val="28"/>
      <w:sz w:val="22"/>
    </w:rPr>
  </w:style>
  <w:style w:type="paragraph" w:styleId="EnvelopeAddress">
    <w:name w:val="envelope address"/>
    <w:basedOn w:val="Normal"/>
    <w:uiPriority w:val="99"/>
    <w:semiHidden/>
    <w:unhideWhenUsed/>
    <w:rsid w:val="00B312BA"/>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312BA"/>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sid w:val="00B312BA"/>
    <w:rPr>
      <w:i/>
      <w:iCs/>
    </w:rPr>
  </w:style>
  <w:style w:type="character" w:customStyle="1" w:styleId="HTMLAddressChar">
    <w:name w:val="HTML Address Char"/>
    <w:basedOn w:val="DefaultParagraphFont"/>
    <w:link w:val="HTMLAddress"/>
    <w:uiPriority w:val="99"/>
    <w:semiHidden/>
    <w:rsid w:val="00B312BA"/>
    <w:rPr>
      <w:i/>
      <w:iCs/>
      <w:snapToGrid w:val="0"/>
      <w:kern w:val="28"/>
      <w:sz w:val="22"/>
    </w:rPr>
  </w:style>
  <w:style w:type="paragraph" w:styleId="HTMLPreformatted">
    <w:name w:val="HTML Preformatted"/>
    <w:basedOn w:val="Normal"/>
    <w:link w:val="HTMLPreformattedChar"/>
    <w:uiPriority w:val="99"/>
    <w:semiHidden/>
    <w:unhideWhenUsed/>
    <w:rsid w:val="00B312BA"/>
    <w:rPr>
      <w:rFonts w:ascii="Consolas" w:hAnsi="Consolas"/>
      <w:sz w:val="20"/>
    </w:rPr>
  </w:style>
  <w:style w:type="character" w:customStyle="1" w:styleId="HTMLPreformattedChar">
    <w:name w:val="HTML Preformatted Char"/>
    <w:basedOn w:val="DefaultParagraphFont"/>
    <w:link w:val="HTMLPreformatted"/>
    <w:uiPriority w:val="99"/>
    <w:semiHidden/>
    <w:rsid w:val="00B312BA"/>
    <w:rPr>
      <w:rFonts w:ascii="Consolas" w:hAnsi="Consolas"/>
      <w:snapToGrid w:val="0"/>
      <w:kern w:val="28"/>
    </w:rPr>
  </w:style>
  <w:style w:type="paragraph" w:styleId="Index1">
    <w:name w:val="index 1"/>
    <w:basedOn w:val="Normal"/>
    <w:next w:val="Normal"/>
    <w:autoRedefine/>
    <w:uiPriority w:val="99"/>
    <w:semiHidden/>
    <w:unhideWhenUsed/>
    <w:rsid w:val="00B312BA"/>
    <w:pPr>
      <w:ind w:left="220" w:hanging="220"/>
    </w:pPr>
  </w:style>
  <w:style w:type="paragraph" w:styleId="Index2">
    <w:name w:val="index 2"/>
    <w:basedOn w:val="Normal"/>
    <w:next w:val="Normal"/>
    <w:autoRedefine/>
    <w:uiPriority w:val="99"/>
    <w:semiHidden/>
    <w:unhideWhenUsed/>
    <w:rsid w:val="00B312BA"/>
    <w:pPr>
      <w:ind w:left="440" w:hanging="220"/>
    </w:pPr>
  </w:style>
  <w:style w:type="paragraph" w:styleId="Index3">
    <w:name w:val="index 3"/>
    <w:basedOn w:val="Normal"/>
    <w:next w:val="Normal"/>
    <w:autoRedefine/>
    <w:uiPriority w:val="99"/>
    <w:semiHidden/>
    <w:unhideWhenUsed/>
    <w:rsid w:val="00B312BA"/>
    <w:pPr>
      <w:ind w:left="660" w:hanging="220"/>
    </w:pPr>
  </w:style>
  <w:style w:type="paragraph" w:styleId="Index4">
    <w:name w:val="index 4"/>
    <w:basedOn w:val="Normal"/>
    <w:next w:val="Normal"/>
    <w:autoRedefine/>
    <w:uiPriority w:val="99"/>
    <w:semiHidden/>
    <w:unhideWhenUsed/>
    <w:rsid w:val="00B312BA"/>
    <w:pPr>
      <w:ind w:left="880" w:hanging="220"/>
    </w:pPr>
  </w:style>
  <w:style w:type="paragraph" w:styleId="Index5">
    <w:name w:val="index 5"/>
    <w:basedOn w:val="Normal"/>
    <w:next w:val="Normal"/>
    <w:autoRedefine/>
    <w:uiPriority w:val="99"/>
    <w:semiHidden/>
    <w:unhideWhenUsed/>
    <w:rsid w:val="00B312BA"/>
    <w:pPr>
      <w:ind w:left="1100" w:hanging="220"/>
    </w:pPr>
  </w:style>
  <w:style w:type="paragraph" w:styleId="Index6">
    <w:name w:val="index 6"/>
    <w:basedOn w:val="Normal"/>
    <w:next w:val="Normal"/>
    <w:autoRedefine/>
    <w:uiPriority w:val="99"/>
    <w:semiHidden/>
    <w:unhideWhenUsed/>
    <w:rsid w:val="00B312BA"/>
    <w:pPr>
      <w:ind w:left="1320" w:hanging="220"/>
    </w:pPr>
  </w:style>
  <w:style w:type="paragraph" w:styleId="Index7">
    <w:name w:val="index 7"/>
    <w:basedOn w:val="Normal"/>
    <w:next w:val="Normal"/>
    <w:autoRedefine/>
    <w:uiPriority w:val="99"/>
    <w:semiHidden/>
    <w:unhideWhenUsed/>
    <w:rsid w:val="00B312BA"/>
    <w:pPr>
      <w:ind w:left="1540" w:hanging="220"/>
    </w:pPr>
  </w:style>
  <w:style w:type="paragraph" w:styleId="Index8">
    <w:name w:val="index 8"/>
    <w:basedOn w:val="Normal"/>
    <w:next w:val="Normal"/>
    <w:autoRedefine/>
    <w:uiPriority w:val="99"/>
    <w:semiHidden/>
    <w:unhideWhenUsed/>
    <w:rsid w:val="00B312BA"/>
    <w:pPr>
      <w:ind w:left="1760" w:hanging="220"/>
    </w:pPr>
  </w:style>
  <w:style w:type="paragraph" w:styleId="Index9">
    <w:name w:val="index 9"/>
    <w:basedOn w:val="Normal"/>
    <w:next w:val="Normal"/>
    <w:autoRedefine/>
    <w:uiPriority w:val="99"/>
    <w:semiHidden/>
    <w:unhideWhenUsed/>
    <w:rsid w:val="00B312BA"/>
    <w:pPr>
      <w:ind w:left="1980" w:hanging="220"/>
    </w:pPr>
  </w:style>
  <w:style w:type="paragraph" w:styleId="IndexHeading">
    <w:name w:val="index heading"/>
    <w:basedOn w:val="Normal"/>
    <w:next w:val="Index1"/>
    <w:uiPriority w:val="99"/>
    <w:semiHidden/>
    <w:unhideWhenUsed/>
    <w:rsid w:val="00B312B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312B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312BA"/>
    <w:rPr>
      <w:i/>
      <w:iCs/>
      <w:snapToGrid w:val="0"/>
      <w:color w:val="156082" w:themeColor="accent1"/>
      <w:kern w:val="28"/>
      <w:sz w:val="22"/>
    </w:rPr>
  </w:style>
  <w:style w:type="paragraph" w:styleId="List">
    <w:name w:val="List"/>
    <w:basedOn w:val="Normal"/>
    <w:uiPriority w:val="99"/>
    <w:semiHidden/>
    <w:unhideWhenUsed/>
    <w:rsid w:val="00B312BA"/>
    <w:pPr>
      <w:ind w:left="360" w:hanging="360"/>
      <w:contextualSpacing/>
    </w:pPr>
  </w:style>
  <w:style w:type="paragraph" w:styleId="List2">
    <w:name w:val="List 2"/>
    <w:basedOn w:val="Normal"/>
    <w:uiPriority w:val="99"/>
    <w:semiHidden/>
    <w:unhideWhenUsed/>
    <w:rsid w:val="00B312BA"/>
    <w:pPr>
      <w:ind w:left="720" w:hanging="360"/>
      <w:contextualSpacing/>
    </w:pPr>
  </w:style>
  <w:style w:type="paragraph" w:styleId="List3">
    <w:name w:val="List 3"/>
    <w:basedOn w:val="Normal"/>
    <w:uiPriority w:val="99"/>
    <w:semiHidden/>
    <w:unhideWhenUsed/>
    <w:rsid w:val="00B312BA"/>
    <w:pPr>
      <w:ind w:left="1080" w:hanging="360"/>
      <w:contextualSpacing/>
    </w:pPr>
  </w:style>
  <w:style w:type="paragraph" w:styleId="List4">
    <w:name w:val="List 4"/>
    <w:basedOn w:val="Normal"/>
    <w:uiPriority w:val="99"/>
    <w:semiHidden/>
    <w:unhideWhenUsed/>
    <w:rsid w:val="00B312BA"/>
    <w:pPr>
      <w:ind w:left="1440" w:hanging="360"/>
      <w:contextualSpacing/>
    </w:pPr>
  </w:style>
  <w:style w:type="paragraph" w:styleId="List5">
    <w:name w:val="List 5"/>
    <w:basedOn w:val="Normal"/>
    <w:uiPriority w:val="99"/>
    <w:semiHidden/>
    <w:unhideWhenUsed/>
    <w:rsid w:val="00B312BA"/>
    <w:pPr>
      <w:ind w:left="1800" w:hanging="360"/>
      <w:contextualSpacing/>
    </w:pPr>
  </w:style>
  <w:style w:type="paragraph" w:styleId="ListBullet">
    <w:name w:val="List Bullet"/>
    <w:basedOn w:val="Normal"/>
    <w:uiPriority w:val="99"/>
    <w:semiHidden/>
    <w:unhideWhenUsed/>
    <w:rsid w:val="00B312BA"/>
    <w:pPr>
      <w:numPr>
        <w:numId w:val="11"/>
      </w:numPr>
      <w:contextualSpacing/>
    </w:pPr>
  </w:style>
  <w:style w:type="paragraph" w:styleId="ListBullet2">
    <w:name w:val="List Bullet 2"/>
    <w:basedOn w:val="Normal"/>
    <w:uiPriority w:val="99"/>
    <w:semiHidden/>
    <w:unhideWhenUsed/>
    <w:rsid w:val="00B312BA"/>
    <w:pPr>
      <w:numPr>
        <w:numId w:val="12"/>
      </w:numPr>
      <w:contextualSpacing/>
    </w:pPr>
  </w:style>
  <w:style w:type="paragraph" w:styleId="ListBullet3">
    <w:name w:val="List Bullet 3"/>
    <w:basedOn w:val="Normal"/>
    <w:uiPriority w:val="99"/>
    <w:semiHidden/>
    <w:unhideWhenUsed/>
    <w:rsid w:val="00B312BA"/>
    <w:pPr>
      <w:numPr>
        <w:numId w:val="13"/>
      </w:numPr>
      <w:contextualSpacing/>
    </w:pPr>
  </w:style>
  <w:style w:type="paragraph" w:styleId="ListBullet4">
    <w:name w:val="List Bullet 4"/>
    <w:basedOn w:val="Normal"/>
    <w:uiPriority w:val="99"/>
    <w:semiHidden/>
    <w:unhideWhenUsed/>
    <w:rsid w:val="00B312BA"/>
    <w:pPr>
      <w:numPr>
        <w:numId w:val="14"/>
      </w:numPr>
      <w:contextualSpacing/>
    </w:pPr>
  </w:style>
  <w:style w:type="paragraph" w:styleId="ListBullet5">
    <w:name w:val="List Bullet 5"/>
    <w:basedOn w:val="Normal"/>
    <w:uiPriority w:val="99"/>
    <w:semiHidden/>
    <w:unhideWhenUsed/>
    <w:rsid w:val="00B312BA"/>
    <w:pPr>
      <w:numPr>
        <w:numId w:val="15"/>
      </w:numPr>
      <w:contextualSpacing/>
    </w:pPr>
  </w:style>
  <w:style w:type="paragraph" w:styleId="ListContinue">
    <w:name w:val="List Continue"/>
    <w:basedOn w:val="Normal"/>
    <w:uiPriority w:val="99"/>
    <w:semiHidden/>
    <w:unhideWhenUsed/>
    <w:rsid w:val="00B312BA"/>
    <w:pPr>
      <w:spacing w:after="120"/>
      <w:ind w:left="360"/>
      <w:contextualSpacing/>
    </w:pPr>
  </w:style>
  <w:style w:type="paragraph" w:styleId="ListContinue2">
    <w:name w:val="List Continue 2"/>
    <w:basedOn w:val="Normal"/>
    <w:uiPriority w:val="99"/>
    <w:semiHidden/>
    <w:unhideWhenUsed/>
    <w:rsid w:val="00B312BA"/>
    <w:pPr>
      <w:spacing w:after="120"/>
      <w:ind w:left="720"/>
      <w:contextualSpacing/>
    </w:pPr>
  </w:style>
  <w:style w:type="paragraph" w:styleId="ListContinue3">
    <w:name w:val="List Continue 3"/>
    <w:basedOn w:val="Normal"/>
    <w:uiPriority w:val="99"/>
    <w:semiHidden/>
    <w:unhideWhenUsed/>
    <w:rsid w:val="00B312BA"/>
    <w:pPr>
      <w:spacing w:after="120"/>
      <w:ind w:left="1080"/>
      <w:contextualSpacing/>
    </w:pPr>
  </w:style>
  <w:style w:type="paragraph" w:styleId="ListContinue4">
    <w:name w:val="List Continue 4"/>
    <w:basedOn w:val="Normal"/>
    <w:uiPriority w:val="99"/>
    <w:semiHidden/>
    <w:unhideWhenUsed/>
    <w:rsid w:val="00B312BA"/>
    <w:pPr>
      <w:spacing w:after="120"/>
      <w:ind w:left="1440"/>
      <w:contextualSpacing/>
    </w:pPr>
  </w:style>
  <w:style w:type="paragraph" w:styleId="ListContinue5">
    <w:name w:val="List Continue 5"/>
    <w:basedOn w:val="Normal"/>
    <w:uiPriority w:val="99"/>
    <w:semiHidden/>
    <w:unhideWhenUsed/>
    <w:rsid w:val="00B312BA"/>
    <w:pPr>
      <w:spacing w:after="120"/>
      <w:ind w:left="1800"/>
      <w:contextualSpacing/>
    </w:pPr>
  </w:style>
  <w:style w:type="paragraph" w:styleId="ListNumber">
    <w:name w:val="List Number"/>
    <w:basedOn w:val="Normal"/>
    <w:uiPriority w:val="99"/>
    <w:semiHidden/>
    <w:unhideWhenUsed/>
    <w:rsid w:val="00B312BA"/>
    <w:pPr>
      <w:numPr>
        <w:numId w:val="16"/>
      </w:numPr>
      <w:contextualSpacing/>
    </w:pPr>
  </w:style>
  <w:style w:type="paragraph" w:styleId="ListNumber2">
    <w:name w:val="List Number 2"/>
    <w:basedOn w:val="Normal"/>
    <w:uiPriority w:val="99"/>
    <w:semiHidden/>
    <w:unhideWhenUsed/>
    <w:rsid w:val="00B312BA"/>
    <w:pPr>
      <w:numPr>
        <w:numId w:val="17"/>
      </w:numPr>
      <w:contextualSpacing/>
    </w:pPr>
  </w:style>
  <w:style w:type="paragraph" w:styleId="ListNumber3">
    <w:name w:val="List Number 3"/>
    <w:basedOn w:val="Normal"/>
    <w:uiPriority w:val="99"/>
    <w:semiHidden/>
    <w:unhideWhenUsed/>
    <w:rsid w:val="00B312BA"/>
    <w:pPr>
      <w:numPr>
        <w:numId w:val="18"/>
      </w:numPr>
      <w:contextualSpacing/>
    </w:pPr>
  </w:style>
  <w:style w:type="paragraph" w:styleId="ListNumber4">
    <w:name w:val="List Number 4"/>
    <w:basedOn w:val="Normal"/>
    <w:uiPriority w:val="99"/>
    <w:semiHidden/>
    <w:unhideWhenUsed/>
    <w:rsid w:val="00B312BA"/>
    <w:pPr>
      <w:numPr>
        <w:numId w:val="19"/>
      </w:numPr>
      <w:contextualSpacing/>
    </w:pPr>
  </w:style>
  <w:style w:type="paragraph" w:styleId="ListNumber5">
    <w:name w:val="List Number 5"/>
    <w:basedOn w:val="Normal"/>
    <w:uiPriority w:val="99"/>
    <w:semiHidden/>
    <w:unhideWhenUsed/>
    <w:rsid w:val="00B312BA"/>
    <w:pPr>
      <w:numPr>
        <w:numId w:val="20"/>
      </w:numPr>
      <w:contextualSpacing/>
    </w:pPr>
  </w:style>
  <w:style w:type="paragraph" w:styleId="Macro">
    <w:name w:val="macro"/>
    <w:link w:val="MacroTextChar"/>
    <w:uiPriority w:val="99"/>
    <w:semiHidden/>
    <w:unhideWhenUsed/>
    <w:rsid w:val="00B312BA"/>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kern w:val="28"/>
    </w:rPr>
  </w:style>
  <w:style w:type="character" w:customStyle="1" w:styleId="MacroTextChar">
    <w:name w:val="Macro Text Char"/>
    <w:basedOn w:val="DefaultParagraphFont"/>
    <w:link w:val="Macro"/>
    <w:uiPriority w:val="99"/>
    <w:semiHidden/>
    <w:rsid w:val="00B312BA"/>
    <w:rPr>
      <w:rFonts w:ascii="Consolas" w:hAnsi="Consolas"/>
      <w:snapToGrid w:val="0"/>
      <w:kern w:val="28"/>
    </w:rPr>
  </w:style>
  <w:style w:type="paragraph" w:styleId="MessageHeader">
    <w:name w:val="Message Header"/>
    <w:basedOn w:val="Normal"/>
    <w:link w:val="MessageHeaderChar"/>
    <w:uiPriority w:val="99"/>
    <w:semiHidden/>
    <w:unhideWhenUsed/>
    <w:rsid w:val="00B312B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312BA"/>
    <w:rPr>
      <w:rFonts w:asciiTheme="majorHAnsi" w:eastAsiaTheme="majorEastAsia" w:hAnsiTheme="majorHAnsi" w:cstheme="majorBidi"/>
      <w:snapToGrid w:val="0"/>
      <w:kern w:val="28"/>
      <w:sz w:val="24"/>
      <w:szCs w:val="24"/>
      <w:shd w:val="pct20" w:color="auto" w:fill="auto"/>
    </w:rPr>
  </w:style>
  <w:style w:type="paragraph" w:styleId="NoSpacing">
    <w:name w:val="No Spacing"/>
    <w:uiPriority w:val="1"/>
    <w:qFormat/>
    <w:rsid w:val="00B312BA"/>
    <w:pPr>
      <w:widowControl w:val="0"/>
    </w:pPr>
    <w:rPr>
      <w:snapToGrid w:val="0"/>
      <w:kern w:val="28"/>
      <w:sz w:val="22"/>
    </w:rPr>
  </w:style>
  <w:style w:type="paragraph" w:styleId="NormalWeb">
    <w:name w:val="Normal (Web)"/>
    <w:basedOn w:val="Normal"/>
    <w:uiPriority w:val="99"/>
    <w:semiHidden/>
    <w:unhideWhenUsed/>
    <w:rsid w:val="00B312BA"/>
    <w:rPr>
      <w:sz w:val="24"/>
      <w:szCs w:val="24"/>
    </w:rPr>
  </w:style>
  <w:style w:type="paragraph" w:styleId="NormalIndent">
    <w:name w:val="Normal Indent"/>
    <w:basedOn w:val="Normal"/>
    <w:uiPriority w:val="99"/>
    <w:semiHidden/>
    <w:unhideWhenUsed/>
    <w:rsid w:val="00B312BA"/>
    <w:pPr>
      <w:ind w:left="720"/>
    </w:pPr>
  </w:style>
  <w:style w:type="paragraph" w:styleId="NoteHeading">
    <w:name w:val="Note Heading"/>
    <w:basedOn w:val="Normal"/>
    <w:next w:val="Normal"/>
    <w:link w:val="NoteHeadingChar"/>
    <w:uiPriority w:val="99"/>
    <w:semiHidden/>
    <w:unhideWhenUsed/>
    <w:rsid w:val="00B312BA"/>
  </w:style>
  <w:style w:type="character" w:customStyle="1" w:styleId="NoteHeadingChar">
    <w:name w:val="Note Heading Char"/>
    <w:basedOn w:val="DefaultParagraphFont"/>
    <w:link w:val="NoteHeading"/>
    <w:uiPriority w:val="99"/>
    <w:semiHidden/>
    <w:rsid w:val="00B312BA"/>
    <w:rPr>
      <w:snapToGrid w:val="0"/>
      <w:kern w:val="28"/>
      <w:sz w:val="22"/>
    </w:rPr>
  </w:style>
  <w:style w:type="paragraph" w:styleId="PlainText">
    <w:name w:val="Plain Text"/>
    <w:basedOn w:val="Normal"/>
    <w:link w:val="PlainTextChar"/>
    <w:uiPriority w:val="99"/>
    <w:semiHidden/>
    <w:unhideWhenUsed/>
    <w:rsid w:val="00B312BA"/>
    <w:rPr>
      <w:rFonts w:ascii="Consolas" w:hAnsi="Consolas"/>
      <w:sz w:val="21"/>
      <w:szCs w:val="21"/>
    </w:rPr>
  </w:style>
  <w:style w:type="character" w:customStyle="1" w:styleId="PlainTextChar">
    <w:name w:val="Plain Text Char"/>
    <w:basedOn w:val="DefaultParagraphFont"/>
    <w:link w:val="PlainText"/>
    <w:uiPriority w:val="99"/>
    <w:semiHidden/>
    <w:rsid w:val="00B312BA"/>
    <w:rPr>
      <w:rFonts w:ascii="Consolas" w:hAnsi="Consolas"/>
      <w:snapToGrid w:val="0"/>
      <w:kern w:val="28"/>
      <w:sz w:val="21"/>
      <w:szCs w:val="21"/>
    </w:rPr>
  </w:style>
  <w:style w:type="paragraph" w:styleId="Quote">
    <w:name w:val="Quote"/>
    <w:basedOn w:val="Normal"/>
    <w:next w:val="Normal"/>
    <w:link w:val="QuoteChar"/>
    <w:uiPriority w:val="29"/>
    <w:qFormat/>
    <w:rsid w:val="00B312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312BA"/>
    <w:rPr>
      <w:i/>
      <w:iCs/>
      <w:snapToGrid w:val="0"/>
      <w:color w:val="404040" w:themeColor="text1" w:themeTint="BF"/>
      <w:kern w:val="28"/>
      <w:sz w:val="22"/>
    </w:rPr>
  </w:style>
  <w:style w:type="paragraph" w:styleId="Salutation">
    <w:name w:val="Salutation"/>
    <w:basedOn w:val="Normal"/>
    <w:next w:val="Normal"/>
    <w:link w:val="SalutationChar"/>
    <w:uiPriority w:val="99"/>
    <w:semiHidden/>
    <w:unhideWhenUsed/>
    <w:rsid w:val="00B312BA"/>
  </w:style>
  <w:style w:type="character" w:customStyle="1" w:styleId="SalutationChar">
    <w:name w:val="Salutation Char"/>
    <w:basedOn w:val="DefaultParagraphFont"/>
    <w:link w:val="Salutation"/>
    <w:uiPriority w:val="99"/>
    <w:semiHidden/>
    <w:rsid w:val="00B312BA"/>
    <w:rPr>
      <w:snapToGrid w:val="0"/>
      <w:kern w:val="28"/>
      <w:sz w:val="22"/>
    </w:rPr>
  </w:style>
  <w:style w:type="paragraph" w:styleId="Signature">
    <w:name w:val="Signature"/>
    <w:basedOn w:val="Normal"/>
    <w:link w:val="SignatureChar"/>
    <w:uiPriority w:val="99"/>
    <w:semiHidden/>
    <w:unhideWhenUsed/>
    <w:rsid w:val="00B312BA"/>
    <w:pPr>
      <w:ind w:left="4320"/>
    </w:pPr>
  </w:style>
  <w:style w:type="character" w:customStyle="1" w:styleId="SignatureChar">
    <w:name w:val="Signature Char"/>
    <w:basedOn w:val="DefaultParagraphFont"/>
    <w:link w:val="Signature"/>
    <w:uiPriority w:val="99"/>
    <w:semiHidden/>
    <w:rsid w:val="00B312BA"/>
    <w:rPr>
      <w:snapToGrid w:val="0"/>
      <w:kern w:val="28"/>
      <w:sz w:val="22"/>
    </w:rPr>
  </w:style>
  <w:style w:type="paragraph" w:styleId="Subtitle">
    <w:name w:val="Subtitle"/>
    <w:basedOn w:val="Normal"/>
    <w:next w:val="Normal"/>
    <w:link w:val="SubtitleChar"/>
    <w:uiPriority w:val="11"/>
    <w:qFormat/>
    <w:rsid w:val="00B312BA"/>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B312BA"/>
    <w:rPr>
      <w:rFonts w:asciiTheme="minorHAnsi" w:eastAsiaTheme="minorEastAsia" w:hAnsiTheme="minorHAnsi" w:cstheme="minorBidi"/>
      <w:snapToGrid w:val="0"/>
      <w:color w:val="5A5A5A" w:themeColor="text1" w:themeTint="A5"/>
      <w:spacing w:val="15"/>
      <w:kern w:val="28"/>
      <w:sz w:val="22"/>
      <w:szCs w:val="22"/>
    </w:rPr>
  </w:style>
  <w:style w:type="paragraph" w:styleId="TableofAuthorities">
    <w:name w:val="table of authorities"/>
    <w:basedOn w:val="Normal"/>
    <w:next w:val="Normal"/>
    <w:uiPriority w:val="99"/>
    <w:semiHidden/>
    <w:unhideWhenUsed/>
    <w:rsid w:val="00B312BA"/>
    <w:pPr>
      <w:ind w:left="220" w:hanging="220"/>
    </w:pPr>
  </w:style>
  <w:style w:type="paragraph" w:styleId="TableofFigures">
    <w:name w:val="table of figures"/>
    <w:basedOn w:val="Normal"/>
    <w:next w:val="Normal"/>
    <w:uiPriority w:val="99"/>
    <w:semiHidden/>
    <w:unhideWhenUsed/>
    <w:rsid w:val="00B312BA"/>
  </w:style>
  <w:style w:type="paragraph" w:styleId="Title">
    <w:name w:val="Title"/>
    <w:basedOn w:val="Normal"/>
    <w:next w:val="Normal"/>
    <w:link w:val="TitleChar"/>
    <w:uiPriority w:val="10"/>
    <w:qFormat/>
    <w:rsid w:val="00B312BA"/>
    <w:pPr>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312BA"/>
    <w:rPr>
      <w:rFonts w:asciiTheme="majorHAnsi" w:eastAsiaTheme="majorEastAsia" w:hAnsiTheme="majorHAnsi" w:cstheme="majorBidi"/>
      <w:snapToGrid w:val="0"/>
      <w:spacing w:val="-10"/>
      <w:kern w:val="28"/>
      <w:sz w:val="56"/>
      <w:szCs w:val="56"/>
    </w:rPr>
  </w:style>
  <w:style w:type="paragraph" w:styleId="TOCHeading">
    <w:name w:val="TOC Heading"/>
    <w:basedOn w:val="Heading1"/>
    <w:next w:val="Normal"/>
    <w:uiPriority w:val="39"/>
    <w:semiHidden/>
    <w:unhideWhenUsed/>
    <w:qFormat/>
    <w:rsid w:val="00B312BA"/>
    <w:pPr>
      <w:keepLines/>
      <w:numPr>
        <w:numId w:val="0"/>
      </w:numPr>
      <w:tabs>
        <w:tab w:val="left" w:pos="720"/>
      </w:tabs>
      <w:suppressAutoHyphens w:val="0"/>
      <w:spacing w:before="240" w:after="0"/>
      <w:outlineLvl w:val="9"/>
    </w:pPr>
    <w:rPr>
      <w:rFonts w:asciiTheme="majorHAnsi" w:eastAsiaTheme="majorEastAsia" w:hAnsiTheme="majorHAnsi" w:cstheme="majorBidi"/>
      <w:b w:val="0"/>
      <w:cap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www.fcc.gov/supplychain/coveredlist"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2.xml" /><Relationship Id="rId15" Type="http://schemas.openxmlformats.org/officeDocument/2006/relationships/footer" Target="footer3.xml" /><Relationship Id="rId16" Type="http://schemas.openxmlformats.org/officeDocument/2006/relationships/hyperlink" Target="mailto:Chris.Smeenk@fcc.gov" TargetMode="External" /><Relationship Id="rId17" Type="http://schemas.openxmlformats.org/officeDocument/2006/relationships/hyperlink" Target="https://bluelist.appsplatformportals.us/Cleared-List/" TargetMode="External" /><Relationship Id="rId18" Type="http://schemas.openxmlformats.org/officeDocument/2006/relationships/hyperlink" Target="https://bluelist.appsplatformportals.us/Framework/" TargetMode="External" /><Relationship Id="rId19" Type="http://schemas.openxmlformats.org/officeDocument/2006/relationships/hyperlink" Target="https://www.ecfr.gov/current/title-48/chapter-1/subchapter-D/part-25/subpart-25.1/section-25.101" TargetMode="External" /><Relationship Id="rId2" Type="http://schemas.openxmlformats.org/officeDocument/2006/relationships/endnotes" Target="endnotes.xml" /><Relationship Id="rId20" Type="http://schemas.openxmlformats.org/officeDocument/2006/relationships/hyperlink" Target="https://www.fcc.gov/sites/default/files/NSD-Toy-Drones-0626.pdf" TargetMode="External" /><Relationship Id="rId21" Type="http://schemas.openxmlformats.org/officeDocument/2006/relationships/hyperlink" Target="https://www.congress.gov/118/plaws/publ159/PLAW-118publ159.pdf" TargetMode="External" /><Relationship Id="rId22" Type="http://schemas.openxmlformats.org/officeDocument/2006/relationships/hyperlink" Target="https://www.fcc.gov/sites/default/files/National-Security-Determination-for-UAS.pdf" TargetMode="External" /><Relationship Id="rId23" Type="http://schemas.openxmlformats.org/officeDocument/2006/relationships/hyperlink" Target="https://gcc02.safelinks.protection.outlook.com/?url=https%3A%2F%2Fwww.fcc.gov%2Ffiles%2Fnsd-fcc-covered-list-waiver-0126&amp;data=05%7C02%7CAdam.Chan%40fcc.gov%7Cc02e17568d314934adbd08de4e242310%7C72970aed36694ca8b960dd016bc72973%7C0%7C0%7C639034114293093703%7CUnknown%7CTWFpbGZsb3d8eyJFbXB0eU1hcGkiOnRydWUsIlYiOiIwLjAuMDAwMCIsIlAiOiJXaW4zMiIsIkFOIjoiTWFpbCIsIldUIjoyfQ%3D%3D%7C0%7C%7C%7C&amp;sdata=n2FUJoAWp4cUQjhf1elk7W0wQwL6peIYLQ83EEdBp4k%3D&amp;reserved=0" TargetMode="External" /><Relationship Id="rId24" Type="http://schemas.openxmlformats.org/officeDocument/2006/relationships/hyperlink" Target="https://gcc02.safelinks.protection.outlook.com/?url=https%3A%2F%2Fwww.fcc.gov%2Fsites%2Fdefault%2Ffiles%2FNSD-Routers0326.pdf&amp;data=05%7C02%7CRebecca.Clinton%40fcc.gov%7C04e422273a424fe5463d08de8900eb9a%7C72970aed36694ca8b960dd016bc72973%7C0%7C0%7C639098834204781257%7CUnknown%7CTWFpbGZsb3d8eyJFbXB0eU1hcGkiOnRydWUsIlYiOiIwLjAuMDAwMCIsIlAiOiJXaW4zMiIsIkFOIjoiTWFpbCIsIldUIjoyfQ%3D%3D%7C0%7C%7C%7C&amp;sdata=CXZV2hrqj7py7QvBmCQJrRzemplQ9ruoMrZC18dQyTk%3D&amp;reserved=0" TargetMode="External" /><Relationship Id="rId25" Type="http://schemas.openxmlformats.org/officeDocument/2006/relationships/footer" Target="footer4.xml" /><Relationship Id="rId26" Type="http://schemas.openxmlformats.org/officeDocument/2006/relationships/image" Target="media/image3.emf" /><Relationship Id="rId27" Type="http://schemas.openxmlformats.org/officeDocument/2006/relationships/image" Target="media/image4.png" /><Relationship Id="rId28" Type="http://schemas.openxmlformats.org/officeDocument/2006/relationships/image" Target="media/image5.png" /><Relationship Id="rId29" Type="http://schemas.openxmlformats.org/officeDocument/2006/relationships/image" Target="media/image6.png" /><Relationship Id="rId3" Type="http://schemas.openxmlformats.org/officeDocument/2006/relationships/settings" Target="settings.xml" /><Relationship Id="rId30" Type="http://schemas.openxmlformats.org/officeDocument/2006/relationships/image" Target="media/image7.emf" /><Relationship Id="rId31" Type="http://schemas.openxmlformats.org/officeDocument/2006/relationships/image" Target="media/image8.emf" /><Relationship Id="rId32" Type="http://schemas.openxmlformats.org/officeDocument/2006/relationships/image" Target="media/image9.emf" /><Relationship Id="rId33" Type="http://schemas.openxmlformats.org/officeDocument/2006/relationships/image" Target="media/image10.emf" /><Relationship Id="rId34" Type="http://schemas.openxmlformats.org/officeDocument/2006/relationships/footer" Target="footer5.xml"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fcc.gov/sites/default/files/power-inverter-fcc-determination.pdf" TargetMode="External" /><Relationship Id="rId7" Type="http://schemas.openxmlformats.org/officeDocument/2006/relationships/hyperlink" Target="https://www.fcc.gov/sites/default/files/robots-nsd.pdf" TargetMode="External" /><Relationship Id="rId8" Type="http://schemas.openxmlformats.org/officeDocument/2006/relationships/hyperlink" Target="https://www.fcc.gov/sites/default/files/annex-a-guidance-conditional-approval-inverters.pdf" TargetMode="External" /><Relationship Id="rId9" Type="http://schemas.openxmlformats.org/officeDocument/2006/relationships/hyperlink" Target="https://www.fcc.gov/sites/default/files/robots-ca.pdf" TargetMode="External" /></Relationships>
</file>

<file path=word/_rels/endnotes.xml.rels><?xml version="1.0" encoding="utf-8" standalone="yes"?><Relationships xmlns="http://schemas.openxmlformats.org/package/2006/relationships"><Relationship Id="rId1" Type="http://schemas.openxmlformats.org/officeDocument/2006/relationships/image" Target="media/image2.emf" /></Relationships>
</file>

<file path=word/_rels/footnotes.xml.rels><?xml version="1.0" encoding="utf-8" standalone="yes"?><Relationships xmlns="http://schemas.openxmlformats.org/package/2006/relationships"><Relationship Id="rId1" Type="http://schemas.openxmlformats.org/officeDocument/2006/relationships/hyperlink" Target="https://www.fcc.gov/supplychain/coveredlist"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M:\Form\OS%20Process\Public%20Notice%20Portrait.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Public Notice Portrait</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