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3F977BA" w:rsidR="00A37E48" w:rsidRPr="00907E59" w:rsidRDefault="003547E8" w:rsidP="00C04C0C">
      <w:pPr>
        <w:jc w:val="center"/>
        <w:rPr>
          <w:rFonts w:ascii="Bookman Old Style" w:hAnsi="Bookman Old Style"/>
          <w:b/>
        </w:rPr>
      </w:pPr>
      <w:r w:rsidRPr="002F3719">
        <w:rPr>
          <w:rFonts w:ascii="Bookman Old Style" w:hAnsi="Bookman Old Style"/>
          <w:b/>
        </w:rPr>
        <w:t xml:space="preserve">THIS </w:t>
      </w:r>
      <w:r w:rsidRPr="00B923EF">
        <w:rPr>
          <w:rFonts w:ascii="Bookman Old Style" w:hAnsi="Bookman Old Style"/>
          <w:b/>
        </w:rPr>
        <w:t>LIMITED LIABILITY PARTNERSHIP AGREEMENT</w:t>
      </w:r>
      <w:r w:rsidRPr="002F3719">
        <w:rPr>
          <w:rFonts w:ascii="Bookman Old Style" w:hAnsi="Bookman Old Style"/>
          <w:b/>
        </w:rPr>
        <w:t xml:space="preserve"> OF</w:t>
      </w:r>
      <w:r>
        <w:rPr>
          <w:rFonts w:ascii="Bookman Old Style" w:hAnsi="Bookman Old Style"/>
          <w:b/>
        </w:rPr>
        <w:t xml:space="preserve"> </w:t>
      </w:r>
      <w:r>
        <w:rPr>
          <w:rFonts w:ascii="Bookman Old Style" w:hAnsi="Bookman Old Style"/>
          <w:b/>
          <w:lang w:val="en-IN"/>
        </w:rPr>
        <w:t xml:space="preserve">{{COMPANY_NAME}} </w:t>
      </w:r>
      <w:r w:rsidRPr="002F3719">
        <w:rPr>
          <w:rFonts w:ascii="Bookman Old Style" w:hAnsi="Bookman Old Style"/>
          <w:b/>
        </w:rPr>
        <w:t>(LLPIN:</w:t>
      </w:r>
      <w:r>
        <w:rPr>
          <w:rFonts w:ascii="Bookman Old Style" w:hAnsi="Bookman Old Style"/>
          <w:b/>
        </w:rPr>
        <w:t xml:space="preserve"> {{COMPANY_ID}}</w:t>
      </w:r>
      <w:r w:rsidRPr="002F3719">
        <w:rPr>
          <w:rFonts w:ascii="Bookman Old Style" w:hAnsi="Bookman Old Style"/>
          <w:b/>
        </w:rPr>
        <w:t xml:space="preserve">) MADE AT </w:t>
      </w:r>
      <w:r>
        <w:rPr>
          <w:rFonts w:ascii="Bookman Old Style" w:hAnsi="Bookman Old Style"/>
          <w:b/>
        </w:rPr>
        <w:t>{{PLACE}}</w:t>
      </w:r>
      <w:r w:rsidRPr="002F3719">
        <w:rPr>
          <w:rFonts w:ascii="Bookman Old Style" w:hAnsi="Bookman Old Style"/>
          <w:b/>
        </w:rPr>
        <w:t xml:space="preserve"> ON</w:t>
      </w:r>
      <w:r w:rsidRPr="002F3719">
        <w:rPr>
          <w:rFonts w:ascii="Bookman Old Style" w:hAnsi="Bookman Old Style"/>
          <w:b/>
          <w:bCs/>
        </w:rPr>
        <w:t xml:space="preserve"> </w:t>
      </w:r>
      <w:r w:rsidRPr="002F3719">
        <w:rPr>
          <w:rFonts w:ascii="Bookman Old Style" w:hAnsi="Bookman Old Style"/>
          <w:b/>
        </w:rPr>
        <w:t>THIS</w:t>
      </w:r>
      <w:bookmarkStart w:id="1" w:name="_Hlk85814899"/>
      <w:r w:rsidRPr="002F3719">
        <w:rPr>
          <w:rFonts w:ascii="Bookman Old Style" w:hAnsi="Bookman Old Style"/>
          <w:b/>
        </w:rPr>
        <w:t xml:space="preserve"> </w:t>
      </w:r>
      <w:bookmarkEnd w:id="1"/>
      <w:r>
        <w:rPr>
          <w:rFonts w:ascii="Bookman Old Style" w:hAnsi="Bookman Old Style"/>
          <w:b/>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478D146E" w:rsidR="000A5A15" w:rsidRPr="009E7405" w:rsidRDefault="00B759C8" w:rsidP="000A5A15">
      <w:pPr>
        <w:pStyle w:val="ListParagraph"/>
        <w:numPr>
          <w:ilvl w:val="0"/>
          <w:numId w:val="1"/>
        </w:numPr>
        <w:rPr>
          <w:rFonts w:ascii="Bookman Old Style" w:hAnsi="Bookman Old Style"/>
        </w:rPr>
      </w:pPr>
      <w:r>
        <w:rPr>
          <w:rFonts w:ascii="Bookman Old Style" w:hAnsi="Bookman Old Style"/>
          <w:b/>
        </w:rPr>
        <w:t>{{PERSON_1}}</w:t>
      </w:r>
      <w:r w:rsidR="000A5A15" w:rsidRPr="002D2C3A">
        <w:rPr>
          <w:rFonts w:ascii="Bookman Old Style" w:hAnsi="Bookman Old Style"/>
          <w:caps/>
        </w:rPr>
        <w:t>,</w:t>
      </w:r>
      <w:r w:rsidR="000A5A15" w:rsidRPr="002D2C3A">
        <w:rPr>
          <w:rFonts w:ascii="Bookman Old Style" w:hAnsi="Bookman Old Style"/>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{{FATHER_1}}</w:t>
      </w:r>
      <w:r w:rsidR="000A5A15">
        <w:rPr>
          <w:rFonts w:ascii="Bookman Old Style" w:hAnsi="Bookman Old Style"/>
        </w:rPr>
        <w:t xml:space="preserve"> </w:t>
      </w:r>
      <w:r w:rsidR="000A5A15" w:rsidRPr="002D2C3A">
        <w:rPr>
          <w:rFonts w:ascii="Bookman Old Style" w:hAnsi="Bookman Old Style"/>
        </w:rPr>
        <w:t xml:space="preserve">(having DIN: </w:t>
      </w:r>
      <w:r w:rsidR="000A5A15">
        <w:rPr>
          <w:rFonts w:ascii="Bookman Old Style" w:hAnsi="Bookman Old Style"/>
        </w:rPr>
        <w:t>{{PERSON_1_DIN}}</w:t>
      </w:r>
      <w:r w:rsidR="000A5A15" w:rsidRPr="009E7405">
        <w:rPr>
          <w:rFonts w:ascii="Bookman Old Style" w:hAnsi="Bookman Old Style"/>
        </w:rPr>
        <w:t xml:space="preserve"> and PAN:</w:t>
      </w:r>
      <w:r w:rsidR="000A5A15" w:rsidRPr="006F74BA">
        <w:t xml:space="preserve"> </w:t>
      </w:r>
      <w:r w:rsidR="000A5A15">
        <w:rPr>
          <w:rFonts w:ascii="Bookman Old Style" w:hAnsi="Bookman Old Style"/>
        </w:rPr>
        <w:t>{{PAN_1}})</w:t>
      </w:r>
      <w:r w:rsidR="000A5A15" w:rsidRPr="009E7405">
        <w:rPr>
          <w:rFonts w:ascii="Bookman Old Style" w:hAnsi="Bookman Old Style"/>
        </w:rPr>
        <w:t xml:space="preserve"> residing at, </w:t>
      </w:r>
      <w:r w:rsidR="000A5A15">
        <w:rPr>
          <w:rFonts w:ascii="Bookman Old Style" w:hAnsi="Bookman Old Style"/>
        </w:rPr>
        <w:t>{{ADDRESS_1}}</w:t>
      </w:r>
      <w:r w:rsidR="000A5A15"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19C56336" w:rsidR="000A5A15" w:rsidRDefault="00B759C8" w:rsidP="000A5A15">
      <w:pPr>
        <w:pStyle w:val="ListParagraph"/>
        <w:numPr>
          <w:ilvl w:val="0"/>
          <w:numId w:val="1"/>
        </w:numPr>
        <w:rPr>
          <w:rFonts w:ascii="Bookman Old Style" w:hAnsi="Bookman Old Style"/>
        </w:rPr>
      </w:pPr>
      <w:r>
        <w:rPr>
          <w:rFonts w:ascii="Bookman Old Style" w:hAnsi="Bookman Old Style"/>
          <w:b/>
        </w:rPr>
        <w:t>{{PERSON_2}}</w:t>
      </w:r>
      <w:r w:rsidR="000A5A15" w:rsidRPr="002D2C3A">
        <w:rPr>
          <w:rFonts w:ascii="Bookman Old Style" w:hAnsi="Bookman Old Style"/>
          <w:b/>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{{FATHER_2}}</w:t>
      </w:r>
      <w:r w:rsidR="000A5A15">
        <w:rPr>
          <w:rFonts w:ascii="Bookman Old Style" w:hAnsi="Bookman Old Style"/>
        </w:rPr>
        <w:t xml:space="preserve"> </w:t>
      </w:r>
      <w:r w:rsidR="000A5A15" w:rsidRPr="002D2C3A">
        <w:rPr>
          <w:rFonts w:ascii="Bookman Old Style" w:hAnsi="Bookman Old Style"/>
        </w:rPr>
        <w:t>(</w:t>
      </w:r>
      <w:r w:rsidR="000A5A15" w:rsidRPr="00DC74F9">
        <w:rPr>
          <w:rFonts w:ascii="Bookman Old Style" w:hAnsi="Bookman Old Style"/>
        </w:rPr>
        <w:t>havi</w:t>
      </w:r>
      <w:r w:rsidR="000A5A15">
        <w:rPr>
          <w:rFonts w:ascii="Bookman Old Style" w:hAnsi="Bookman Old Style"/>
        </w:rPr>
        <w:t xml:space="preserve">ng </w:t>
      </w:r>
      <w:r w:rsidR="000A5A15" w:rsidRPr="00DC74F9">
        <w:rPr>
          <w:rFonts w:ascii="Bookman Old Style" w:hAnsi="Bookman Old Style"/>
        </w:rPr>
        <w:t xml:space="preserve">DIN: </w:t>
      </w:r>
      <w:r w:rsidR="000A5A15">
        <w:rPr>
          <w:rFonts w:ascii="Bookman Old Style" w:hAnsi="Bookman Old Style"/>
        </w:rPr>
        <w:t xml:space="preserve">{{PERSON_2_DIN}} </w:t>
      </w:r>
      <w:r w:rsidR="000A5A15" w:rsidRPr="002D2C3A">
        <w:rPr>
          <w:rFonts w:ascii="Bookman Old Style" w:hAnsi="Bookman Old Style"/>
        </w:rPr>
        <w:t xml:space="preserve">and PAN: </w:t>
      </w:r>
      <w:r w:rsidR="000A5A15">
        <w:rPr>
          <w:rFonts w:ascii="Bookman Old Style" w:hAnsi="Bookman Old Style"/>
        </w:rPr>
        <w:t>{{PAN_2}}</w:t>
      </w:r>
      <w:r w:rsidR="000A5A15" w:rsidRPr="002D2C3A">
        <w:rPr>
          <w:rFonts w:ascii="Bookman Old Style" w:hAnsi="Bookman Old Style"/>
        </w:rPr>
        <w:t>) residing at</w:t>
      </w:r>
      <w:r w:rsidR="000A5A15">
        <w:rPr>
          <w:rFonts w:ascii="Bookman Old Style" w:hAnsi="Bookman Old Style"/>
        </w:rPr>
        <w:t>,</w:t>
      </w:r>
      <w:r w:rsidR="000A5A15" w:rsidRPr="002D2C3A">
        <w:rPr>
          <w:rFonts w:ascii="Bookman Old Style" w:hAnsi="Bookman Old Style"/>
        </w:rPr>
        <w:t xml:space="preserve"> </w:t>
      </w:r>
      <w:r w:rsidR="000A5A15">
        <w:rPr>
          <w:rFonts w:ascii="Bookman Old Style" w:hAnsi="Bookman Old Style"/>
        </w:rPr>
        <w:t>{{ADDRESS_2}}</w:t>
      </w:r>
      <w:r w:rsidR="000A5A15" w:rsidRPr="004B3B5C">
        <w:rPr>
          <w:rFonts w:ascii="Bookman Old Style" w:hAnsi="Bookman Old Style"/>
        </w:rPr>
        <w:t>.</w:t>
      </w:r>
      <w:r w:rsidR="000A5A15">
        <w:rPr>
          <w:rFonts w:ascii="Bookman Old Style" w:hAnsi="Bookman Old Style"/>
        </w:rPr>
        <w:t xml:space="preserve"> -----------------</w:t>
      </w:r>
      <w:r w:rsidR="000A5A15" w:rsidRPr="002D2C3A">
        <w:rPr>
          <w:rFonts w:ascii="Bookman Old Style" w:hAnsi="Bookman Old Style"/>
        </w:rPr>
        <w:t>(2).</w:t>
      </w:r>
    </w:p>
    <w:p w14:paraId="741766EF" w14:textId="77777777" w:rsidR="00D239A8" w:rsidRPr="00D239A8" w:rsidRDefault="00D239A8" w:rsidP="00D239A8">
      <w:pPr>
        <w:pStyle w:val="ListParagraph"/>
        <w:rPr>
          <w:rFonts w:ascii="Bookman Old Style" w:hAnsi="Bookman Old Style"/>
        </w:rPr>
      </w:pPr>
    </w:p>
    <w:p w14:paraId="4583839A" w14:textId="56EF4030" w:rsidR="00D239A8" w:rsidRDefault="00B759C8" w:rsidP="00D239A8">
      <w:pPr>
        <w:pStyle w:val="ListParagraph"/>
        <w:numPr>
          <w:ilvl w:val="0"/>
          <w:numId w:val="1"/>
        </w:numPr>
        <w:rPr>
          <w:rFonts w:ascii="Bookman Old Style" w:hAnsi="Bookman Old Style"/>
        </w:rPr>
      </w:pPr>
      <w:r>
        <w:rPr>
          <w:rFonts w:ascii="Bookman Old Style" w:hAnsi="Bookman Old Style"/>
          <w:b/>
        </w:rPr>
        <w:t>{{PERSON_3}}</w:t>
      </w:r>
      <w:r w:rsidRPr="002D2C3A">
        <w:rPr>
          <w:rFonts w:ascii="Bookman Old Style" w:hAnsi="Bookman Old Style"/>
          <w:b/>
        </w:rPr>
        <w:t>,</w:t>
      </w:r>
      <w:r w:rsidR="00D239A8" w:rsidRPr="002D2C3A">
        <w:rPr>
          <w:rFonts w:ascii="Bookman Old Style" w:hAnsi="Bookman Old Style"/>
          <w:b/>
        </w:rPr>
        <w:t xml:space="preserve"> </w:t>
      </w:r>
      <w:r w:rsidR="00D239A8">
        <w:rPr>
          <w:rFonts w:ascii="Bookman Old Style" w:hAnsi="Bookman Old Style"/>
        </w:rPr>
        <w:t>S</w:t>
      </w:r>
      <w:r w:rsidR="00D239A8" w:rsidRPr="002D2C3A">
        <w:rPr>
          <w:rFonts w:ascii="Bookman Old Style" w:hAnsi="Bookman Old Style"/>
        </w:rPr>
        <w:t>/o</w:t>
      </w:r>
      <w:r w:rsidR="00D239A8">
        <w:rPr>
          <w:rFonts w:ascii="Bookman Old Style" w:hAnsi="Bookman Old Style"/>
        </w:rPr>
        <w:t>.</w:t>
      </w:r>
      <w:r w:rsidR="000B4071">
        <w:rPr>
          <w:rFonts w:ascii="Bookman Old Style" w:hAnsi="Bookman Old Style"/>
        </w:rPr>
        <w:t xml:space="preserve"> </w:t>
      </w:r>
      <w:r w:rsidR="003547E8">
        <w:rPr>
          <w:rFonts w:ascii="Bookman Old Style" w:hAnsi="Bookman Old Style"/>
        </w:rPr>
        <w:t>{{FATHER_3}}</w:t>
      </w:r>
      <w:r w:rsidR="000B4071">
        <w:rPr>
          <w:rFonts w:ascii="Bookman Old Style" w:hAnsi="Bookman Old Style"/>
        </w:rPr>
        <w:t xml:space="preserve"> </w:t>
      </w:r>
      <w:r w:rsidR="00D239A8" w:rsidRPr="002D2C3A">
        <w:rPr>
          <w:rFonts w:ascii="Bookman Old Style" w:hAnsi="Bookman Old Style"/>
        </w:rPr>
        <w:t>(</w:t>
      </w:r>
      <w:r w:rsidR="00D239A8" w:rsidRPr="00DC74F9">
        <w:rPr>
          <w:rFonts w:ascii="Bookman Old Style" w:hAnsi="Bookman Old Style"/>
        </w:rPr>
        <w:t>havi</w:t>
      </w:r>
      <w:r w:rsidR="00D239A8">
        <w:rPr>
          <w:rFonts w:ascii="Bookman Old Style" w:hAnsi="Bookman Old Style"/>
        </w:rPr>
        <w:t xml:space="preserve">ng </w:t>
      </w:r>
      <w:r w:rsidR="00D239A8" w:rsidRPr="00DC74F9">
        <w:rPr>
          <w:rFonts w:ascii="Bookman Old Style" w:hAnsi="Bookman Old Style"/>
        </w:rPr>
        <w:t>DIN:</w:t>
      </w:r>
      <w:r w:rsidR="00E52C44">
        <w:rPr>
          <w:rFonts w:ascii="Bookman Old Style" w:hAnsi="Bookman Old Style"/>
        </w:rPr>
        <w:t xml:space="preserve"> {{PERSON_3_DIN}}</w:t>
      </w:r>
      <w:r w:rsidR="000946D7">
        <w:rPr>
          <w:rFonts w:ascii="Bookman Old Style" w:hAnsi="Bookman Old Style"/>
        </w:rPr>
        <w:t xml:space="preserve"> </w:t>
      </w:r>
      <w:r w:rsidR="00D239A8" w:rsidRPr="002D2C3A">
        <w:rPr>
          <w:rFonts w:ascii="Bookman Old Style" w:hAnsi="Bookman Old Style"/>
        </w:rPr>
        <w:t>and PAN:</w:t>
      </w:r>
      <w:r w:rsidR="00253DF6">
        <w:rPr>
          <w:rFonts w:ascii="Bookman Old Style" w:hAnsi="Bookman Old Style"/>
        </w:rPr>
        <w:t xml:space="preserve"> {{PAN_3}}</w:t>
      </w:r>
      <w:r w:rsidR="00821F51">
        <w:rPr>
          <w:rFonts w:ascii="Bookman Old Style" w:hAnsi="Bookman Old Style"/>
        </w:rPr>
        <w:t>)</w:t>
      </w:r>
      <w:r w:rsidR="00D239A8" w:rsidRPr="002D2C3A">
        <w:rPr>
          <w:rFonts w:ascii="Bookman Old Style" w:hAnsi="Bookman Old Style"/>
        </w:rPr>
        <w:t xml:space="preserve"> residing at</w:t>
      </w:r>
      <w:r w:rsidR="00D239A8">
        <w:rPr>
          <w:rFonts w:ascii="Bookman Old Style" w:hAnsi="Bookman Old Style"/>
        </w:rPr>
        <w:t>,</w:t>
      </w:r>
      <w:r w:rsidR="001B1726">
        <w:rPr>
          <w:rFonts w:ascii="Bookman Old Style" w:hAnsi="Bookman Old Style"/>
        </w:rPr>
        <w:t xml:space="preserve"> {{ADDRESS_3}}</w:t>
      </w:r>
      <w:r w:rsidR="00D239A8" w:rsidRPr="004B3B5C">
        <w:rPr>
          <w:rFonts w:ascii="Bookman Old Style" w:hAnsi="Bookman Old Style"/>
        </w:rPr>
        <w:t>.</w:t>
      </w:r>
      <w:r w:rsidR="00D239A8">
        <w:rPr>
          <w:rFonts w:ascii="Bookman Old Style" w:hAnsi="Bookman Old Style"/>
        </w:rPr>
        <w:t xml:space="preserve"> -----------------</w:t>
      </w:r>
      <w:r w:rsidR="00D239A8" w:rsidRPr="002D2C3A">
        <w:rPr>
          <w:rFonts w:ascii="Bookman Old Style" w:hAnsi="Bookman Old Style"/>
        </w:rPr>
        <w:t>(</w:t>
      </w:r>
      <w:r w:rsidR="00D239A8">
        <w:rPr>
          <w:rFonts w:ascii="Bookman Old Style" w:hAnsi="Bookman Old Style"/>
        </w:rPr>
        <w:t>3</w:t>
      </w:r>
      <w:r w:rsidR="00D239A8" w:rsidRPr="002D2C3A">
        <w:rPr>
          <w:rFonts w:ascii="Bookman Old Style" w:hAnsi="Bookman Old Style"/>
        </w:rPr>
        <w:t>).</w:t>
      </w:r>
    </w:p>
    <w:p w14:paraId="14797846" w14:textId="77777777" w:rsidR="009F7747" w:rsidRPr="009F7747" w:rsidRDefault="009F7747" w:rsidP="009F7747">
      <w:pPr>
        <w:pStyle w:val="ListParagraph"/>
        <w:rPr>
          <w:rFonts w:ascii="Bookman Old Style" w:hAnsi="Bookman Old Style"/>
        </w:rPr>
      </w:pPr>
    </w:p>
    <w:p w14:paraId="312285F3" w14:textId="5559B77E" w:rsidR="009F7747" w:rsidRDefault="0015522E" w:rsidP="00465567">
      <w:pPr>
        <w:pStyle w:val="ListParagraph"/>
        <w:numPr>
          <w:ilvl w:val="0"/>
          <w:numId w:val="1"/>
        </w:numPr>
        <w:rPr>
          <w:rFonts w:ascii="Bookman Old Style" w:hAnsi="Bookman Old Style"/>
        </w:rPr>
      </w:pPr>
      <w:r>
        <w:rPr>
          <w:rFonts w:ascii="Bookman Old Style" w:hAnsi="Bookman Old Style"/>
          <w:b/>
        </w:rPr>
        <w:t>{{PERSON_4}}</w:t>
      </w:r>
      <w:r w:rsidR="009F7747" w:rsidRPr="002D2C3A">
        <w:rPr>
          <w:rFonts w:ascii="Bookman Old Style" w:hAnsi="Bookman Old Style"/>
          <w:b/>
        </w:rPr>
        <w:t xml:space="preserve">, </w:t>
      </w:r>
      <w:r w:rsidR="009F7747">
        <w:rPr>
          <w:rFonts w:ascii="Bookman Old Style" w:hAnsi="Bookman Old Style"/>
        </w:rPr>
        <w:t>S</w:t>
      </w:r>
      <w:r w:rsidR="009F7747" w:rsidRPr="002D2C3A">
        <w:rPr>
          <w:rFonts w:ascii="Bookman Old Style" w:hAnsi="Bookman Old Style"/>
        </w:rPr>
        <w:t>/o</w:t>
      </w:r>
      <w:r w:rsidR="00E1308F">
        <w:rPr>
          <w:rFonts w:ascii="Bookman Old Style" w:hAnsi="Bookman Old Style"/>
        </w:rPr>
        <w:t xml:space="preserve">. </w:t>
      </w:r>
      <w:r w:rsidR="003547E8">
        <w:rPr>
          <w:rFonts w:ascii="Bookman Old Style" w:hAnsi="Bookman Old Style"/>
        </w:rPr>
        <w:t>{{FATHER_4}}</w:t>
      </w:r>
      <w:r w:rsidR="00E1308F">
        <w:rPr>
          <w:rFonts w:ascii="Bookman Old Style" w:hAnsi="Bookman Old Style"/>
        </w:rPr>
        <w:t xml:space="preserve"> </w:t>
      </w:r>
      <w:r w:rsidR="009F7747" w:rsidRPr="002D2C3A">
        <w:rPr>
          <w:rFonts w:ascii="Bookman Old Style" w:hAnsi="Bookman Old Style"/>
        </w:rPr>
        <w:t>(</w:t>
      </w:r>
      <w:r w:rsidR="009F7747" w:rsidRPr="00DC74F9">
        <w:rPr>
          <w:rFonts w:ascii="Bookman Old Style" w:hAnsi="Bookman Old Style"/>
        </w:rPr>
        <w:t>havi</w:t>
      </w:r>
      <w:r w:rsidR="009F7747">
        <w:rPr>
          <w:rFonts w:ascii="Bookman Old Style" w:hAnsi="Bookman Old Style"/>
        </w:rPr>
        <w:t xml:space="preserve">ng </w:t>
      </w:r>
      <w:r w:rsidR="009F7747" w:rsidRPr="00DC74F9">
        <w:rPr>
          <w:rFonts w:ascii="Bookman Old Style" w:hAnsi="Bookman Old Style"/>
        </w:rPr>
        <w:t>DIN:</w:t>
      </w:r>
      <w:r w:rsidR="005B75C7">
        <w:rPr>
          <w:rFonts w:ascii="Bookman Old Style" w:hAnsi="Bookman Old Style"/>
        </w:rPr>
        <w:t xml:space="preserve"> {{PERSON_4_DIN}} </w:t>
      </w:r>
      <w:r w:rsidR="009F7747" w:rsidRPr="002D2C3A">
        <w:rPr>
          <w:rFonts w:ascii="Bookman Old Style" w:hAnsi="Bookman Old Style"/>
        </w:rPr>
        <w:t>and PAN:</w:t>
      </w:r>
      <w:r w:rsidR="00BF45C0">
        <w:rPr>
          <w:rFonts w:ascii="Bookman Old Style" w:hAnsi="Bookman Old Style"/>
        </w:rPr>
        <w:t xml:space="preserve"> {{PAN_4}}</w:t>
      </w:r>
      <w:r w:rsidR="009F7747">
        <w:rPr>
          <w:rFonts w:ascii="Bookman Old Style" w:hAnsi="Bookman Old Style"/>
        </w:rPr>
        <w:t>)</w:t>
      </w:r>
      <w:r w:rsidR="009F7747" w:rsidRPr="002D2C3A">
        <w:rPr>
          <w:rFonts w:ascii="Bookman Old Style" w:hAnsi="Bookman Old Style"/>
        </w:rPr>
        <w:t xml:space="preserve"> residing at</w:t>
      </w:r>
      <w:r w:rsidR="009F7747">
        <w:rPr>
          <w:rFonts w:ascii="Bookman Old Style" w:hAnsi="Bookman Old Style"/>
        </w:rPr>
        <w:t>,</w:t>
      </w:r>
      <w:r w:rsidR="00E1791F">
        <w:rPr>
          <w:rFonts w:ascii="Bookman Old Style" w:hAnsi="Bookman Old Style"/>
        </w:rPr>
        <w:t xml:space="preserve"> {{ADDRESS_4}}</w:t>
      </w:r>
      <w:r w:rsidR="009F7747" w:rsidRPr="004B3B5C">
        <w:rPr>
          <w:rFonts w:ascii="Bookman Old Style" w:hAnsi="Bookman Old Style"/>
        </w:rPr>
        <w:t>.</w:t>
      </w:r>
      <w:r w:rsidR="009F7747">
        <w:rPr>
          <w:rFonts w:ascii="Bookman Old Style" w:hAnsi="Bookman Old Style"/>
        </w:rPr>
        <w:t xml:space="preserve"> -----------------</w:t>
      </w:r>
      <w:r w:rsidR="009F7747" w:rsidRPr="002D2C3A">
        <w:rPr>
          <w:rFonts w:ascii="Bookman Old Style" w:hAnsi="Bookman Old Style"/>
        </w:rPr>
        <w:t>(</w:t>
      </w:r>
      <w:r w:rsidR="00DB73BC">
        <w:rPr>
          <w:rFonts w:ascii="Bookman Old Style" w:hAnsi="Bookman Old Style"/>
        </w:rPr>
        <w:t>4</w:t>
      </w:r>
      <w:r w:rsidR="009F7747" w:rsidRPr="002D2C3A">
        <w:rPr>
          <w:rFonts w:ascii="Bookman Old Style" w:hAnsi="Bookman Old Style"/>
        </w:rPr>
        <w:t>).</w:t>
      </w:r>
    </w:p>
    <w:p w14:paraId="40355A9F" w14:textId="77777777" w:rsidR="00465567" w:rsidRPr="00465567" w:rsidRDefault="00465567" w:rsidP="00465567">
      <w:pPr>
        <w:pStyle w:val="ListParagraph"/>
        <w:rPr>
          <w:rFonts w:ascii="Bookman Old Style" w:hAnsi="Bookman Old Style"/>
        </w:rPr>
      </w:pPr>
    </w:p>
    <w:p w14:paraId="77EFA90D" w14:textId="55612043" w:rsidR="00465567" w:rsidRPr="00465567" w:rsidRDefault="00465567" w:rsidP="00465567">
      <w:pPr>
        <w:pStyle w:val="ListParagraph"/>
        <w:numPr>
          <w:ilvl w:val="0"/>
          <w:numId w:val="1"/>
        </w:numPr>
        <w:rPr>
          <w:rFonts w:ascii="Bookman Old Style" w:hAnsi="Bookman Old Style"/>
        </w:rPr>
      </w:pPr>
      <w:r>
        <w:rPr>
          <w:rFonts w:ascii="Bookman Old Style" w:hAnsi="Bookman Old Style"/>
          <w:b/>
        </w:rPr>
        <w:t>{{PERSON_5}}</w:t>
      </w:r>
      <w:r w:rsidRPr="002D2C3A">
        <w:rPr>
          <w:rFonts w:ascii="Bookman Old Style" w:hAnsi="Bookman Old Style"/>
          <w:b/>
        </w:rPr>
        <w:t xml:space="preserve">, </w:t>
      </w:r>
      <w:r>
        <w:rPr>
          <w:rFonts w:ascii="Bookman Old Style" w:hAnsi="Bookman Old Style"/>
        </w:rPr>
        <w:t>S</w:t>
      </w:r>
      <w:r w:rsidRPr="002D2C3A">
        <w:rPr>
          <w:rFonts w:ascii="Bookman Old Style" w:hAnsi="Bookman Old Style"/>
        </w:rPr>
        <w:t>/o</w:t>
      </w:r>
      <w:r>
        <w:rPr>
          <w:rFonts w:ascii="Bookman Old Style" w:hAnsi="Bookman Old Style"/>
        </w:rPr>
        <w:t>.</w:t>
      </w:r>
      <w:r w:rsidR="00CE67CB">
        <w:rPr>
          <w:rFonts w:ascii="Bookman Old Style" w:hAnsi="Bookman Old Style"/>
        </w:rPr>
        <w:t xml:space="preserve"> {{FATHER_5}} </w:t>
      </w:r>
      <w:r w:rsidRPr="002D2C3A">
        <w:rPr>
          <w:rFonts w:ascii="Bookman Old Style" w:hAnsi="Bookman Old Style"/>
        </w:rPr>
        <w:t>(</w:t>
      </w:r>
      <w:r w:rsidRPr="00DC74F9">
        <w:rPr>
          <w:rFonts w:ascii="Bookman Old Style" w:hAnsi="Bookman Old Style"/>
        </w:rPr>
        <w:t>havi</w:t>
      </w:r>
      <w:r>
        <w:rPr>
          <w:rFonts w:ascii="Bookman Old Style" w:hAnsi="Bookman Old Style"/>
        </w:rPr>
        <w:t xml:space="preserve">ng </w:t>
      </w:r>
      <w:r w:rsidRPr="00DC74F9">
        <w:rPr>
          <w:rFonts w:ascii="Bookman Old Style" w:hAnsi="Bookman Old Style"/>
        </w:rPr>
        <w:t>DIN:</w:t>
      </w:r>
      <w:r w:rsidR="00A96A43">
        <w:rPr>
          <w:rFonts w:ascii="Bookman Old Style" w:hAnsi="Bookman Old Style"/>
        </w:rPr>
        <w:t xml:space="preserve"> {{PERSON_5}} </w:t>
      </w:r>
      <w:r w:rsidRPr="002D2C3A">
        <w:rPr>
          <w:rFonts w:ascii="Bookman Old Style" w:hAnsi="Bookman Old Style"/>
        </w:rPr>
        <w:t>and PAN</w:t>
      </w:r>
      <w:r w:rsidR="006D7E63">
        <w:rPr>
          <w:rFonts w:ascii="Bookman Old Style" w:hAnsi="Bookman Old Style"/>
        </w:rPr>
        <w:t>: {{PAN_5}}</w:t>
      </w:r>
      <w:r>
        <w:rPr>
          <w:rFonts w:ascii="Bookman Old Style" w:hAnsi="Bookman Old Style"/>
        </w:rPr>
        <w:t>)</w:t>
      </w:r>
      <w:r w:rsidRPr="002D2C3A">
        <w:rPr>
          <w:rFonts w:ascii="Bookman Old Style" w:hAnsi="Bookman Old Style"/>
        </w:rPr>
        <w:t xml:space="preserve"> residing at</w:t>
      </w:r>
      <w:r>
        <w:rPr>
          <w:rFonts w:ascii="Bookman Old Style" w:hAnsi="Bookman Old Style"/>
        </w:rPr>
        <w:t>,</w:t>
      </w:r>
      <w:r w:rsidR="00E765A5">
        <w:rPr>
          <w:rFonts w:ascii="Bookman Old Style" w:hAnsi="Bookman Old Style"/>
        </w:rPr>
        <w:t xml:space="preserve"> {{ADDRESS_5}}</w:t>
      </w:r>
      <w:r w:rsidRPr="004B3B5C">
        <w:rPr>
          <w:rFonts w:ascii="Bookman Old Style" w:hAnsi="Bookman Old Style"/>
        </w:rPr>
        <w:t>.</w:t>
      </w:r>
      <w:r>
        <w:rPr>
          <w:rFonts w:ascii="Bookman Old Style" w:hAnsi="Bookman Old Style"/>
        </w:rPr>
        <w:t xml:space="preserve"> -----------------</w:t>
      </w:r>
      <w:r w:rsidRPr="002D2C3A">
        <w:rPr>
          <w:rFonts w:ascii="Bookman Old Style" w:hAnsi="Bookman Old Style"/>
        </w:rPr>
        <w:t>(</w:t>
      </w:r>
      <w:r>
        <w:rPr>
          <w:rFonts w:ascii="Bookman Old Style" w:hAnsi="Bookman Old Style"/>
        </w:rPr>
        <w:t>5</w:t>
      </w:r>
      <w:r w:rsidRPr="002D2C3A">
        <w:rPr>
          <w:rFonts w:ascii="Bookman Old Style" w:hAnsi="Bookman Old Style"/>
        </w:rPr>
        <w:t>).</w:t>
      </w:r>
    </w:p>
    <w:p w14:paraId="0F9C23D5" w14:textId="77777777" w:rsidR="00D239A8" w:rsidRDefault="00D239A8" w:rsidP="00D239A8">
      <w:pPr>
        <w:pStyle w:val="ListParagraph"/>
        <w:ind w:left="1080"/>
        <w:rPr>
          <w:rFonts w:ascii="Bookman Old Style" w:hAnsi="Bookman Old Style"/>
        </w:rPr>
      </w:pP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4476859" w14:textId="77777777" w:rsidR="00D5754E" w:rsidRDefault="00D5754E"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4D01594E"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CF0037" w:rsidRPr="00843DAC">
        <w:rPr>
          <w:rFonts w:ascii="Bookman Old Style" w:hAnsi="Bookman Old Style"/>
          <w:lang w:val="en-IN"/>
        </w:rPr>
        <w:t>Fourth</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008C7672" w:rsidRPr="00843DAC">
        <w:rPr>
          <w:rFonts w:ascii="Bookman Old Style" w:hAnsi="Bookman Old Style"/>
          <w:b/>
          <w:bCs/>
          <w:lang w:val="en-IN"/>
        </w:rPr>
        <w:t>"</w:t>
      </w:r>
      <w:r w:rsidR="008C7672">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10D36744" w:rsidR="009F089A" w:rsidRPr="003E613B" w:rsidRDefault="008E22C6" w:rsidP="003E613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EFD03EE"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3A08E6">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lastRenderedPageBreak/>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1120D324"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3A08E6" w:rsidRPr="00797C8F">
        <w:rPr>
          <w:rFonts w:ascii="Bookman Old Style" w:hAnsi="Bookman Old Style"/>
        </w:rPr>
        <w:t>(</w:t>
      </w:r>
      <w:r w:rsidR="003A08E6">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12EB72F8"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r w:rsidR="009634B5" w:rsidRPr="004B432D">
              <w:rPr>
                <w:rFonts w:ascii="Bookman Old Style" w:hAnsi="Bookman Old Style" w:cs="Calibri"/>
                <w:color w:val="000000"/>
                <w:sz w:val="20"/>
                <w:szCs w:val="20"/>
                <w:highlight w:val="yellow"/>
              </w:rPr>
              <w:t>%</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070E6770"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w:t>
            </w:r>
            <w:r w:rsidR="005005CA" w:rsidRPr="004B432D">
              <w:rPr>
                <w:rFonts w:ascii="Bookman Old Style" w:hAnsi="Bookman Old Style" w:cs="Calibri"/>
                <w:color w:val="000000"/>
                <w:sz w:val="20"/>
                <w:szCs w:val="20"/>
                <w:highlight w:val="yellow"/>
              </w:rPr>
              <w:t>5</w:t>
            </w:r>
            <w:r w:rsidR="009634B5" w:rsidRPr="004B432D">
              <w:rPr>
                <w:rFonts w:ascii="Bookman Old Style" w:hAnsi="Bookman Old Style" w:cs="Calibri"/>
                <w:color w:val="000000"/>
                <w:sz w:val="20"/>
                <w:szCs w:val="20"/>
                <w:highlight w:val="yellow"/>
              </w:rPr>
              <w:t>%</w:t>
            </w:r>
          </w:p>
        </w:tc>
      </w:tr>
      <w:bookmarkEnd w:id="9"/>
      <w:tr w:rsidR="00BB1914" w:rsidRPr="009D6E08" w14:paraId="005C246C" w14:textId="77777777" w:rsidTr="00561E04">
        <w:trPr>
          <w:trHeight w:val="719"/>
        </w:trPr>
        <w:tc>
          <w:tcPr>
            <w:tcW w:w="968" w:type="dxa"/>
            <w:noWrap/>
            <w:vAlign w:val="center"/>
          </w:tcPr>
          <w:p w14:paraId="53B68D1B" w14:textId="1B3A7F94" w:rsidR="00BB1914" w:rsidRPr="009D6E08"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3914" w:type="dxa"/>
            <w:noWrap/>
            <w:vAlign w:val="center"/>
          </w:tcPr>
          <w:p w14:paraId="1D501895" w14:textId="774E3F61" w:rsidR="00BB1914" w:rsidRDefault="00BB1914" w:rsidP="00BB1914">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033" w:type="dxa"/>
            <w:noWrap/>
            <w:vAlign w:val="center"/>
          </w:tcPr>
          <w:p w14:paraId="24CBC274" w14:textId="7C897B3E" w:rsidR="00BB1914"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{{SHARE-Rs_3}}</w:t>
            </w:r>
          </w:p>
        </w:tc>
        <w:tc>
          <w:tcPr>
            <w:tcW w:w="1022" w:type="dxa"/>
            <w:vAlign w:val="center"/>
          </w:tcPr>
          <w:p w14:paraId="37EFAA11" w14:textId="05FEC565" w:rsidR="00BB1914" w:rsidRPr="004B432D" w:rsidRDefault="00BB1914" w:rsidP="00BB1914">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p>
        </w:tc>
      </w:tr>
      <w:tr w:rsidR="00B8516B" w:rsidRPr="009D6E08" w14:paraId="67098768" w14:textId="77777777" w:rsidTr="00561E04">
        <w:trPr>
          <w:trHeight w:val="719"/>
        </w:trPr>
        <w:tc>
          <w:tcPr>
            <w:tcW w:w="968" w:type="dxa"/>
            <w:noWrap/>
            <w:vAlign w:val="center"/>
          </w:tcPr>
          <w:p w14:paraId="0EAA1DE9" w14:textId="35FB8779" w:rsidR="00B8516B" w:rsidRDefault="00B8516B"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3914" w:type="dxa"/>
            <w:noWrap/>
            <w:vAlign w:val="center"/>
          </w:tcPr>
          <w:p w14:paraId="2F4A2732" w14:textId="3D40C6E3" w:rsidR="00B8516B" w:rsidRDefault="003D5CF2" w:rsidP="00B8516B">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033" w:type="dxa"/>
            <w:noWrap/>
            <w:vAlign w:val="center"/>
          </w:tcPr>
          <w:p w14:paraId="4ACE81CE" w14:textId="0D49065B" w:rsidR="00B8516B" w:rsidRDefault="00162478"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{{SHARE-Rs_4}}</w:t>
            </w:r>
          </w:p>
        </w:tc>
        <w:tc>
          <w:tcPr>
            <w:tcW w:w="1022" w:type="dxa"/>
            <w:vAlign w:val="center"/>
          </w:tcPr>
          <w:p w14:paraId="6F56911A" w14:textId="06360568" w:rsidR="00B8516B" w:rsidRPr="004B432D" w:rsidRDefault="0047397B" w:rsidP="00B8516B">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p>
        </w:tc>
      </w:tr>
      <w:tr w:rsidR="006D691D" w:rsidRPr="009D6E08" w14:paraId="139AD434" w14:textId="77777777" w:rsidTr="00561E04">
        <w:trPr>
          <w:trHeight w:val="719"/>
        </w:trPr>
        <w:tc>
          <w:tcPr>
            <w:tcW w:w="968" w:type="dxa"/>
            <w:noWrap/>
            <w:vAlign w:val="center"/>
          </w:tcPr>
          <w:p w14:paraId="1B77CDE6" w14:textId="35CB7D32" w:rsidR="006D691D" w:rsidRDefault="006D691D"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5</w:t>
            </w:r>
          </w:p>
        </w:tc>
        <w:tc>
          <w:tcPr>
            <w:tcW w:w="3914" w:type="dxa"/>
            <w:noWrap/>
            <w:vAlign w:val="center"/>
          </w:tcPr>
          <w:p w14:paraId="5E229FC2" w14:textId="7EAD26C3" w:rsidR="006D691D" w:rsidRDefault="006D691D" w:rsidP="00B8516B">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{{PERSON_5}}</w:t>
            </w:r>
          </w:p>
        </w:tc>
        <w:tc>
          <w:tcPr>
            <w:tcW w:w="2033" w:type="dxa"/>
            <w:noWrap/>
            <w:vAlign w:val="center"/>
          </w:tcPr>
          <w:p w14:paraId="7157BFF2" w14:textId="1AECFB0C" w:rsidR="006D691D" w:rsidRDefault="006D691D"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{{SHARE-Rs_5}}</w:t>
            </w:r>
          </w:p>
        </w:tc>
        <w:tc>
          <w:tcPr>
            <w:tcW w:w="1022" w:type="dxa"/>
            <w:vAlign w:val="center"/>
          </w:tcPr>
          <w:p w14:paraId="4E6BAB63" w14:textId="6D1D97C7" w:rsidR="006D691D" w:rsidRPr="004B432D" w:rsidRDefault="009A4AA3" w:rsidP="00B8516B">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p>
        </w:tc>
      </w:tr>
      <w:tr w:rsidR="00B8516B" w:rsidRPr="004B432D" w14:paraId="53E7336D" w14:textId="4643AAC7" w:rsidTr="00561E04">
        <w:trPr>
          <w:trHeight w:val="629"/>
        </w:trPr>
        <w:tc>
          <w:tcPr>
            <w:tcW w:w="968" w:type="dxa"/>
            <w:noWrap/>
            <w:vAlign w:val="center"/>
            <w:hideMark/>
          </w:tcPr>
          <w:p w14:paraId="05DC67C4" w14:textId="77777777" w:rsidR="00B8516B" w:rsidRPr="009D6E08" w:rsidRDefault="00B8516B" w:rsidP="00B8516B">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B8516B" w:rsidRPr="009D6E08" w:rsidRDefault="00B8516B" w:rsidP="00B8516B">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B8516B" w:rsidRPr="004B432D" w:rsidRDefault="00B8516B" w:rsidP="00B8516B">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B8516B" w:rsidRPr="004B432D" w:rsidRDefault="00B8516B" w:rsidP="00B8516B">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E38F1AB" w14:textId="100EAF5B" w:rsidR="00DC0ABB" w:rsidRPr="009B0F72" w:rsidRDefault="009B0F72" w:rsidP="009B0F72">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7C10B99" w14:textId="77777777" w:rsidR="00E711DF" w:rsidRPr="00260E0C" w:rsidRDefault="00E711DF" w:rsidP="00260E0C">
      <w:pPr>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F5009" w:rsidRPr="00FB791A" w14:paraId="1E5E3787" w14:textId="77777777" w:rsidTr="004135C8">
        <w:trPr>
          <w:trHeight w:val="432"/>
        </w:trPr>
        <w:tc>
          <w:tcPr>
            <w:tcW w:w="992" w:type="dxa"/>
            <w:noWrap/>
            <w:vAlign w:val="center"/>
          </w:tcPr>
          <w:p w14:paraId="401B2D94" w14:textId="26599276" w:rsidR="008F5009" w:rsidRPr="00FB791A" w:rsidRDefault="008F5009" w:rsidP="008F5009">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4820" w:type="dxa"/>
            <w:noWrap/>
            <w:vAlign w:val="center"/>
          </w:tcPr>
          <w:p w14:paraId="6DB04EEB" w14:textId="486CCB07" w:rsidR="008F5009" w:rsidRDefault="008F5009" w:rsidP="008F5009">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126" w:type="dxa"/>
            <w:noWrap/>
            <w:vAlign w:val="center"/>
          </w:tcPr>
          <w:p w14:paraId="1FD08A81" w14:textId="26091866" w:rsidR="008F5009" w:rsidRDefault="008F5009" w:rsidP="008F5009">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{{SHARE-%_3}}</w:t>
            </w:r>
          </w:p>
        </w:tc>
      </w:tr>
      <w:tr w:rsidR="0007002E" w:rsidRPr="00FB791A" w14:paraId="746705E0" w14:textId="77777777" w:rsidTr="004135C8">
        <w:trPr>
          <w:trHeight w:val="432"/>
        </w:trPr>
        <w:tc>
          <w:tcPr>
            <w:tcW w:w="992" w:type="dxa"/>
            <w:noWrap/>
            <w:vAlign w:val="center"/>
          </w:tcPr>
          <w:p w14:paraId="0ABAD5D0" w14:textId="1F73CBF9" w:rsidR="0007002E" w:rsidRDefault="0007002E" w:rsidP="0007002E">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4820" w:type="dxa"/>
            <w:noWrap/>
            <w:vAlign w:val="center"/>
          </w:tcPr>
          <w:p w14:paraId="3CA93865" w14:textId="3A276F30" w:rsidR="0007002E" w:rsidRDefault="00223D77" w:rsidP="0007002E">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126" w:type="dxa"/>
            <w:noWrap/>
            <w:vAlign w:val="center"/>
          </w:tcPr>
          <w:p w14:paraId="42E55E7F" w14:textId="7D4FBBE3" w:rsidR="0007002E" w:rsidRDefault="00D5754E" w:rsidP="0007002E">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{{SHARE-%_4}}</w:t>
            </w:r>
          </w:p>
        </w:tc>
      </w:tr>
      <w:tr w:rsidR="00740888" w:rsidRPr="00FB791A" w14:paraId="4BE52056" w14:textId="77777777" w:rsidTr="004135C8">
        <w:trPr>
          <w:trHeight w:val="432"/>
        </w:trPr>
        <w:tc>
          <w:tcPr>
            <w:tcW w:w="992" w:type="dxa"/>
            <w:noWrap/>
            <w:vAlign w:val="center"/>
          </w:tcPr>
          <w:p w14:paraId="6A589054" w14:textId="30165644" w:rsidR="00740888" w:rsidRDefault="00740888" w:rsidP="0007002E">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5</w:t>
            </w:r>
          </w:p>
        </w:tc>
        <w:tc>
          <w:tcPr>
            <w:tcW w:w="4820" w:type="dxa"/>
            <w:noWrap/>
            <w:vAlign w:val="center"/>
          </w:tcPr>
          <w:p w14:paraId="62A5D854" w14:textId="54F93BE1" w:rsidR="00740888" w:rsidRDefault="00740888" w:rsidP="0007002E">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{{PERSON_5}}</w:t>
            </w:r>
          </w:p>
        </w:tc>
        <w:tc>
          <w:tcPr>
            <w:tcW w:w="2126" w:type="dxa"/>
            <w:noWrap/>
            <w:vAlign w:val="center"/>
          </w:tcPr>
          <w:p w14:paraId="0F690B59" w14:textId="27D50DCD" w:rsidR="00740888" w:rsidRDefault="00740888" w:rsidP="0007002E">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{{SHARE-%_5}}</w:t>
            </w:r>
          </w:p>
        </w:tc>
      </w:tr>
      <w:tr w:rsidR="0007002E" w:rsidRPr="00D51B1D" w14:paraId="71607DA4" w14:textId="77777777" w:rsidTr="004135C8">
        <w:trPr>
          <w:trHeight w:val="432"/>
        </w:trPr>
        <w:tc>
          <w:tcPr>
            <w:tcW w:w="992" w:type="dxa"/>
            <w:noWrap/>
            <w:vAlign w:val="center"/>
            <w:hideMark/>
          </w:tcPr>
          <w:p w14:paraId="1BE374AD" w14:textId="77777777" w:rsidR="0007002E" w:rsidRPr="00FB791A" w:rsidRDefault="0007002E" w:rsidP="0007002E">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07002E" w:rsidRPr="00FB791A" w:rsidRDefault="0007002E" w:rsidP="0007002E">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07002E" w:rsidRPr="00FB791A" w:rsidRDefault="0007002E" w:rsidP="0007002E">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The amount so brought in or procured and such interest as may have been agreed to, shall be treated as loan advanced by the lender to the LLP.  The said loan 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5CAB6C03" w14:textId="74023C69" w:rsidR="00923BBE" w:rsidRPr="004B432D" w:rsidRDefault="00770376" w:rsidP="00923BBE">
      <w:pPr>
        <w:ind w:left="1418" w:hanging="698"/>
        <w:rPr>
          <w:rFonts w:ascii="Bookman Old Style" w:hAnsi="Bookman Old Style"/>
          <w:highlight w:val="yellow"/>
        </w:rPr>
      </w:pPr>
      <w:r>
        <w:rPr>
          <w:rFonts w:ascii="Bookman Old Style" w:hAnsi="Bookman Old Style"/>
        </w:rPr>
        <w:t>9</w:t>
      </w:r>
      <w:r w:rsidR="00FA75A0" w:rsidRPr="00C30067">
        <w:rPr>
          <w:rFonts w:ascii="Bookman Old Style" w:hAnsi="Bookman Old Style"/>
        </w:rPr>
        <w:t>.</w:t>
      </w:r>
      <w:r w:rsidR="004C470E" w:rsidRPr="00C30067">
        <w:rPr>
          <w:rFonts w:ascii="Bookman Old Style" w:hAnsi="Bookman Old Style"/>
        </w:rPr>
        <w:t>1</w:t>
      </w:r>
      <w:r w:rsidR="005754EB" w:rsidRPr="00C30067">
        <w:rPr>
          <w:rFonts w:ascii="Bookman Old Style" w:hAnsi="Bookman Old Style"/>
        </w:rPr>
        <w:tab/>
      </w:r>
      <w:r w:rsidR="00320243" w:rsidRPr="004B432D">
        <w:rPr>
          <w:rFonts w:ascii="Bookman Old Style" w:hAnsi="Bookman Old Style"/>
          <w:highlight w:val="yellow"/>
        </w:rPr>
        <w:t>To carry on the business of acquiring, owning, leasing, managing, developing, and disposing of real estate properties of every description, whether residential, commercial, or industrial, and whether owned by the Partnership or held under lease. Such activities may include property rental, property management, real estate development, and all other matters incidental or ancillary thereto, subject always to compliance with applicable laws and regulations.</w:t>
      </w:r>
    </w:p>
    <w:p w14:paraId="23BB5DAC" w14:textId="77777777" w:rsidR="009D7FF3" w:rsidRPr="004B432D" w:rsidRDefault="009D7FF3" w:rsidP="00923BBE">
      <w:pPr>
        <w:ind w:left="1418" w:hanging="698"/>
        <w:rPr>
          <w:rFonts w:ascii="Bookman Old Style" w:hAnsi="Bookman Old Style"/>
          <w:highlight w:val="yellow"/>
        </w:rPr>
      </w:pPr>
    </w:p>
    <w:p w14:paraId="2F5376D0" w14:textId="3B9E0E9E" w:rsidR="00383CA9" w:rsidRPr="004B432D" w:rsidRDefault="00383CA9" w:rsidP="00923BBE">
      <w:pPr>
        <w:ind w:left="1418" w:hanging="698"/>
        <w:rPr>
          <w:rFonts w:ascii="Bookman Old Style" w:hAnsi="Bookman Old Style"/>
          <w:highlight w:val="yellow"/>
        </w:rPr>
      </w:pPr>
      <w:r w:rsidRPr="004B432D">
        <w:rPr>
          <w:rFonts w:ascii="Bookman Old Style" w:hAnsi="Bookman Old Style"/>
          <w:highlight w:val="yellow"/>
        </w:rPr>
        <w:t>9.</w:t>
      </w:r>
      <w:r w:rsidR="00E711DF" w:rsidRPr="004B432D">
        <w:rPr>
          <w:rFonts w:ascii="Bookman Old Style" w:hAnsi="Bookman Old Style"/>
          <w:highlight w:val="yellow"/>
        </w:rPr>
        <w:t>2</w:t>
      </w:r>
      <w:r w:rsidRPr="004B432D">
        <w:rPr>
          <w:rFonts w:ascii="Bookman Old Style" w:hAnsi="Bookman Old Style"/>
          <w:highlight w:val="yellow"/>
        </w:rPr>
        <w:tab/>
      </w:r>
      <w:r w:rsidR="00172CF7" w:rsidRPr="004B432D">
        <w:rPr>
          <w:rFonts w:ascii="Bookman Old Style" w:hAnsi="Bookman Old Style"/>
          <w:highlight w:val="yellow"/>
        </w:rPr>
        <w:t>To carry on the business of wholesale trading in food, beverages, and tobacco products, including the import, export, distribution, storage, and supply of such goods. The Partnership may establish warehouses, distribution channels, and contractual arrangements with suppliers, manufacturers, and distributors for the efficient conduct of such business</w:t>
      </w:r>
      <w:r w:rsidRPr="004B432D">
        <w:rPr>
          <w:rFonts w:ascii="Bookman Old Style" w:hAnsi="Bookman Old Style"/>
          <w:highlight w:val="yellow"/>
        </w:rPr>
        <w:t>.</w:t>
      </w:r>
    </w:p>
    <w:p w14:paraId="143C6782" w14:textId="77777777" w:rsidR="00E711DF" w:rsidRPr="004B432D" w:rsidRDefault="00E711DF" w:rsidP="00923BBE">
      <w:pPr>
        <w:ind w:left="1418" w:hanging="698"/>
        <w:rPr>
          <w:rFonts w:ascii="Bookman Old Style" w:hAnsi="Bookman Old Style"/>
          <w:highlight w:val="yellow"/>
        </w:rPr>
      </w:pPr>
    </w:p>
    <w:p w14:paraId="2119B078" w14:textId="6555A9C1" w:rsidR="00172CF7" w:rsidRDefault="00E711DF" w:rsidP="00923BBE">
      <w:pPr>
        <w:ind w:left="1418" w:hanging="698"/>
        <w:rPr>
          <w:rFonts w:ascii="Bookman Old Style" w:hAnsi="Bookman Old Style"/>
        </w:rPr>
      </w:pPr>
      <w:r w:rsidRPr="004B432D">
        <w:rPr>
          <w:rFonts w:ascii="Bookman Old Style" w:hAnsi="Bookman Old Style"/>
          <w:highlight w:val="yellow"/>
        </w:rPr>
        <w:t>9.2</w:t>
      </w:r>
      <w:r w:rsidRPr="004B432D">
        <w:rPr>
          <w:rFonts w:ascii="Bookman Old Style" w:hAnsi="Bookman Old Style"/>
          <w:highlight w:val="yellow"/>
        </w:rPr>
        <w:tab/>
        <w:t>To carry on the business of planning, designing, developing, constructing, executing, operating and maintaining civil engineering and infrastructure projects, including roads, bridges, drainage, water supply, utilities, housing, townships and related works, either independently or in collaboration with governments, authorities, companies or individuals, and to undertake contracts or projects under any permissible model, together with all activities incidental or ancillary thereto</w:t>
      </w:r>
      <w:r w:rsidRPr="00E711DF">
        <w:rPr>
          <w:rFonts w:ascii="Bookman Old Style" w:hAnsi="Bookman Old Style"/>
        </w:rPr>
        <w:t>.</w:t>
      </w:r>
    </w:p>
    <w:p w14:paraId="259BC99C" w14:textId="77777777" w:rsidR="00E711DF" w:rsidRDefault="00E711DF"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7C38CA0D" w14:textId="334B89A1" w:rsidR="00376612" w:rsidRDefault="00770376" w:rsidP="009634B5">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3A762DA4" w14:textId="77777777" w:rsidR="009F089A" w:rsidRDefault="009F089A" w:rsidP="00EF755E">
      <w:pPr>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lastRenderedPageBreak/>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t>ADMISSION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lastRenderedPageBreak/>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lastRenderedPageBreak/>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4E08823C"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8A21CE" w:rsidRPr="00820E6C">
        <w:rPr>
          <w:rFonts w:ascii="Bookman Old Style" w:hAnsi="Bookman Old Style" w:cstheme="minorHAnsi"/>
          <w:highlight w:val="yellow"/>
        </w:rPr>
        <w:t>{{PERSON_1}} AND {{PERSON_2}}</w:t>
      </w:r>
      <w:r w:rsidR="00172CF7">
        <w:rPr>
          <w:rFonts w:ascii="Bookman Old Style" w:hAnsi="Bookman Old Style" w:cstheme="minorHAnsi"/>
        </w:rPr>
        <w:t xml:space="preserve">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t>required</w:t>
      </w:r>
      <w:r w:rsidRPr="00B10688">
        <w:rPr>
          <w:rFonts w:ascii="Bookman Old Style" w:hAnsi="Bookman Old Style"/>
        </w:rPr>
        <w:t xml:space="preserve"> to be done in respect of compliance of the provisions of LLP Act, 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 xml:space="preserve">The Majority Partners can mortgage, charge, pledge, encumber the assets / properties /investments of the LLP and/or provide assets </w:t>
      </w:r>
      <w:r w:rsidR="00276073" w:rsidRPr="00276073">
        <w:rPr>
          <w:rFonts w:ascii="Bookman Old Style" w:hAnsi="Bookman Old Style"/>
          <w:lang w:val="en-IN"/>
        </w:rPr>
        <w:lastRenderedPageBreak/>
        <w:t>/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t xml:space="preserve">INDEMNITY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the same time and place or to such other day and at such other time and place as the partners present may determine, and if at the adjourned 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t>CESSATION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lastRenderedPageBreak/>
        <w:t>2</w:t>
      </w:r>
      <w:r w:rsidR="00172CF7">
        <w:rPr>
          <w:rFonts w:ascii="Bookman Old Style" w:hAnsi="Bookman Old Style"/>
          <w:b/>
        </w:rPr>
        <w:t>0</w:t>
      </w:r>
      <w:r w:rsidR="00B10688" w:rsidRPr="00B10688">
        <w:rPr>
          <w:rFonts w:ascii="Bookman Old Style" w:hAnsi="Bookman Old Style"/>
          <w:b/>
        </w:rPr>
        <w:tab/>
        <w:t xml:space="preserve">EXPULSION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t>DISSOLUTION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LLP's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5877B57B" w14:textId="77777777" w:rsidR="00FE1758" w:rsidRDefault="00FE1758"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r w:rsidR="00562514" w:rsidRPr="00133821" w14:paraId="0F3F792D" w14:textId="77777777" w:rsidTr="004135C8">
        <w:trPr>
          <w:trHeight w:val="964"/>
        </w:trPr>
        <w:tc>
          <w:tcPr>
            <w:tcW w:w="4675" w:type="dxa"/>
            <w:vAlign w:val="center"/>
          </w:tcPr>
          <w:p w14:paraId="4AEC659C" w14:textId="52F2E13E"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6A02FA0B" w14:textId="77777777" w:rsidR="00562514" w:rsidRPr="00133821" w:rsidRDefault="00562514" w:rsidP="00562514">
            <w:pPr>
              <w:jc w:val="left"/>
              <w:rPr>
                <w:rFonts w:ascii="Bookman Old Style" w:hAnsi="Bookman Old Style"/>
              </w:rPr>
            </w:pPr>
          </w:p>
        </w:tc>
      </w:tr>
      <w:tr w:rsidR="00BD35B5" w:rsidRPr="00133821" w14:paraId="591A912F" w14:textId="77777777" w:rsidTr="004135C8">
        <w:trPr>
          <w:trHeight w:val="964"/>
        </w:trPr>
        <w:tc>
          <w:tcPr>
            <w:tcW w:w="4675" w:type="dxa"/>
            <w:vAlign w:val="center"/>
          </w:tcPr>
          <w:p w14:paraId="75413921" w14:textId="7501D3FA" w:rsidR="00BD35B5" w:rsidRDefault="00EB492F" w:rsidP="00BD35B5">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{{PERSON_4}}</w:t>
            </w:r>
          </w:p>
        </w:tc>
        <w:tc>
          <w:tcPr>
            <w:tcW w:w="4675" w:type="dxa"/>
            <w:vAlign w:val="center"/>
          </w:tcPr>
          <w:p w14:paraId="6239A923" w14:textId="77777777" w:rsidR="00BD35B5" w:rsidRPr="00133821" w:rsidRDefault="00BD35B5" w:rsidP="00BD35B5">
            <w:pPr>
              <w:jc w:val="left"/>
              <w:rPr>
                <w:rFonts w:ascii="Bookman Old Style" w:hAnsi="Bookman Old Style"/>
              </w:rPr>
            </w:pPr>
          </w:p>
        </w:tc>
      </w:tr>
      <w:tr w:rsidR="00EE4598" w:rsidRPr="00133821" w14:paraId="3AB4F084" w14:textId="77777777" w:rsidTr="004135C8">
        <w:trPr>
          <w:trHeight w:val="964"/>
        </w:trPr>
        <w:tc>
          <w:tcPr>
            <w:tcW w:w="4675" w:type="dxa"/>
            <w:vAlign w:val="center"/>
          </w:tcPr>
          <w:p w14:paraId="7AAE6FC6" w14:textId="130C6E84" w:rsidR="00EE4598" w:rsidRDefault="00EE4598" w:rsidP="00BD35B5">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{{PERSON_5}}</w:t>
            </w:r>
          </w:p>
        </w:tc>
        <w:tc>
          <w:tcPr>
            <w:tcW w:w="4675" w:type="dxa"/>
            <w:vAlign w:val="center"/>
          </w:tcPr>
          <w:p w14:paraId="1102FD1D" w14:textId="77777777" w:rsidR="00EE4598" w:rsidRPr="00133821" w:rsidRDefault="00EE4598" w:rsidP="00BD35B5">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lastRenderedPageBreak/>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programmes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w:t>
      </w:r>
      <w:r w:rsidRPr="00F334A3">
        <w:rPr>
          <w:rFonts w:ascii="Bookman Old Style" w:hAnsi="Bookman Old Style"/>
        </w:rPr>
        <w:lastRenderedPageBreak/>
        <w:t xml:space="preserve">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properties both present and future including its uncalled capital, purchase, 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lastRenderedPageBreak/>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r w:rsidR="00562514" w:rsidRPr="00133821" w14:paraId="29D2D844" w14:textId="77777777" w:rsidTr="004135C8">
        <w:trPr>
          <w:trHeight w:val="964"/>
        </w:trPr>
        <w:tc>
          <w:tcPr>
            <w:tcW w:w="4675" w:type="dxa"/>
            <w:vAlign w:val="center"/>
          </w:tcPr>
          <w:p w14:paraId="3476B24C" w14:textId="2BB1AD16"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48A2D504" w14:textId="77777777" w:rsidR="00562514" w:rsidRPr="00133821" w:rsidRDefault="00562514" w:rsidP="00562514">
            <w:pPr>
              <w:jc w:val="left"/>
              <w:rPr>
                <w:rFonts w:ascii="Bookman Old Style" w:hAnsi="Bookman Old Style"/>
              </w:rPr>
            </w:pPr>
          </w:p>
        </w:tc>
      </w:tr>
      <w:tr w:rsidR="00FE1758" w:rsidRPr="00133821" w14:paraId="423620C4" w14:textId="77777777" w:rsidTr="004135C8">
        <w:trPr>
          <w:trHeight w:val="964"/>
        </w:trPr>
        <w:tc>
          <w:tcPr>
            <w:tcW w:w="4675" w:type="dxa"/>
            <w:vAlign w:val="center"/>
          </w:tcPr>
          <w:p w14:paraId="09AAAF39" w14:textId="3B228218" w:rsidR="00FE1758" w:rsidRDefault="00340DA1" w:rsidP="00FE175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{{PERSON_4}}</w:t>
            </w:r>
          </w:p>
        </w:tc>
        <w:tc>
          <w:tcPr>
            <w:tcW w:w="4675" w:type="dxa"/>
            <w:vAlign w:val="center"/>
          </w:tcPr>
          <w:p w14:paraId="7410C3D8" w14:textId="77777777" w:rsidR="00FE1758" w:rsidRPr="00133821" w:rsidRDefault="00FE1758" w:rsidP="00FE1758">
            <w:pPr>
              <w:jc w:val="left"/>
              <w:rPr>
                <w:rFonts w:ascii="Bookman Old Style" w:hAnsi="Bookman Old Style"/>
              </w:rPr>
            </w:pPr>
          </w:p>
        </w:tc>
      </w:tr>
      <w:tr w:rsidR="00A077A3" w:rsidRPr="00133821" w14:paraId="5941AA2A" w14:textId="77777777" w:rsidTr="004135C8">
        <w:trPr>
          <w:trHeight w:val="964"/>
        </w:trPr>
        <w:tc>
          <w:tcPr>
            <w:tcW w:w="4675" w:type="dxa"/>
            <w:vAlign w:val="center"/>
          </w:tcPr>
          <w:p w14:paraId="1A4E9135" w14:textId="203A30EA" w:rsidR="00A077A3" w:rsidRDefault="00A077A3" w:rsidP="00FE1758">
            <w:pPr>
              <w:jc w:val="left"/>
              <w:rPr>
                <w:rFonts w:ascii="Bookman Old Style" w:hAnsi="Bookman Old Style" w:cs="Calibri"/>
                <w:caps/>
                <w:color w:val="000000"/>
                <w:sz w:val="20"/>
                <w:szCs w:val="20"/>
              </w:rPr>
            </w:pPr>
            <w:r>
              <w:rPr>
                <w:rFonts w:ascii="Bookman Old Style" w:hAnsi="Bookman Old Style" w:cs="Calibri"/>
                <w:caps/>
                <w:color w:val="000000"/>
                <w:sz w:val="20"/>
                <w:szCs w:val="20"/>
              </w:rPr>
              <w:lastRenderedPageBreak/>
              <w:t>{{PERSON_5}}</w:t>
            </w:r>
          </w:p>
        </w:tc>
        <w:tc>
          <w:tcPr>
            <w:tcW w:w="4675" w:type="dxa"/>
            <w:vAlign w:val="center"/>
          </w:tcPr>
          <w:p w14:paraId="53254E82" w14:textId="77777777" w:rsidR="00A077A3" w:rsidRPr="00133821" w:rsidRDefault="00A077A3" w:rsidP="00FE1758">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CA8AA" w14:textId="77777777" w:rsidR="00484029" w:rsidRDefault="00484029" w:rsidP="00F469EE">
      <w:pPr>
        <w:spacing w:line="240" w:lineRule="auto"/>
      </w:pPr>
      <w:r>
        <w:separator/>
      </w:r>
    </w:p>
  </w:endnote>
  <w:endnote w:type="continuationSeparator" w:id="0">
    <w:p w14:paraId="74D6F8C8" w14:textId="77777777" w:rsidR="00484029" w:rsidRDefault="00484029"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38"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2209"/>
      <w:gridCol w:w="1945"/>
      <w:gridCol w:w="3839"/>
    </w:tblGrid>
    <w:tr w:rsidR="00625453" w:rsidRPr="00F33B03" w14:paraId="440A6415" w14:textId="46987F4D" w:rsidTr="00C70B82">
      <w:trPr>
        <w:trHeight w:val="859"/>
      </w:trPr>
      <w:tc>
        <w:tcPr>
          <w:tcW w:w="3745" w:type="dxa"/>
        </w:tcPr>
        <w:p w14:paraId="5C98AEBD" w14:textId="0D326CE9"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625453" w:rsidRPr="00F33B03" w:rsidRDefault="00625453"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4154" w:type="dxa"/>
          <w:gridSpan w:val="2"/>
        </w:tcPr>
        <w:p w14:paraId="55804853" w14:textId="584DE2C4"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625453" w:rsidRPr="00F33B03" w:rsidRDefault="00625453"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{{PERSON_2_DIN}}</w:t>
          </w:r>
        </w:p>
      </w:tc>
      <w:tc>
        <w:tcPr>
          <w:tcW w:w="3839" w:type="dxa"/>
        </w:tcPr>
        <w:p w14:paraId="60BFB982" w14:textId="363C9515" w:rsidR="00625453" w:rsidRDefault="00625453" w:rsidP="00726BDD">
          <w:pPr>
            <w:pStyle w:val="ListParagraph"/>
            <w:ind w:left="0"/>
            <w:jc w:val="center"/>
            <w:rPr>
              <w:rFonts w:ascii="Bookman Old Style" w:hAnsi="Bookman Old Style"/>
              <w:sz w:val="16"/>
              <w:szCs w:val="16"/>
            </w:rPr>
          </w:pPr>
          <w:r>
            <w:rPr>
              <w:rFonts w:ascii="Bookman Old Style" w:hAnsi="Bookman Old Style"/>
              <w:sz w:val="16"/>
              <w:szCs w:val="16"/>
            </w:rPr>
            <w:t>{{PERSON_3}}</w:t>
          </w:r>
        </w:p>
        <w:p w14:paraId="09AFE1E1" w14:textId="4F29F1A3" w:rsidR="00625453" w:rsidRDefault="00625453" w:rsidP="00584EF0">
          <w:pPr>
            <w:pStyle w:val="ListParagraph"/>
            <w:ind w:left="0"/>
            <w:jc w:val="center"/>
            <w:rPr>
              <w:rFonts w:ascii="Bookman Old Style" w:hAnsi="Bookman Old Style"/>
              <w:sz w:val="16"/>
              <w:szCs w:val="16"/>
            </w:rPr>
          </w:pPr>
          <w:r w:rsidRPr="00F33B03">
            <w:rPr>
              <w:rFonts w:ascii="Bookman Old Style" w:hAnsi="Bookman Old Style"/>
              <w:sz w:val="16"/>
              <w:szCs w:val="16"/>
            </w:rPr>
            <w:t>DIN:</w:t>
          </w:r>
          <w:r>
            <w:rPr>
              <w:rFonts w:ascii="Bookman Old Style" w:hAnsi="Bookman Old Style"/>
              <w:sz w:val="16"/>
              <w:szCs w:val="16"/>
            </w:rPr>
            <w:t xml:space="preserve"> {{PERSON_3_DIN}}</w:t>
          </w:r>
        </w:p>
      </w:tc>
    </w:tr>
    <w:tr w:rsidR="00625453" w:rsidRPr="00F33B03" w14:paraId="6551D379" w14:textId="77777777" w:rsidTr="00C70B82">
      <w:trPr>
        <w:trHeight w:val="859"/>
      </w:trPr>
      <w:tc>
        <w:tcPr>
          <w:tcW w:w="5954" w:type="dxa"/>
          <w:gridSpan w:val="2"/>
        </w:tcPr>
        <w:p w14:paraId="2AC9A6F4" w14:textId="77777777"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{{PERSON_4}}</w:t>
          </w:r>
        </w:p>
        <w:p w14:paraId="4FB75657" w14:textId="1DD81637"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DIN: {{PERSON_4_DIN}}</w:t>
          </w:r>
        </w:p>
      </w:tc>
      <w:tc>
        <w:tcPr>
          <w:tcW w:w="5784" w:type="dxa"/>
          <w:gridSpan w:val="2"/>
        </w:tcPr>
        <w:p w14:paraId="475EFE6F" w14:textId="77777777" w:rsidR="00625453" w:rsidRDefault="00E312AD" w:rsidP="00726BDD">
          <w:pPr>
            <w:pStyle w:val="ListParagraph"/>
            <w:ind w:left="0"/>
            <w:jc w:val="center"/>
            <w:rPr>
              <w:rFonts w:ascii="Bookman Old Style" w:hAnsi="Bookman Old Style"/>
              <w:sz w:val="16"/>
              <w:szCs w:val="16"/>
            </w:rPr>
          </w:pPr>
          <w:r>
            <w:rPr>
              <w:rFonts w:ascii="Bookman Old Style" w:hAnsi="Bookman Old Style"/>
              <w:sz w:val="16"/>
              <w:szCs w:val="16"/>
            </w:rPr>
            <w:t>{{PERSON_5}}</w:t>
          </w:r>
        </w:p>
        <w:p w14:paraId="47781887" w14:textId="1CDA8505" w:rsidR="00E312AD" w:rsidRDefault="00E312AD" w:rsidP="00726BDD">
          <w:pPr>
            <w:pStyle w:val="ListParagraph"/>
            <w:ind w:left="0"/>
            <w:jc w:val="center"/>
            <w:rPr>
              <w:rFonts w:ascii="Bookman Old Style" w:hAnsi="Bookman Old Style"/>
              <w:sz w:val="16"/>
              <w:szCs w:val="16"/>
            </w:rPr>
          </w:pPr>
          <w:r>
            <w:rPr>
              <w:rFonts w:ascii="Bookman Old Style" w:hAnsi="Bookman Old Style"/>
              <w:sz w:val="16"/>
              <w:szCs w:val="16"/>
            </w:rPr>
            <w:t>DIN: {{PERSON_5_DIN}}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72571" w14:textId="77777777" w:rsidR="00484029" w:rsidRDefault="00484029" w:rsidP="00F469EE">
      <w:pPr>
        <w:spacing w:line="240" w:lineRule="auto"/>
      </w:pPr>
      <w:r>
        <w:separator/>
      </w:r>
    </w:p>
  </w:footnote>
  <w:footnote w:type="continuationSeparator" w:id="0">
    <w:p w14:paraId="6A1BBBBB" w14:textId="77777777" w:rsidR="00484029" w:rsidRDefault="00484029"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10120"/>
    <w:rsid w:val="00011776"/>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002E"/>
    <w:rsid w:val="00071475"/>
    <w:rsid w:val="000720C6"/>
    <w:rsid w:val="00072D1F"/>
    <w:rsid w:val="00073473"/>
    <w:rsid w:val="00076978"/>
    <w:rsid w:val="000776EF"/>
    <w:rsid w:val="000778A9"/>
    <w:rsid w:val="000779F5"/>
    <w:rsid w:val="00077D24"/>
    <w:rsid w:val="000814F0"/>
    <w:rsid w:val="000872EF"/>
    <w:rsid w:val="000874D7"/>
    <w:rsid w:val="000914E4"/>
    <w:rsid w:val="00091A47"/>
    <w:rsid w:val="000946D7"/>
    <w:rsid w:val="000A3416"/>
    <w:rsid w:val="000A3FB9"/>
    <w:rsid w:val="000A5A15"/>
    <w:rsid w:val="000B2C15"/>
    <w:rsid w:val="000B4071"/>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2C4F"/>
    <w:rsid w:val="00143641"/>
    <w:rsid w:val="00145643"/>
    <w:rsid w:val="0014695E"/>
    <w:rsid w:val="00147371"/>
    <w:rsid w:val="00147DD4"/>
    <w:rsid w:val="00151FEB"/>
    <w:rsid w:val="00153560"/>
    <w:rsid w:val="00154ED6"/>
    <w:rsid w:val="0015522E"/>
    <w:rsid w:val="00155324"/>
    <w:rsid w:val="00156B05"/>
    <w:rsid w:val="00160E8C"/>
    <w:rsid w:val="001621BA"/>
    <w:rsid w:val="00162478"/>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4E59"/>
    <w:rsid w:val="001A5C27"/>
    <w:rsid w:val="001B0B27"/>
    <w:rsid w:val="001B1726"/>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10CA3"/>
    <w:rsid w:val="00211FA8"/>
    <w:rsid w:val="002132F6"/>
    <w:rsid w:val="00213650"/>
    <w:rsid w:val="00214E6A"/>
    <w:rsid w:val="002153E6"/>
    <w:rsid w:val="00222098"/>
    <w:rsid w:val="00222E29"/>
    <w:rsid w:val="00223D77"/>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3DF6"/>
    <w:rsid w:val="00254EE0"/>
    <w:rsid w:val="00254F75"/>
    <w:rsid w:val="00256855"/>
    <w:rsid w:val="00257A6A"/>
    <w:rsid w:val="00260C27"/>
    <w:rsid w:val="00260D6E"/>
    <w:rsid w:val="00260E0C"/>
    <w:rsid w:val="002618F2"/>
    <w:rsid w:val="00262CFC"/>
    <w:rsid w:val="00265208"/>
    <w:rsid w:val="00265DEF"/>
    <w:rsid w:val="00265F6B"/>
    <w:rsid w:val="002668CD"/>
    <w:rsid w:val="00266DC6"/>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D7448"/>
    <w:rsid w:val="002E126B"/>
    <w:rsid w:val="002E3802"/>
    <w:rsid w:val="002E3E56"/>
    <w:rsid w:val="002E3E9F"/>
    <w:rsid w:val="002E47CB"/>
    <w:rsid w:val="002E4E67"/>
    <w:rsid w:val="002E751D"/>
    <w:rsid w:val="002F1109"/>
    <w:rsid w:val="002F3719"/>
    <w:rsid w:val="002F4950"/>
    <w:rsid w:val="002F7CCF"/>
    <w:rsid w:val="00300564"/>
    <w:rsid w:val="0030099C"/>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34B9A"/>
    <w:rsid w:val="00340DA1"/>
    <w:rsid w:val="00344485"/>
    <w:rsid w:val="00345211"/>
    <w:rsid w:val="003476B6"/>
    <w:rsid w:val="00347BA4"/>
    <w:rsid w:val="00347F50"/>
    <w:rsid w:val="00350483"/>
    <w:rsid w:val="00351C8D"/>
    <w:rsid w:val="0035311C"/>
    <w:rsid w:val="00353A10"/>
    <w:rsid w:val="003547E8"/>
    <w:rsid w:val="00354A4F"/>
    <w:rsid w:val="003559AD"/>
    <w:rsid w:val="0035633F"/>
    <w:rsid w:val="003566AB"/>
    <w:rsid w:val="00357868"/>
    <w:rsid w:val="0036099A"/>
    <w:rsid w:val="003616E0"/>
    <w:rsid w:val="003620D0"/>
    <w:rsid w:val="00362F18"/>
    <w:rsid w:val="0036444B"/>
    <w:rsid w:val="003667F7"/>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08E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5CF2"/>
    <w:rsid w:val="003D6553"/>
    <w:rsid w:val="003E1545"/>
    <w:rsid w:val="003E29B9"/>
    <w:rsid w:val="003E3899"/>
    <w:rsid w:val="003E5479"/>
    <w:rsid w:val="003E56DA"/>
    <w:rsid w:val="003E5839"/>
    <w:rsid w:val="003E59BA"/>
    <w:rsid w:val="003E613B"/>
    <w:rsid w:val="003E6C76"/>
    <w:rsid w:val="003E731A"/>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4DD9"/>
    <w:rsid w:val="00446AF8"/>
    <w:rsid w:val="00446EC1"/>
    <w:rsid w:val="00447D07"/>
    <w:rsid w:val="00455F27"/>
    <w:rsid w:val="0046005E"/>
    <w:rsid w:val="00461841"/>
    <w:rsid w:val="00461C8C"/>
    <w:rsid w:val="004645D5"/>
    <w:rsid w:val="00465567"/>
    <w:rsid w:val="0046745D"/>
    <w:rsid w:val="00470126"/>
    <w:rsid w:val="004712E3"/>
    <w:rsid w:val="0047397B"/>
    <w:rsid w:val="0047591A"/>
    <w:rsid w:val="004763BE"/>
    <w:rsid w:val="00476D47"/>
    <w:rsid w:val="004773CC"/>
    <w:rsid w:val="004774D9"/>
    <w:rsid w:val="004808DB"/>
    <w:rsid w:val="00480EB6"/>
    <w:rsid w:val="00481F5A"/>
    <w:rsid w:val="00482DA6"/>
    <w:rsid w:val="00483623"/>
    <w:rsid w:val="00483879"/>
    <w:rsid w:val="0048402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757"/>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514"/>
    <w:rsid w:val="0056277E"/>
    <w:rsid w:val="005629CD"/>
    <w:rsid w:val="00562F98"/>
    <w:rsid w:val="00564D64"/>
    <w:rsid w:val="00567F58"/>
    <w:rsid w:val="0057010E"/>
    <w:rsid w:val="00570BC2"/>
    <w:rsid w:val="00572BFE"/>
    <w:rsid w:val="00574DF6"/>
    <w:rsid w:val="005754EB"/>
    <w:rsid w:val="00582158"/>
    <w:rsid w:val="00584EF0"/>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B75C7"/>
    <w:rsid w:val="005C0D74"/>
    <w:rsid w:val="005C188E"/>
    <w:rsid w:val="005C20CA"/>
    <w:rsid w:val="005C2F0E"/>
    <w:rsid w:val="005C4D3E"/>
    <w:rsid w:val="005C7693"/>
    <w:rsid w:val="005D01A3"/>
    <w:rsid w:val="005D074F"/>
    <w:rsid w:val="005D4CDE"/>
    <w:rsid w:val="005D56CD"/>
    <w:rsid w:val="005D609A"/>
    <w:rsid w:val="005D6A70"/>
    <w:rsid w:val="005D6C62"/>
    <w:rsid w:val="005D7051"/>
    <w:rsid w:val="005D70D6"/>
    <w:rsid w:val="005D749A"/>
    <w:rsid w:val="005D7D44"/>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5453"/>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7DF4"/>
    <w:rsid w:val="006708FA"/>
    <w:rsid w:val="006729F6"/>
    <w:rsid w:val="00676DBF"/>
    <w:rsid w:val="00676ECC"/>
    <w:rsid w:val="00677DF9"/>
    <w:rsid w:val="00680A79"/>
    <w:rsid w:val="006812D4"/>
    <w:rsid w:val="006815E8"/>
    <w:rsid w:val="00683501"/>
    <w:rsid w:val="00684037"/>
    <w:rsid w:val="0069000E"/>
    <w:rsid w:val="006912B1"/>
    <w:rsid w:val="00695FEF"/>
    <w:rsid w:val="00696174"/>
    <w:rsid w:val="006A243F"/>
    <w:rsid w:val="006A3DCA"/>
    <w:rsid w:val="006A3F98"/>
    <w:rsid w:val="006A4B46"/>
    <w:rsid w:val="006A5BBF"/>
    <w:rsid w:val="006A7889"/>
    <w:rsid w:val="006B0AD8"/>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691D"/>
    <w:rsid w:val="006D7B8C"/>
    <w:rsid w:val="006D7E63"/>
    <w:rsid w:val="006E1A5A"/>
    <w:rsid w:val="006E2307"/>
    <w:rsid w:val="006E469D"/>
    <w:rsid w:val="006E4AF8"/>
    <w:rsid w:val="006E7C5C"/>
    <w:rsid w:val="006F3B70"/>
    <w:rsid w:val="006F61B0"/>
    <w:rsid w:val="00701362"/>
    <w:rsid w:val="00703063"/>
    <w:rsid w:val="00706986"/>
    <w:rsid w:val="00706C05"/>
    <w:rsid w:val="007101BA"/>
    <w:rsid w:val="00711422"/>
    <w:rsid w:val="00712099"/>
    <w:rsid w:val="00712E6E"/>
    <w:rsid w:val="00713340"/>
    <w:rsid w:val="00713A2B"/>
    <w:rsid w:val="00713CC1"/>
    <w:rsid w:val="00714F5D"/>
    <w:rsid w:val="0072050B"/>
    <w:rsid w:val="00721F26"/>
    <w:rsid w:val="0072338E"/>
    <w:rsid w:val="00723489"/>
    <w:rsid w:val="007244CE"/>
    <w:rsid w:val="007248A0"/>
    <w:rsid w:val="00725024"/>
    <w:rsid w:val="0072512D"/>
    <w:rsid w:val="00725924"/>
    <w:rsid w:val="00726BDD"/>
    <w:rsid w:val="00730602"/>
    <w:rsid w:val="007310DF"/>
    <w:rsid w:val="00734BB4"/>
    <w:rsid w:val="00736CF2"/>
    <w:rsid w:val="007379F7"/>
    <w:rsid w:val="00740888"/>
    <w:rsid w:val="00740BFF"/>
    <w:rsid w:val="00743222"/>
    <w:rsid w:val="0074587A"/>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895"/>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0E6C"/>
    <w:rsid w:val="00821013"/>
    <w:rsid w:val="00821F51"/>
    <w:rsid w:val="008242F0"/>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13A"/>
    <w:rsid w:val="00876855"/>
    <w:rsid w:val="008814C2"/>
    <w:rsid w:val="0088287D"/>
    <w:rsid w:val="008831D1"/>
    <w:rsid w:val="00883600"/>
    <w:rsid w:val="00885AE9"/>
    <w:rsid w:val="00885F44"/>
    <w:rsid w:val="00886DF0"/>
    <w:rsid w:val="00886E0F"/>
    <w:rsid w:val="0089157A"/>
    <w:rsid w:val="00891C5A"/>
    <w:rsid w:val="00895C98"/>
    <w:rsid w:val="0089758B"/>
    <w:rsid w:val="008A078E"/>
    <w:rsid w:val="008A21CE"/>
    <w:rsid w:val="008A4539"/>
    <w:rsid w:val="008A6F72"/>
    <w:rsid w:val="008A7DDC"/>
    <w:rsid w:val="008B28DC"/>
    <w:rsid w:val="008B2E9D"/>
    <w:rsid w:val="008B3230"/>
    <w:rsid w:val="008B3AA0"/>
    <w:rsid w:val="008B4055"/>
    <w:rsid w:val="008B6F85"/>
    <w:rsid w:val="008B739A"/>
    <w:rsid w:val="008C02D8"/>
    <w:rsid w:val="008C2208"/>
    <w:rsid w:val="008C3ADC"/>
    <w:rsid w:val="008C5F51"/>
    <w:rsid w:val="008C7672"/>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5009"/>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4AA3"/>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C87"/>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747"/>
    <w:rsid w:val="009F794A"/>
    <w:rsid w:val="00A008A8"/>
    <w:rsid w:val="00A030E9"/>
    <w:rsid w:val="00A04A35"/>
    <w:rsid w:val="00A05AD1"/>
    <w:rsid w:val="00A06BAA"/>
    <w:rsid w:val="00A077A3"/>
    <w:rsid w:val="00A1055C"/>
    <w:rsid w:val="00A171A4"/>
    <w:rsid w:val="00A17653"/>
    <w:rsid w:val="00A201E5"/>
    <w:rsid w:val="00A20F33"/>
    <w:rsid w:val="00A226A5"/>
    <w:rsid w:val="00A26BEE"/>
    <w:rsid w:val="00A335A7"/>
    <w:rsid w:val="00A33D2D"/>
    <w:rsid w:val="00A3457E"/>
    <w:rsid w:val="00A37E48"/>
    <w:rsid w:val="00A37FE7"/>
    <w:rsid w:val="00A40446"/>
    <w:rsid w:val="00A44167"/>
    <w:rsid w:val="00A50394"/>
    <w:rsid w:val="00A54E5F"/>
    <w:rsid w:val="00A55F8B"/>
    <w:rsid w:val="00A56FFC"/>
    <w:rsid w:val="00A574FE"/>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96A43"/>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4F2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59C8"/>
    <w:rsid w:val="00B779CB"/>
    <w:rsid w:val="00B84CC5"/>
    <w:rsid w:val="00B8516B"/>
    <w:rsid w:val="00B8566F"/>
    <w:rsid w:val="00B85DA2"/>
    <w:rsid w:val="00B90EF8"/>
    <w:rsid w:val="00B92290"/>
    <w:rsid w:val="00B923EF"/>
    <w:rsid w:val="00B93C89"/>
    <w:rsid w:val="00BA30C7"/>
    <w:rsid w:val="00BA3309"/>
    <w:rsid w:val="00BA6CB7"/>
    <w:rsid w:val="00BB0EFF"/>
    <w:rsid w:val="00BB1914"/>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5B5"/>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31F1"/>
    <w:rsid w:val="00BF45C0"/>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70B82"/>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047"/>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E67CB"/>
    <w:rsid w:val="00CF0037"/>
    <w:rsid w:val="00CF0709"/>
    <w:rsid w:val="00CF39D5"/>
    <w:rsid w:val="00D015BC"/>
    <w:rsid w:val="00D02498"/>
    <w:rsid w:val="00D04E3E"/>
    <w:rsid w:val="00D0630B"/>
    <w:rsid w:val="00D1144C"/>
    <w:rsid w:val="00D11E4D"/>
    <w:rsid w:val="00D2174C"/>
    <w:rsid w:val="00D23124"/>
    <w:rsid w:val="00D23439"/>
    <w:rsid w:val="00D239A8"/>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54E"/>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14D7"/>
    <w:rsid w:val="00DB3542"/>
    <w:rsid w:val="00DB6804"/>
    <w:rsid w:val="00DB6851"/>
    <w:rsid w:val="00DB6A50"/>
    <w:rsid w:val="00DB70E1"/>
    <w:rsid w:val="00DB73BC"/>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08F"/>
    <w:rsid w:val="00E1337A"/>
    <w:rsid w:val="00E134CE"/>
    <w:rsid w:val="00E137C0"/>
    <w:rsid w:val="00E14D83"/>
    <w:rsid w:val="00E1791F"/>
    <w:rsid w:val="00E21936"/>
    <w:rsid w:val="00E219B3"/>
    <w:rsid w:val="00E22AFD"/>
    <w:rsid w:val="00E23921"/>
    <w:rsid w:val="00E26913"/>
    <w:rsid w:val="00E2735C"/>
    <w:rsid w:val="00E312AD"/>
    <w:rsid w:val="00E33E6D"/>
    <w:rsid w:val="00E34E50"/>
    <w:rsid w:val="00E375CA"/>
    <w:rsid w:val="00E377D8"/>
    <w:rsid w:val="00E40029"/>
    <w:rsid w:val="00E41A52"/>
    <w:rsid w:val="00E41D01"/>
    <w:rsid w:val="00E4385E"/>
    <w:rsid w:val="00E45DFB"/>
    <w:rsid w:val="00E45E82"/>
    <w:rsid w:val="00E475CC"/>
    <w:rsid w:val="00E5012C"/>
    <w:rsid w:val="00E50281"/>
    <w:rsid w:val="00E51FD9"/>
    <w:rsid w:val="00E52C44"/>
    <w:rsid w:val="00E56A2F"/>
    <w:rsid w:val="00E641CF"/>
    <w:rsid w:val="00E648AD"/>
    <w:rsid w:val="00E6691A"/>
    <w:rsid w:val="00E6697B"/>
    <w:rsid w:val="00E66F28"/>
    <w:rsid w:val="00E711DF"/>
    <w:rsid w:val="00E73871"/>
    <w:rsid w:val="00E73FCF"/>
    <w:rsid w:val="00E7454E"/>
    <w:rsid w:val="00E74E09"/>
    <w:rsid w:val="00E765A5"/>
    <w:rsid w:val="00E76F30"/>
    <w:rsid w:val="00E8030A"/>
    <w:rsid w:val="00E8286F"/>
    <w:rsid w:val="00E833E4"/>
    <w:rsid w:val="00E87435"/>
    <w:rsid w:val="00E93A78"/>
    <w:rsid w:val="00E950CF"/>
    <w:rsid w:val="00EA1197"/>
    <w:rsid w:val="00EA153D"/>
    <w:rsid w:val="00EA27F1"/>
    <w:rsid w:val="00EA4B38"/>
    <w:rsid w:val="00EA4D6F"/>
    <w:rsid w:val="00EA6087"/>
    <w:rsid w:val="00EA680D"/>
    <w:rsid w:val="00EA6A50"/>
    <w:rsid w:val="00EB1E7E"/>
    <w:rsid w:val="00EB3015"/>
    <w:rsid w:val="00EB492F"/>
    <w:rsid w:val="00EB5A9E"/>
    <w:rsid w:val="00EB6FB5"/>
    <w:rsid w:val="00EC0A15"/>
    <w:rsid w:val="00EC1024"/>
    <w:rsid w:val="00EC145B"/>
    <w:rsid w:val="00EC2563"/>
    <w:rsid w:val="00EC36DE"/>
    <w:rsid w:val="00EC3E9E"/>
    <w:rsid w:val="00EC40DF"/>
    <w:rsid w:val="00EC5E34"/>
    <w:rsid w:val="00EC5F3F"/>
    <w:rsid w:val="00EC6152"/>
    <w:rsid w:val="00ED015A"/>
    <w:rsid w:val="00ED0D67"/>
    <w:rsid w:val="00ED67DF"/>
    <w:rsid w:val="00ED773B"/>
    <w:rsid w:val="00EE3995"/>
    <w:rsid w:val="00EE4598"/>
    <w:rsid w:val="00EF0EEE"/>
    <w:rsid w:val="00EF3646"/>
    <w:rsid w:val="00EF6139"/>
    <w:rsid w:val="00EF72A4"/>
    <w:rsid w:val="00EF755E"/>
    <w:rsid w:val="00F010CE"/>
    <w:rsid w:val="00F01152"/>
    <w:rsid w:val="00F054BF"/>
    <w:rsid w:val="00F05B3B"/>
    <w:rsid w:val="00F06411"/>
    <w:rsid w:val="00F065A9"/>
    <w:rsid w:val="00F0755D"/>
    <w:rsid w:val="00F116F1"/>
    <w:rsid w:val="00F1475A"/>
    <w:rsid w:val="00F1584F"/>
    <w:rsid w:val="00F16589"/>
    <w:rsid w:val="00F168ED"/>
    <w:rsid w:val="00F17B63"/>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5979"/>
    <w:rsid w:val="00FB672E"/>
    <w:rsid w:val="00FB791A"/>
    <w:rsid w:val="00FB7D5A"/>
    <w:rsid w:val="00FC1225"/>
    <w:rsid w:val="00FC199A"/>
    <w:rsid w:val="00FC2142"/>
    <w:rsid w:val="00FC6560"/>
    <w:rsid w:val="00FD0712"/>
    <w:rsid w:val="00FD1012"/>
    <w:rsid w:val="00FD113B"/>
    <w:rsid w:val="00FE1758"/>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17</Pages>
  <Words>5188</Words>
  <Characters>29575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Auditor Office 13</cp:lastModifiedBy>
  <cp:revision>207</cp:revision>
  <cp:lastPrinted>2025-08-21T09:46:00Z</cp:lastPrinted>
  <dcterms:created xsi:type="dcterms:W3CDTF">2025-07-29T03:07:00Z</dcterms:created>
  <dcterms:modified xsi:type="dcterms:W3CDTF">2025-08-26T07:18:00Z</dcterms:modified>
</cp:coreProperties>
</file>