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rFonts w:ascii="Calibri" w:hAnsi="Calibri"/>
          <w:b/>
          <w:color w:val="002B5C"/>
          <w:sz w:val="56"/>
        </w:rPr>
        <w:t>EV Battery Swapping Station</w:t>
      </w:r>
    </w:p>
    <w:p>
      <w:pPr>
        <w:jc w:val="center"/>
      </w:pPr>
      <w:r>
        <w:rPr>
          <w:rFonts w:ascii="Calibri" w:hAnsi="Calibri"/>
          <w:b w:val="0"/>
          <w:color w:val="00539B"/>
          <w:sz w:val="36"/>
        </w:rPr>
        <w:t>A Scalable Energy-as-a-Service Model</w:t>
      </w:r>
    </w:p>
    <w:p/>
    <w:p>
      <w:pPr>
        <w:jc w:val="center"/>
      </w:pPr>
      <w:r>
        <w:rPr>
          <w:rFonts w:ascii="Calibri" w:hAnsi="Calibri"/>
          <w:color w:val="333333"/>
          <w:sz w:val="24"/>
        </w:rPr>
        <w:t>Research Report | February 2026</w:t>
      </w:r>
    </w:p>
    <w:p/>
    <w:p>
      <w:pPr>
        <w:jc w:val="center"/>
      </w:pPr>
      <w:r>
        <w:rPr>
          <w:rFonts w:ascii="Calibri" w:hAnsi="Calibri"/>
          <w:i/>
          <w:color w:val="333333"/>
          <w:sz w:val="22"/>
        </w:rPr>
        <w:t>Prepared for Executive Leadership</w:t>
      </w:r>
    </w:p>
    <w:p>
      <w:pPr>
        <w:jc w:val="center"/>
      </w:pPr>
      <w:r>
        <w:rPr>
          <w:b/>
          <w:i/>
          <w:color w:val="888888"/>
          <w:sz w:val="22"/>
        </w:rPr>
        <w:t>[ Company Logo / Header Banner ]</w:t>
      </w:r>
    </w:p>
    <w:p>
      <w:r>
        <w:br w:type="page"/>
      </w:r>
    </w:p>
    <w:p>
      <w:pPr>
        <w:pStyle w:val="Heading1"/>
        <w:jc w:val="left"/>
      </w:pPr>
      <w:r>
        <w:t>Table of Contents</w:t>
      </w:r>
    </w:p>
    <w:p>
      <w:pPr>
        <w:jc w:val="both"/>
      </w:pPr>
      <w:r>
        <w:rPr>
          <w:rFonts w:ascii="Calibri" w:hAnsi="Calibri"/>
          <w:b w:val="0"/>
          <w:i w:val="0"/>
        </w:rPr>
        <w:t>1. Executive Summary</w:t>
      </w:r>
    </w:p>
    <w:p>
      <w:pPr>
        <w:jc w:val="both"/>
      </w:pPr>
      <w:r>
        <w:rPr>
          <w:rFonts w:ascii="Calibri" w:hAnsi="Calibri"/>
          <w:b w:val="0"/>
          <w:i w:val="0"/>
        </w:rPr>
        <w:t>2. Domain Overview</w:t>
      </w:r>
    </w:p>
    <w:p>
      <w:pPr>
        <w:jc w:val="both"/>
      </w:pPr>
      <w:r>
        <w:rPr>
          <w:rFonts w:ascii="Calibri" w:hAnsi="Calibri"/>
          <w:b w:val="0"/>
          <w:i w:val="0"/>
        </w:rPr>
        <w:t>3. Problem Statement</w:t>
      </w:r>
    </w:p>
    <w:p>
      <w:pPr>
        <w:jc w:val="both"/>
      </w:pPr>
      <w:r>
        <w:rPr>
          <w:rFonts w:ascii="Calibri" w:hAnsi="Calibri"/>
          <w:b w:val="0"/>
          <w:i w:val="0"/>
        </w:rPr>
        <w:t>4. Technical Architecture</w:t>
      </w:r>
    </w:p>
    <w:p>
      <w:pPr>
        <w:jc w:val="both"/>
      </w:pPr>
      <w:r>
        <w:rPr>
          <w:rFonts w:ascii="Calibri" w:hAnsi="Calibri"/>
          <w:b w:val="0"/>
          <w:i w:val="0"/>
        </w:rPr>
        <w:t>5. Competitor Analysis</w:t>
      </w:r>
    </w:p>
    <w:p>
      <w:pPr>
        <w:jc w:val="both"/>
      </w:pPr>
      <w:r>
        <w:rPr>
          <w:rFonts w:ascii="Calibri" w:hAnsi="Calibri"/>
          <w:b w:val="0"/>
          <w:i w:val="0"/>
        </w:rPr>
        <w:t>6. Industry Trends &amp; Threats</w:t>
      </w:r>
    </w:p>
    <w:p>
      <w:pPr>
        <w:jc w:val="both"/>
      </w:pPr>
      <w:r>
        <w:rPr>
          <w:rFonts w:ascii="Calibri" w:hAnsi="Calibri"/>
          <w:b w:val="0"/>
          <w:i w:val="0"/>
        </w:rPr>
        <w:t>7. Business Model Design</w:t>
      </w:r>
    </w:p>
    <w:p>
      <w:pPr>
        <w:jc w:val="both"/>
      </w:pPr>
      <w:r>
        <w:rPr>
          <w:rFonts w:ascii="Calibri" w:hAnsi="Calibri"/>
          <w:b w:val="0"/>
          <w:i w:val="0"/>
        </w:rPr>
        <w:t>8. MVP Strategy</w:t>
      </w:r>
    </w:p>
    <w:p>
      <w:pPr>
        <w:jc w:val="both"/>
      </w:pPr>
      <w:r>
        <w:rPr>
          <w:rFonts w:ascii="Calibri" w:hAnsi="Calibri"/>
          <w:b w:val="0"/>
          <w:i w:val="0"/>
        </w:rPr>
        <w:t>9. Financial Projections</w:t>
      </w:r>
    </w:p>
    <w:p>
      <w:pPr>
        <w:jc w:val="both"/>
      </w:pPr>
      <w:r>
        <w:rPr>
          <w:rFonts w:ascii="Calibri" w:hAnsi="Calibri"/>
          <w:b w:val="0"/>
          <w:i w:val="0"/>
        </w:rPr>
        <w:t>10. Proposed Improved Model</w:t>
      </w:r>
    </w:p>
    <w:p>
      <w:pPr>
        <w:jc w:val="both"/>
      </w:pPr>
      <w:r>
        <w:rPr>
          <w:rFonts w:ascii="Calibri" w:hAnsi="Calibri"/>
          <w:b w:val="0"/>
          <w:i w:val="0"/>
        </w:rPr>
        <w:t>11. SWOT Analysis</w:t>
      </w:r>
    </w:p>
    <w:p>
      <w:pPr>
        <w:jc w:val="both"/>
      </w:pPr>
      <w:r>
        <w:rPr>
          <w:rFonts w:ascii="Calibri" w:hAnsi="Calibri"/>
          <w:b w:val="0"/>
          <w:i w:val="0"/>
        </w:rPr>
        <w:t>12. Conclusion</w:t>
      </w:r>
    </w:p>
    <w:p>
      <w:pPr>
        <w:jc w:val="both"/>
      </w:pPr>
      <w:r>
        <w:rPr>
          <w:rFonts w:ascii="Calibri" w:hAnsi="Calibri"/>
          <w:b w:val="0"/>
          <w:i w:val="0"/>
        </w:rPr>
        <w:t>13. References</w:t>
      </w:r>
    </w:p>
    <w:p>
      <w:r>
        <w:br w:type="page"/>
      </w:r>
    </w:p>
    <w:p>
      <w:pPr>
        <w:pStyle w:val="Heading1"/>
        <w:jc w:val="left"/>
      </w:pPr>
      <w:r>
        <w:t>1. Executive Summary</w:t>
      </w:r>
    </w:p>
    <w:p>
      <w:pPr>
        <w:jc w:val="both"/>
      </w:pPr>
      <w:r>
        <w:rPr>
          <w:rFonts w:ascii="Calibri" w:hAnsi="Calibri"/>
          <w:b w:val="0"/>
          <w:i w:val="0"/>
        </w:rPr>
        <w:t>India's electric vehicle (EV) sector is experiencing transformative growth, with registrations surpassing 1.7 million units in FY2023–24 and projected to reach 10 million annual units by FY2030 (VAHAN Dashboard, 2024; NITI Aayog, 2023). The dominant bottlenecks—long charge times, high battery costs, and insufficient charging infrastructure—continue to impede mass adoption, particularly for the commercially intensive two-wheeler (2W) and three-wheeler (3W) segments.</w:t>
      </w:r>
    </w:p>
    <w:p>
      <w:pPr>
        <w:jc w:val="both"/>
      </w:pPr>
      <w:r>
        <w:rPr>
          <w:rFonts w:ascii="Calibri" w:hAnsi="Calibri"/>
          <w:b w:val="0"/>
          <w:i w:val="0"/>
        </w:rPr>
        <w:t>Battery Swapping as a Service (BSaaS) offers a compelling alternative: instead of waiting 4–8 hours for a full charge, a rider exchanges a depleted battery pack for a fully charged one in under 90 seconds. This model decouples the battery from the vehicle, dramatically lowering the upfront vehicle purchase price and shifting energy costs to a predictable, subscription-based model.</w:t>
      </w:r>
    </w:p>
    <w:p>
      <w:pPr>
        <w:jc w:val="both"/>
      </w:pPr>
      <w:r>
        <w:rPr>
          <w:rFonts w:ascii="Calibri" w:hAnsi="Calibri"/>
          <w:b w:val="0"/>
          <w:i w:val="0"/>
        </w:rPr>
        <w:t>This report analyses the market opportunity, technical architecture, competitive landscape, and financial viability of a BSaaS venture targeting Indian fleet operators and last-mile logistics providers. Key findings:</w:t>
      </w:r>
    </w:p>
    <w:p>
      <w:pPr>
        <w:pStyle w:val="ListBullet"/>
        <w:ind w:left="360"/>
      </w:pPr>
      <w:r>
        <w:t>The addressable market for swapping in the 2W/3W segment is estimated at USD 1.1 billion by 2026 (IESA, 2023).</w:t>
      </w:r>
    </w:p>
    <w:p>
      <w:pPr>
        <w:pStyle w:val="ListBullet"/>
        <w:ind w:left="360"/>
      </w:pPr>
      <w:r>
        <w:t>A network of 100 swap stations each performing 100 swaps/day at ₹120/swap generates ~₹43.8 Cr annual revenue.</w:t>
      </w:r>
    </w:p>
    <w:p>
      <w:pPr>
        <w:pStyle w:val="ListBullet"/>
        <w:ind w:left="360"/>
      </w:pPr>
      <w:r>
        <w:t>Station-level break-even is achievable within 18–24 months at moderate utilisation rates.</w:t>
      </w:r>
    </w:p>
    <w:p>
      <w:pPr>
        <w:pStyle w:val="ListBullet"/>
        <w:ind w:left="360"/>
      </w:pPr>
      <w:r>
        <w:t>Integration of solar microgrids can reduce grid electricity costs by 25–35%, improving margin.</w:t>
      </w:r>
    </w:p>
    <w:p>
      <w:pPr>
        <w:pStyle w:val="ListBullet"/>
        <w:ind w:left="360"/>
      </w:pPr>
      <w:r>
        <w:t>Strategic risks include battery standardisation gaps, OEM lock-in, and policy uncertainty.</w:t>
      </w:r>
    </w:p>
    <w:p>
      <w:pPr>
        <w:jc w:val="both"/>
      </w:pPr>
      <w:r>
        <w:rPr>
          <w:rFonts w:ascii="Calibri" w:hAnsi="Calibri"/>
          <w:b w:val="0"/>
          <w:i w:val="0"/>
        </w:rPr>
        <w:t>The report recommends a fleet-first MVP strategy, partnerships with delivery aggregators (e.g., Zomato, Swiggy, Porter), and a modular open-standard battery ecosystem to capture market leadership.</w:t>
      </w:r>
    </w:p>
    <w:p>
      <w:r>
        <w:br w:type="page"/>
      </w:r>
    </w:p>
    <w:p>
      <w:pPr>
        <w:pStyle w:val="Heading1"/>
        <w:jc w:val="left"/>
      </w:pPr>
      <w:r>
        <w:t>2. Domain Overview</w:t>
      </w:r>
    </w:p>
    <w:p>
      <w:pPr>
        <w:pStyle w:val="Heading2"/>
        <w:jc w:val="left"/>
      </w:pPr>
      <w:r>
        <w:t>2.1 EV Infrastructure Ecosystem</w:t>
      </w:r>
    </w:p>
    <w:p>
      <w:pPr>
        <w:jc w:val="both"/>
      </w:pPr>
      <w:r>
        <w:rPr>
          <w:rFonts w:ascii="Calibri" w:hAnsi="Calibri"/>
          <w:b w:val="0"/>
          <w:i w:val="0"/>
        </w:rPr>
        <w:t>India's EV ecosystem comprises vehicle OEMs, battery manufacturers, charging/swapping network operators, software &amp; telematics providers, energy utilities, and government bodies. The infrastructure backbone is split between slow AC charging (Level 1/2), fast DC charging (Level 3), and battery swapping stations.</w:t>
      </w:r>
    </w:p>
    <w:p>
      <w:pPr>
        <w:jc w:val="both"/>
      </w:pPr>
      <w:r>
        <w:rPr>
          <w:rFonts w:ascii="Calibri" w:hAnsi="Calibri"/>
          <w:b w:val="0"/>
          <w:i w:val="0"/>
        </w:rPr>
        <w:t>As of March 2024, India has approximately 12,000 public charging stations (Bureau of Energy Efficiency, 2024), yet the Central Electricity Authority estimates a requirement of 46,000 stations by 2030 to support target EV adoption—a gap that swapping networks are positioned to partially fill.</w:t>
      </w:r>
    </w:p>
    <w:p>
      <w:pPr>
        <w:pStyle w:val="Heading2"/>
        <w:jc w:val="left"/>
      </w:pPr>
      <w:r>
        <w:t>2.2 2W/3W India Growth</w:t>
      </w:r>
    </w:p>
    <w:p>
      <w:pPr>
        <w:jc w:val="both"/>
      </w:pPr>
      <w:r>
        <w:rPr>
          <w:rFonts w:ascii="Calibri" w:hAnsi="Calibri"/>
          <w:b w:val="0"/>
          <w:i w:val="0"/>
        </w:rPr>
        <w:t>Electric two- and three-wheelers constitute the majority of India's EV registrations. In FY2023–24:</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592"/>
            <w:shd w:val="clear" w:color="auto" w:fill="002B5C"/>
            <w:vAlign w:val="center"/>
          </w:tcPr>
          <w:p>
            <w:pPr>
              <w:jc w:val="center"/>
            </w:pPr>
            <w:r>
              <w:rPr>
                <w:b/>
                <w:color w:val="FFFFFF"/>
              </w:rPr>
              <w:t>Segment</w:t>
            </w:r>
          </w:p>
        </w:tc>
        <w:tc>
          <w:tcPr>
            <w:tcW w:type="dxa" w:w="2304"/>
            <w:shd w:val="clear" w:color="auto" w:fill="002B5C"/>
            <w:vAlign w:val="center"/>
          </w:tcPr>
          <w:p>
            <w:pPr>
              <w:jc w:val="center"/>
            </w:pPr>
            <w:r>
              <w:rPr>
                <w:b/>
                <w:color w:val="FFFFFF"/>
              </w:rPr>
              <w:t>FY2022–23 Units</w:t>
            </w:r>
          </w:p>
        </w:tc>
        <w:tc>
          <w:tcPr>
            <w:tcW w:type="dxa" w:w="2304"/>
            <w:shd w:val="clear" w:color="auto" w:fill="002B5C"/>
            <w:vAlign w:val="center"/>
          </w:tcPr>
          <w:p>
            <w:pPr>
              <w:jc w:val="center"/>
            </w:pPr>
            <w:r>
              <w:rPr>
                <w:b/>
                <w:color w:val="FFFFFF"/>
              </w:rPr>
              <w:t>FY2023–24 Units</w:t>
            </w:r>
          </w:p>
        </w:tc>
        <w:tc>
          <w:tcPr>
            <w:tcW w:type="dxa" w:w="2016"/>
            <w:shd w:val="clear" w:color="auto" w:fill="002B5C"/>
            <w:vAlign w:val="center"/>
          </w:tcPr>
          <w:p>
            <w:pPr>
              <w:jc w:val="center"/>
            </w:pPr>
            <w:r>
              <w:rPr>
                <w:b/>
                <w:color w:val="FFFFFF"/>
              </w:rPr>
              <w:t>YoY Growth</w:t>
            </w:r>
          </w:p>
        </w:tc>
      </w:tr>
      <w:tr>
        <w:tc>
          <w:tcPr>
            <w:tcW w:type="dxa" w:w="2592"/>
            <w:shd w:val="clear" w:color="auto" w:fill="F2F2F2"/>
            <w:vAlign w:val="center"/>
          </w:tcPr>
          <w:p>
            <w:pPr>
              <w:jc w:val="left"/>
            </w:pPr>
            <w:r>
              <w:t>Electric 2W</w:t>
            </w:r>
          </w:p>
        </w:tc>
        <w:tc>
          <w:tcPr>
            <w:tcW w:type="dxa" w:w="2304"/>
            <w:shd w:val="clear" w:color="auto" w:fill="F2F2F2"/>
            <w:vAlign w:val="center"/>
          </w:tcPr>
          <w:p>
            <w:pPr>
              <w:jc w:val="left"/>
            </w:pPr>
            <w:r>
              <w:t>8,45,000</w:t>
            </w:r>
          </w:p>
        </w:tc>
        <w:tc>
          <w:tcPr>
            <w:tcW w:type="dxa" w:w="2304"/>
            <w:shd w:val="clear" w:color="auto" w:fill="F2F2F2"/>
            <w:vAlign w:val="center"/>
          </w:tcPr>
          <w:p>
            <w:pPr>
              <w:jc w:val="left"/>
            </w:pPr>
            <w:r>
              <w:t>9,34,000</w:t>
            </w:r>
          </w:p>
        </w:tc>
        <w:tc>
          <w:tcPr>
            <w:tcW w:type="dxa" w:w="2016"/>
            <w:shd w:val="clear" w:color="auto" w:fill="F2F2F2"/>
            <w:vAlign w:val="center"/>
          </w:tcPr>
          <w:p>
            <w:pPr>
              <w:jc w:val="left"/>
            </w:pPr>
            <w:r>
              <w:t>+10.5%</w:t>
            </w:r>
          </w:p>
        </w:tc>
      </w:tr>
      <w:tr>
        <w:tc>
          <w:tcPr>
            <w:tcW w:type="dxa" w:w="2592"/>
            <w:shd w:val="clear" w:color="auto" w:fill="FFFFFF"/>
            <w:vAlign w:val="center"/>
          </w:tcPr>
          <w:p>
            <w:pPr>
              <w:jc w:val="left"/>
            </w:pPr>
            <w:r>
              <w:t>Electric 3W</w:t>
            </w:r>
          </w:p>
        </w:tc>
        <w:tc>
          <w:tcPr>
            <w:tcW w:type="dxa" w:w="2304"/>
            <w:shd w:val="clear" w:color="auto" w:fill="FFFFFF"/>
            <w:vAlign w:val="center"/>
          </w:tcPr>
          <w:p>
            <w:pPr>
              <w:jc w:val="left"/>
            </w:pPr>
            <w:r>
              <w:t>4,88,000</w:t>
            </w:r>
          </w:p>
        </w:tc>
        <w:tc>
          <w:tcPr>
            <w:tcW w:type="dxa" w:w="2304"/>
            <w:shd w:val="clear" w:color="auto" w:fill="FFFFFF"/>
            <w:vAlign w:val="center"/>
          </w:tcPr>
          <w:p>
            <w:pPr>
              <w:jc w:val="left"/>
            </w:pPr>
            <w:r>
              <w:t>6,99,000</w:t>
            </w:r>
          </w:p>
        </w:tc>
        <w:tc>
          <w:tcPr>
            <w:tcW w:type="dxa" w:w="2016"/>
            <w:shd w:val="clear" w:color="auto" w:fill="FFFFFF"/>
            <w:vAlign w:val="center"/>
          </w:tcPr>
          <w:p>
            <w:pPr>
              <w:jc w:val="left"/>
            </w:pPr>
            <w:r>
              <w:t>+43.2%</w:t>
            </w:r>
          </w:p>
        </w:tc>
      </w:tr>
      <w:tr>
        <w:tc>
          <w:tcPr>
            <w:tcW w:type="dxa" w:w="2592"/>
            <w:shd w:val="clear" w:color="auto" w:fill="F2F2F2"/>
            <w:vAlign w:val="center"/>
          </w:tcPr>
          <w:p>
            <w:pPr>
              <w:jc w:val="left"/>
            </w:pPr>
            <w:r>
              <w:t>Electric 4W</w:t>
            </w:r>
          </w:p>
        </w:tc>
        <w:tc>
          <w:tcPr>
            <w:tcW w:type="dxa" w:w="2304"/>
            <w:shd w:val="clear" w:color="auto" w:fill="F2F2F2"/>
            <w:vAlign w:val="center"/>
          </w:tcPr>
          <w:p>
            <w:pPr>
              <w:jc w:val="left"/>
            </w:pPr>
            <w:r>
              <w:t>90,000</w:t>
            </w:r>
          </w:p>
        </w:tc>
        <w:tc>
          <w:tcPr>
            <w:tcW w:type="dxa" w:w="2304"/>
            <w:shd w:val="clear" w:color="auto" w:fill="F2F2F2"/>
            <w:vAlign w:val="center"/>
          </w:tcPr>
          <w:p>
            <w:pPr>
              <w:jc w:val="left"/>
            </w:pPr>
            <w:r>
              <w:t>1,00,000</w:t>
            </w:r>
          </w:p>
        </w:tc>
        <w:tc>
          <w:tcPr>
            <w:tcW w:type="dxa" w:w="2016"/>
            <w:shd w:val="clear" w:color="auto" w:fill="F2F2F2"/>
            <w:vAlign w:val="center"/>
          </w:tcPr>
          <w:p>
            <w:pPr>
              <w:jc w:val="left"/>
            </w:pPr>
            <w:r>
              <w:t>+11.1%</w:t>
            </w:r>
          </w:p>
        </w:tc>
      </w:tr>
      <w:tr>
        <w:tc>
          <w:tcPr>
            <w:tcW w:type="dxa" w:w="2592"/>
            <w:shd w:val="clear" w:color="auto" w:fill="FFFFFF"/>
            <w:vAlign w:val="center"/>
          </w:tcPr>
          <w:p>
            <w:pPr>
              <w:jc w:val="left"/>
            </w:pPr>
            <w:r>
              <w:t>Total EVs</w:t>
            </w:r>
          </w:p>
        </w:tc>
        <w:tc>
          <w:tcPr>
            <w:tcW w:type="dxa" w:w="2304"/>
            <w:shd w:val="clear" w:color="auto" w:fill="FFFFFF"/>
            <w:vAlign w:val="center"/>
          </w:tcPr>
          <w:p>
            <w:pPr>
              <w:jc w:val="left"/>
            </w:pPr>
            <w:r>
              <w:t>14,23,000</w:t>
            </w:r>
          </w:p>
        </w:tc>
        <w:tc>
          <w:tcPr>
            <w:tcW w:type="dxa" w:w="2304"/>
            <w:shd w:val="clear" w:color="auto" w:fill="FFFFFF"/>
            <w:vAlign w:val="center"/>
          </w:tcPr>
          <w:p>
            <w:pPr>
              <w:jc w:val="left"/>
            </w:pPr>
            <w:r>
              <w:t>17,33,000</w:t>
            </w:r>
          </w:p>
        </w:tc>
        <w:tc>
          <w:tcPr>
            <w:tcW w:type="dxa" w:w="2016"/>
            <w:shd w:val="clear" w:color="auto" w:fill="FFFFFF"/>
            <w:vAlign w:val="center"/>
          </w:tcPr>
          <w:p>
            <w:pPr>
              <w:jc w:val="left"/>
            </w:pPr>
            <w:r>
              <w:t>+21.8%</w:t>
            </w:r>
          </w:p>
        </w:tc>
      </w:tr>
    </w:tbl>
    <w:p>
      <w:pPr>
        <w:jc w:val="both"/>
      </w:pPr>
      <w:r>
        <w:rPr>
          <w:rFonts w:ascii="Calibri" w:hAnsi="Calibri"/>
          <w:b w:val="0"/>
          <w:i/>
          <w:sz w:val="18"/>
        </w:rPr>
        <w:t>Source: VAHAN Dashboard, Ministry of Road Transport &amp; Highways, 2024.</w:t>
      </w:r>
    </w:p>
    <w:p/>
    <w:p>
      <w:pPr>
        <w:jc w:val="both"/>
      </w:pPr>
      <w:r>
        <w:rPr>
          <w:rFonts w:ascii="Calibri" w:hAnsi="Calibri"/>
          <w:b w:val="0"/>
          <w:i w:val="0"/>
        </w:rPr>
        <w:t>The 3W electric segment—dominated by e-rickshaws and cargo vehicles—is the primary early adopter of swapping due to its commercial intensity and driver dependency on daily up-time.</w:t>
      </w:r>
    </w:p>
    <w:p>
      <w:pPr>
        <w:pStyle w:val="Heading2"/>
        <w:jc w:val="left"/>
      </w:pPr>
      <w:r>
        <w:t>2.3 Fleet Electrification</w:t>
      </w:r>
    </w:p>
    <w:p>
      <w:pPr>
        <w:jc w:val="both"/>
      </w:pPr>
      <w:r>
        <w:rPr>
          <w:rFonts w:ascii="Calibri" w:hAnsi="Calibri"/>
          <w:b w:val="0"/>
          <w:i w:val="0"/>
        </w:rPr>
        <w:t>Corporate and gig-economy fleet electrification is accelerating. Zomato, Swiggy, Amazon India, and Flipkart have committed to fully electric delivery fleets by 2030. As of 2024, Zomato alone operates ~60,000 delivery partners on EVs (Zomato ESG Report, 2024). Fleet operators require: 99%+ uptime, low total cost of ownership (TCO), and flexible energy access—all core BSaaS value propositions.</w:t>
      </w:r>
    </w:p>
    <w:p>
      <w:pPr>
        <w:pStyle w:val="Heading2"/>
        <w:jc w:val="left"/>
      </w:pPr>
      <w:r>
        <w:t>2.4 Government Schemes</w:t>
      </w:r>
    </w:p>
    <w:tbl>
      <w:tblPr>
        <w:tblStyle w:val="TableGrid"/>
        <w:tblW w:type="auto" w:w="0"/>
        <w:jc w:val="center"/>
        <w:tblLook w:firstColumn="1" w:firstRow="1" w:lastColumn="0" w:lastRow="0" w:noHBand="0" w:noVBand="1" w:val="04A0"/>
      </w:tblPr>
      <w:tblGrid>
        <w:gridCol w:w="2928"/>
        <w:gridCol w:w="2928"/>
        <w:gridCol w:w="2928"/>
      </w:tblGrid>
      <w:tr>
        <w:tc>
          <w:tcPr>
            <w:tcW w:type="dxa" w:w="2880"/>
            <w:shd w:val="clear" w:color="auto" w:fill="002B5C"/>
            <w:vAlign w:val="center"/>
          </w:tcPr>
          <w:p>
            <w:pPr>
              <w:jc w:val="center"/>
            </w:pPr>
            <w:r>
              <w:rPr>
                <w:b/>
                <w:color w:val="FFFFFF"/>
              </w:rPr>
              <w:t>Scheme</w:t>
            </w:r>
          </w:p>
        </w:tc>
        <w:tc>
          <w:tcPr>
            <w:tcW w:type="dxa" w:w="4032"/>
            <w:shd w:val="clear" w:color="auto" w:fill="002B5C"/>
            <w:vAlign w:val="center"/>
          </w:tcPr>
          <w:p>
            <w:pPr>
              <w:jc w:val="center"/>
            </w:pPr>
            <w:r>
              <w:rPr>
                <w:b/>
                <w:color w:val="FFFFFF"/>
              </w:rPr>
              <w:t>Details</w:t>
            </w:r>
          </w:p>
        </w:tc>
        <w:tc>
          <w:tcPr>
            <w:tcW w:type="dxa" w:w="2880"/>
            <w:shd w:val="clear" w:color="auto" w:fill="002B5C"/>
            <w:vAlign w:val="center"/>
          </w:tcPr>
          <w:p>
            <w:pPr>
              <w:jc w:val="center"/>
            </w:pPr>
            <w:r>
              <w:rPr>
                <w:b/>
                <w:color w:val="FFFFFF"/>
              </w:rPr>
              <w:t>Relevance to Swapping</w:t>
            </w:r>
          </w:p>
        </w:tc>
      </w:tr>
      <w:tr>
        <w:tc>
          <w:tcPr>
            <w:tcW w:type="dxa" w:w="2880"/>
            <w:shd w:val="clear" w:color="auto" w:fill="F2F2F2"/>
            <w:vAlign w:val="center"/>
          </w:tcPr>
          <w:p>
            <w:pPr>
              <w:jc w:val="left"/>
            </w:pPr>
            <w:r>
              <w:t>FAME II</w:t>
            </w:r>
          </w:p>
        </w:tc>
        <w:tc>
          <w:tcPr>
            <w:tcW w:type="dxa" w:w="4032"/>
            <w:shd w:val="clear" w:color="auto" w:fill="F2F2F2"/>
            <w:vAlign w:val="center"/>
          </w:tcPr>
          <w:p>
            <w:pPr>
              <w:jc w:val="left"/>
            </w:pPr>
            <w:r>
              <w:t>₹10,000 Cr outlay; subsidises 2W/3W/4W EVs</w:t>
            </w:r>
          </w:p>
        </w:tc>
        <w:tc>
          <w:tcPr>
            <w:tcW w:type="dxa" w:w="2880"/>
            <w:shd w:val="clear" w:color="auto" w:fill="F2F2F2"/>
            <w:vAlign w:val="center"/>
          </w:tcPr>
          <w:p>
            <w:pPr>
              <w:jc w:val="left"/>
            </w:pPr>
            <w:r>
              <w:t>Reduces EV hardware cost; boosts swapping demand</w:t>
            </w:r>
          </w:p>
        </w:tc>
      </w:tr>
      <w:tr>
        <w:tc>
          <w:tcPr>
            <w:tcW w:type="dxa" w:w="2880"/>
            <w:shd w:val="clear" w:color="auto" w:fill="FFFFFF"/>
            <w:vAlign w:val="center"/>
          </w:tcPr>
          <w:p>
            <w:pPr>
              <w:jc w:val="left"/>
            </w:pPr>
            <w:r>
              <w:t>PM E-DRIVE</w:t>
            </w:r>
          </w:p>
        </w:tc>
        <w:tc>
          <w:tcPr>
            <w:tcW w:type="dxa" w:w="4032"/>
            <w:shd w:val="clear" w:color="auto" w:fill="FFFFFF"/>
            <w:vAlign w:val="center"/>
          </w:tcPr>
          <w:p>
            <w:pPr>
              <w:jc w:val="left"/>
            </w:pPr>
            <w:r>
              <w:t>₹10,900 Cr (2024–26); e-bus &amp; charging infra</w:t>
            </w:r>
          </w:p>
        </w:tc>
        <w:tc>
          <w:tcPr>
            <w:tcW w:type="dxa" w:w="2880"/>
            <w:shd w:val="clear" w:color="auto" w:fill="FFFFFF"/>
            <w:vAlign w:val="center"/>
          </w:tcPr>
          <w:p>
            <w:pPr>
              <w:jc w:val="left"/>
            </w:pPr>
            <w:r>
              <w:t>Includes swapping station incentives</w:t>
            </w:r>
          </w:p>
        </w:tc>
      </w:tr>
      <w:tr>
        <w:tc>
          <w:tcPr>
            <w:tcW w:type="dxa" w:w="2880"/>
            <w:shd w:val="clear" w:color="auto" w:fill="F2F2F2"/>
            <w:vAlign w:val="center"/>
          </w:tcPr>
          <w:p>
            <w:pPr>
              <w:jc w:val="left"/>
            </w:pPr>
            <w:r>
              <w:t>BIS battery standards (IS 17893)</w:t>
            </w:r>
          </w:p>
        </w:tc>
        <w:tc>
          <w:tcPr>
            <w:tcW w:type="dxa" w:w="4032"/>
            <w:shd w:val="clear" w:color="auto" w:fill="F2F2F2"/>
            <w:vAlign w:val="center"/>
          </w:tcPr>
          <w:p>
            <w:pPr>
              <w:jc w:val="left"/>
            </w:pPr>
            <w:r>
              <w:t>Standardisation of Li-ion packs</w:t>
            </w:r>
          </w:p>
        </w:tc>
        <w:tc>
          <w:tcPr>
            <w:tcW w:type="dxa" w:w="2880"/>
            <w:shd w:val="clear" w:color="auto" w:fill="F2F2F2"/>
            <w:vAlign w:val="center"/>
          </w:tcPr>
          <w:p>
            <w:pPr>
              <w:jc w:val="left"/>
            </w:pPr>
            <w:r>
              <w:t>Enables cross-OEM battery interoperability</w:t>
            </w:r>
          </w:p>
        </w:tc>
      </w:tr>
      <w:tr>
        <w:tc>
          <w:tcPr>
            <w:tcW w:type="dxa" w:w="2880"/>
            <w:shd w:val="clear" w:color="auto" w:fill="FFFFFF"/>
            <w:vAlign w:val="center"/>
          </w:tcPr>
          <w:p>
            <w:pPr>
              <w:jc w:val="left"/>
            </w:pPr>
            <w:r>
              <w:t>PLI for ACC Batteries</w:t>
            </w:r>
          </w:p>
        </w:tc>
        <w:tc>
          <w:tcPr>
            <w:tcW w:type="dxa" w:w="4032"/>
            <w:shd w:val="clear" w:color="auto" w:fill="FFFFFF"/>
            <w:vAlign w:val="center"/>
          </w:tcPr>
          <w:p>
            <w:pPr>
              <w:jc w:val="left"/>
            </w:pPr>
            <w:r>
              <w:t>₹18,100 Cr for advanced cell manufacturing</w:t>
            </w:r>
          </w:p>
        </w:tc>
        <w:tc>
          <w:tcPr>
            <w:tcW w:type="dxa" w:w="2880"/>
            <w:shd w:val="clear" w:color="auto" w:fill="FFFFFF"/>
            <w:vAlign w:val="center"/>
          </w:tcPr>
          <w:p>
            <w:pPr>
              <w:jc w:val="left"/>
            </w:pPr>
            <w:r>
              <w:t>Reduces battery CapEx over time</w:t>
            </w:r>
          </w:p>
        </w:tc>
      </w:tr>
      <w:tr>
        <w:tc>
          <w:tcPr>
            <w:tcW w:type="dxa" w:w="2880"/>
            <w:shd w:val="clear" w:color="auto" w:fill="F2F2F2"/>
            <w:vAlign w:val="center"/>
          </w:tcPr>
          <w:p>
            <w:pPr>
              <w:jc w:val="left"/>
            </w:pPr>
            <w:r>
              <w:t>NITI Aayog Battery Swapping Policy 2022</w:t>
            </w:r>
          </w:p>
        </w:tc>
        <w:tc>
          <w:tcPr>
            <w:tcW w:type="dxa" w:w="4032"/>
            <w:shd w:val="clear" w:color="auto" w:fill="F2F2F2"/>
            <w:vAlign w:val="center"/>
          </w:tcPr>
          <w:p>
            <w:pPr>
              <w:jc w:val="left"/>
            </w:pPr>
            <w:r>
              <w:t>Draft; promotes swappable, interoperable batteries</w:t>
            </w:r>
          </w:p>
        </w:tc>
        <w:tc>
          <w:tcPr>
            <w:tcW w:type="dxa" w:w="2880"/>
            <w:shd w:val="clear" w:color="auto" w:fill="F2F2F2"/>
            <w:vAlign w:val="center"/>
          </w:tcPr>
          <w:p>
            <w:pPr>
              <w:jc w:val="left"/>
            </w:pPr>
            <w:r>
              <w:t>Direct policy tailwind</w:t>
            </w:r>
          </w:p>
        </w:tc>
      </w:tr>
    </w:tbl>
    <w:p>
      <w:pPr>
        <w:jc w:val="both"/>
      </w:pPr>
      <w:r>
        <w:rPr>
          <w:rFonts w:ascii="Calibri" w:hAnsi="Calibri"/>
          <w:b w:val="0"/>
          <w:i/>
          <w:sz w:val="18"/>
        </w:rPr>
        <w:t>Sources: MHI FAME II; NITI Aayog 2022; MoP PM E-DRIVE 2024.</w:t>
      </w:r>
    </w:p>
    <w:p>
      <w:pPr>
        <w:pStyle w:val="Heading2"/>
        <w:jc w:val="left"/>
      </w:pPr>
      <w:r>
        <w:t>2.5 Entry Barriers</w:t>
      </w:r>
    </w:p>
    <w:p>
      <w:pPr>
        <w:pStyle w:val="ListBullet"/>
        <w:ind w:left="360"/>
      </w:pPr>
      <w:r>
        <w:t>High CapEx for battery inventory and station hardware (₹15–25 Lakh per station).</w:t>
      </w:r>
    </w:p>
    <w:p>
      <w:pPr>
        <w:pStyle w:val="ListBullet"/>
        <w:ind w:left="360"/>
      </w:pPr>
      <w:r>
        <w:t>OEM fragmentation – lack of battery standard across manufacturers.</w:t>
      </w:r>
    </w:p>
    <w:p>
      <w:pPr>
        <w:pStyle w:val="ListBullet"/>
        <w:ind w:left="360"/>
      </w:pPr>
      <w:r>
        <w:t>Real-estate acquisition in dense urban areas.</w:t>
      </w:r>
    </w:p>
    <w:p>
      <w:pPr>
        <w:pStyle w:val="ListBullet"/>
        <w:ind w:left="360"/>
      </w:pPr>
      <w:r>
        <w:t>Grid connectivity and last-mile power reliability.</w:t>
      </w:r>
    </w:p>
    <w:p>
      <w:pPr>
        <w:pStyle w:val="ListBullet"/>
        <w:ind w:left="360"/>
      </w:pPr>
      <w:r>
        <w:t>Customer trust and safety perception of swapped batteries.</w:t>
      </w:r>
    </w:p>
    <w:p>
      <w:pPr>
        <w:pStyle w:val="Heading2"/>
        <w:jc w:val="left"/>
      </w:pPr>
      <w:r>
        <w:t>2.6 Value Chain</w:t>
      </w:r>
    </w:p>
    <w:p>
      <w:pPr>
        <w:jc w:val="both"/>
      </w:pPr>
      <w:r>
        <w:rPr>
          <w:rFonts w:ascii="Calibri" w:hAnsi="Calibri"/>
          <w:b w:val="0"/>
          <w:i w:val="0"/>
        </w:rPr>
        <w:t>The battery swapping value chain spans six layers:</w:t>
      </w:r>
    </w:p>
    <w:tbl>
      <w:tblPr>
        <w:tblStyle w:val="TableGrid"/>
        <w:tblW w:type="auto" w:w="0"/>
        <w:jc w:val="center"/>
        <w:tblLook w:firstColumn="1" w:firstRow="1" w:lastColumn="0" w:lastRow="0" w:noHBand="0" w:noVBand="1" w:val="04A0"/>
      </w:tblPr>
      <w:tblGrid>
        <w:gridCol w:w="4392"/>
        <w:gridCol w:w="4392"/>
      </w:tblGrid>
      <w:tr>
        <w:tc>
          <w:tcPr>
            <w:tcW w:type="dxa" w:w="3168"/>
            <w:shd w:val="clear" w:color="auto" w:fill="002B5C"/>
            <w:vAlign w:val="center"/>
          </w:tcPr>
          <w:p>
            <w:pPr>
              <w:jc w:val="center"/>
            </w:pPr>
            <w:r>
              <w:rPr>
                <w:b/>
                <w:color w:val="FFFFFF"/>
              </w:rPr>
              <w:t>Layer</w:t>
            </w:r>
          </w:p>
        </w:tc>
        <w:tc>
          <w:tcPr>
            <w:tcW w:type="dxa" w:w="6624"/>
            <w:shd w:val="clear" w:color="auto" w:fill="002B5C"/>
            <w:vAlign w:val="center"/>
          </w:tcPr>
          <w:p>
            <w:pPr>
              <w:jc w:val="center"/>
            </w:pPr>
            <w:r>
              <w:rPr>
                <w:b/>
                <w:color w:val="FFFFFF"/>
              </w:rPr>
              <w:t>Key Players / Activities</w:t>
            </w:r>
          </w:p>
        </w:tc>
      </w:tr>
      <w:tr>
        <w:tc>
          <w:tcPr>
            <w:tcW w:type="dxa" w:w="3168"/>
            <w:shd w:val="clear" w:color="auto" w:fill="F2F2F2"/>
            <w:vAlign w:val="center"/>
          </w:tcPr>
          <w:p>
            <w:pPr>
              <w:jc w:val="left"/>
            </w:pPr>
            <w:r>
              <w:t>1. Cell Manufacturing</w:t>
            </w:r>
          </w:p>
        </w:tc>
        <w:tc>
          <w:tcPr>
            <w:tcW w:type="dxa" w:w="6624"/>
            <w:shd w:val="clear" w:color="auto" w:fill="F2F2F2"/>
            <w:vAlign w:val="center"/>
          </w:tcPr>
          <w:p>
            <w:pPr>
              <w:jc w:val="left"/>
            </w:pPr>
            <w:r>
              <w:t>CATL, BYD, Amara Raja, Exide (India)</w:t>
            </w:r>
          </w:p>
        </w:tc>
      </w:tr>
      <w:tr>
        <w:tc>
          <w:tcPr>
            <w:tcW w:type="dxa" w:w="3168"/>
            <w:shd w:val="clear" w:color="auto" w:fill="FFFFFF"/>
            <w:vAlign w:val="center"/>
          </w:tcPr>
          <w:p>
            <w:pPr>
              <w:jc w:val="left"/>
            </w:pPr>
            <w:r>
              <w:t>2. Pack Assembly &amp; BMS</w:t>
            </w:r>
          </w:p>
        </w:tc>
        <w:tc>
          <w:tcPr>
            <w:tcW w:type="dxa" w:w="6624"/>
            <w:shd w:val="clear" w:color="auto" w:fill="FFFFFF"/>
            <w:vAlign w:val="center"/>
          </w:tcPr>
          <w:p>
            <w:pPr>
              <w:jc w:val="left"/>
            </w:pPr>
            <w:r>
              <w:t>OEMs, specialised pack assemblers</w:t>
            </w:r>
          </w:p>
        </w:tc>
      </w:tr>
      <w:tr>
        <w:tc>
          <w:tcPr>
            <w:tcW w:type="dxa" w:w="3168"/>
            <w:shd w:val="clear" w:color="auto" w:fill="F2F2F2"/>
            <w:vAlign w:val="center"/>
          </w:tcPr>
          <w:p>
            <w:pPr>
              <w:jc w:val="left"/>
            </w:pPr>
            <w:r>
              <w:t>3. Station Hardware OEM</w:t>
            </w:r>
          </w:p>
        </w:tc>
        <w:tc>
          <w:tcPr>
            <w:tcW w:type="dxa" w:w="6624"/>
            <w:shd w:val="clear" w:color="auto" w:fill="F2F2F2"/>
            <w:vAlign w:val="center"/>
          </w:tcPr>
          <w:p>
            <w:pPr>
              <w:jc w:val="left"/>
            </w:pPr>
            <w:r>
              <w:t>Sun Mobility, Gogoro, Voltup</w:t>
            </w:r>
          </w:p>
        </w:tc>
      </w:tr>
      <w:tr>
        <w:tc>
          <w:tcPr>
            <w:tcW w:type="dxa" w:w="3168"/>
            <w:shd w:val="clear" w:color="auto" w:fill="FFFFFF"/>
            <w:vAlign w:val="center"/>
          </w:tcPr>
          <w:p>
            <w:pPr>
              <w:jc w:val="left"/>
            </w:pPr>
            <w:r>
              <w:t>4. Network Operator (BSaaS)</w:t>
            </w:r>
          </w:p>
        </w:tc>
        <w:tc>
          <w:tcPr>
            <w:tcW w:type="dxa" w:w="6624"/>
            <w:shd w:val="clear" w:color="auto" w:fill="FFFFFF"/>
            <w:vAlign w:val="center"/>
          </w:tcPr>
          <w:p>
            <w:pPr>
              <w:jc w:val="left"/>
            </w:pPr>
            <w:r>
              <w:t>Battery Smart, Sun Mobility, Bounce Infinity</w:t>
            </w:r>
          </w:p>
        </w:tc>
      </w:tr>
      <w:tr>
        <w:tc>
          <w:tcPr>
            <w:tcW w:type="dxa" w:w="3168"/>
            <w:shd w:val="clear" w:color="auto" w:fill="F2F2F2"/>
            <w:vAlign w:val="center"/>
          </w:tcPr>
          <w:p>
            <w:pPr>
              <w:jc w:val="left"/>
            </w:pPr>
            <w:r>
              <w:t>5. Software &amp; Data Platform</w:t>
            </w:r>
          </w:p>
        </w:tc>
        <w:tc>
          <w:tcPr>
            <w:tcW w:type="dxa" w:w="6624"/>
            <w:shd w:val="clear" w:color="auto" w:fill="F2F2F2"/>
            <w:vAlign w:val="center"/>
          </w:tcPr>
          <w:p>
            <w:pPr>
              <w:jc w:val="left"/>
            </w:pPr>
            <w:r>
              <w:t>IoT firmware, cloud, analytics (proprietary or SaaS)</w:t>
            </w:r>
          </w:p>
        </w:tc>
      </w:tr>
      <w:tr>
        <w:tc>
          <w:tcPr>
            <w:tcW w:type="dxa" w:w="3168"/>
            <w:shd w:val="clear" w:color="auto" w:fill="FFFFFF"/>
            <w:vAlign w:val="center"/>
          </w:tcPr>
          <w:p>
            <w:pPr>
              <w:jc w:val="left"/>
            </w:pPr>
            <w:r>
              <w:t>6. End User / Fleet Operator</w:t>
            </w:r>
          </w:p>
        </w:tc>
        <w:tc>
          <w:tcPr>
            <w:tcW w:type="dxa" w:w="6624"/>
            <w:shd w:val="clear" w:color="auto" w:fill="FFFFFF"/>
            <w:vAlign w:val="center"/>
          </w:tcPr>
          <w:p>
            <w:pPr>
              <w:jc w:val="left"/>
            </w:pPr>
            <w:r>
              <w:t>E-rickshaw owners, delivery fleets, ride-hailing</w:t>
            </w:r>
          </w:p>
        </w:tc>
      </w:tr>
    </w:tbl>
    <w:p>
      <w:r>
        <w:br w:type="page"/>
      </w:r>
    </w:p>
    <w:p>
      <w:pPr>
        <w:pStyle w:val="Heading1"/>
        <w:jc w:val="left"/>
      </w:pPr>
      <w:r>
        <w:t>3. Problem Statement</w:t>
      </w:r>
    </w:p>
    <w:p>
      <w:pPr>
        <w:jc w:val="both"/>
      </w:pPr>
      <w:r>
        <w:rPr>
          <w:rFonts w:ascii="Calibri" w:hAnsi="Calibri"/>
          <w:b w:val="0"/>
          <w:i w:val="0"/>
        </w:rPr>
        <w:t>Despite strong EV growth, four systemic barriers impede mass adoption, particularly for commercial and fleet operators:</w:t>
      </w:r>
    </w:p>
    <w:p>
      <w:pPr>
        <w:pStyle w:val="Heading2"/>
        <w:jc w:val="left"/>
      </w:pPr>
      <w:r>
        <w:t>3.1 Charging Bottlenecks</w:t>
      </w:r>
    </w:p>
    <w:p>
      <w:pPr>
        <w:jc w:val="both"/>
      </w:pPr>
      <w:r>
        <w:rPr>
          <w:rFonts w:ascii="Calibri" w:hAnsi="Calibri"/>
          <w:b w:val="0"/>
          <w:i w:val="0"/>
        </w:rPr>
        <w:t>A standard Level 2 home charger requires 5–8 hours for a full charge, while DC fast chargers (50 kW) provide 80% charge in ~60 minutes but cost ₹50–80 Lakh to install. India's public charging network density of 1 station per 135 km² (BEE, 2024) is grossly inadequate. Driver idle time during charging directly translates to lost income for gig workers.</w:t>
      </w:r>
    </w:p>
    <w:p>
      <w:pPr>
        <w:pStyle w:val="Heading2"/>
        <w:jc w:val="left"/>
      </w:pPr>
      <w:r>
        <w:t>3.2 Battery Costs</w:t>
      </w:r>
    </w:p>
    <w:p>
      <w:pPr>
        <w:jc w:val="both"/>
      </w:pPr>
      <w:r>
        <w:rPr>
          <w:rFonts w:ascii="Calibri" w:hAnsi="Calibri"/>
          <w:b w:val="0"/>
          <w:i w:val="0"/>
        </w:rPr>
        <w:t>Battery packs account for 35–45% of EV total cost (BNEF, 2023). The average 2W Li-ion pack costs ₹25,000–₹40,000, and a 3W pack costs ₹60,000–₹1,20,000. This raises the vehicle sticker price beyond the affordability of individual buyers in price-sensitive segments. Battery degradation over 2–3 years compounds the economic risk.</w:t>
      </w:r>
    </w:p>
    <w:p>
      <w:pPr>
        <w:pStyle w:val="Heading2"/>
        <w:jc w:val="left"/>
      </w:pPr>
      <w:r>
        <w:t>3.3 Range Anxiety</w:t>
      </w:r>
    </w:p>
    <w:p>
      <w:pPr>
        <w:jc w:val="both"/>
      </w:pPr>
      <w:r>
        <w:rPr>
          <w:rFonts w:ascii="Calibri" w:hAnsi="Calibri"/>
          <w:b w:val="0"/>
          <w:i w:val="0"/>
        </w:rPr>
        <w:t>Entry-level electric 2Ws offer 60–100 km real-world range, while commercial e-autos cover 80–120 km per charge. Delivery riders averaging 150–200 km/day face mid-shift charging breaks, reducing productivity by 15–25% (CEEW, 2023).</w:t>
      </w:r>
    </w:p>
    <w:p>
      <w:pPr>
        <w:pStyle w:val="Heading2"/>
        <w:jc w:val="left"/>
      </w:pPr>
      <w:r>
        <w:t>3.4 Grid Impact</w:t>
      </w:r>
    </w:p>
    <w:p>
      <w:pPr>
        <w:jc w:val="both"/>
      </w:pPr>
      <w:r>
        <w:rPr>
          <w:rFonts w:ascii="Calibri" w:hAnsi="Calibri"/>
          <w:b w:val="0"/>
          <w:i w:val="0"/>
        </w:rPr>
        <w:t>Simultaneous charging of large EV fleets introduces significant grid load variability. The National Load Despatch Centre projects that unmanaged EV charging could increase peak grid demand by 6–8 GW by 2030 (CEA, 2023). Battery swapping stations can function as distributed energy resources (DERs), charging batteries during off-peak hours (typically 11 PM–5 AM at ~₹3.5–5/kWh) and reducing daytime grid stress.</w:t>
      </w:r>
    </w:p>
    <w:p>
      <w:r>
        <w:br w:type="page"/>
      </w:r>
    </w:p>
    <w:p>
      <w:pPr>
        <w:pStyle w:val="Heading1"/>
        <w:jc w:val="left"/>
      </w:pPr>
      <w:r>
        <w:t>4. Technical Architecture</w:t>
      </w:r>
    </w:p>
    <w:p>
      <w:pPr>
        <w:jc w:val="both"/>
      </w:pPr>
      <w:r>
        <w:rPr>
          <w:rFonts w:ascii="Calibri" w:hAnsi="Calibri"/>
          <w:b w:val="0"/>
          <w:i w:val="0"/>
        </w:rPr>
        <w:t>A BSaaS station integrates hardware, software, and connectivity layers into a cohesive ecosystem. The architecture is designed for modularity, remote management, and real-time data intelligence.</w:t>
      </w:r>
    </w:p>
    <w:p>
      <w:pPr>
        <w:pStyle w:val="Heading2"/>
        <w:jc w:val="left"/>
      </w:pPr>
      <w:r>
        <w:t>4.1 Swappable Battery Pack</w:t>
      </w:r>
    </w:p>
    <w:p>
      <w:pPr>
        <w:pStyle w:val="ListBullet"/>
        <w:ind w:left="360"/>
      </w:pPr>
      <w:r>
        <w:t>Standardised lithium iron phosphate (LFP) or NMC chemistry packs (1.5–3 kWh for 2W; 5–8 kWh for 3W).</w:t>
      </w:r>
    </w:p>
    <w:p>
      <w:pPr>
        <w:pStyle w:val="ListBullet"/>
        <w:ind w:left="360"/>
      </w:pPr>
      <w:r>
        <w:t>IP67-rated weatherproof casing; tamper-evident sealing.</w:t>
      </w:r>
    </w:p>
    <w:p>
      <w:pPr>
        <w:pStyle w:val="ListBullet"/>
        <w:ind w:left="360"/>
      </w:pPr>
      <w:r>
        <w:t>Standardised connector (aligned with NITI Aayog IS 17893 draft).</w:t>
      </w:r>
    </w:p>
    <w:p>
      <w:pPr>
        <w:pStyle w:val="ListBullet"/>
        <w:ind w:left="360"/>
      </w:pPr>
      <w:r>
        <w:t>Cell balancing at pack level; thermal management via PCM or liquid cooling.</w:t>
      </w:r>
    </w:p>
    <w:p>
      <w:pPr>
        <w:pStyle w:val="ListBullet"/>
        <w:ind w:left="360"/>
      </w:pPr>
      <w:r>
        <w:t>Expected cycle life: 1,500–2,000 full charge-discharge cycles (≈3–4 years in commercial use).</w:t>
      </w:r>
    </w:p>
    <w:p>
      <w:pPr>
        <w:pStyle w:val="Heading2"/>
        <w:jc w:val="left"/>
      </w:pPr>
      <w:r>
        <w:t>4.2 Battery Management System (BMS)</w:t>
      </w:r>
    </w:p>
    <w:p>
      <w:pPr>
        <w:pStyle w:val="ListBullet"/>
        <w:ind w:left="360"/>
      </w:pPr>
      <w:r>
        <w:t>Real-time monitoring of State of Charge (SoC), State of Health (SoH), temperature, and current.</w:t>
      </w:r>
    </w:p>
    <w:p>
      <w:pPr>
        <w:pStyle w:val="ListBullet"/>
        <w:ind w:left="360"/>
      </w:pPr>
      <w:r>
        <w:t>Cell-level fault detection and early warning (over-voltage, under-voltage, over-temperature).</w:t>
      </w:r>
    </w:p>
    <w:p>
      <w:pPr>
        <w:pStyle w:val="ListBullet"/>
        <w:ind w:left="360"/>
      </w:pPr>
      <w:r>
        <w:t>Communication via CAN bus or BLE to station controller.</w:t>
      </w:r>
    </w:p>
    <w:p>
      <w:pPr>
        <w:pStyle w:val="ListBullet"/>
        <w:ind w:left="360"/>
      </w:pPr>
      <w:r>
        <w:t>Remote firmware updates over-the-air (OTA).</w:t>
      </w:r>
    </w:p>
    <w:p>
      <w:pPr>
        <w:pStyle w:val="Heading2"/>
        <w:jc w:val="left"/>
      </w:pPr>
      <w:r>
        <w:t>4.3 Station Hardware</w:t>
      </w:r>
    </w:p>
    <w:p>
      <w:pPr>
        <w:pStyle w:val="ListBullet"/>
        <w:ind w:left="360"/>
      </w:pPr>
      <w:r>
        <w:t>Modular cabinet design: each cabinet holds 6–12 battery slots.</w:t>
      </w:r>
    </w:p>
    <w:p>
      <w:pPr>
        <w:pStyle w:val="ListBullet"/>
        <w:ind w:left="360"/>
      </w:pPr>
      <w:r>
        <w:t>Individual slot smart charger: CC/CV charging (0.5C–1C rate); auto-detects pack chemistry.</w:t>
      </w:r>
    </w:p>
    <w:p>
      <w:pPr>
        <w:pStyle w:val="ListBullet"/>
        <w:ind w:left="360"/>
      </w:pPr>
      <w:r>
        <w:t>Biometric/RFID/QR-code-based rider authentication at kiosk.</w:t>
      </w:r>
    </w:p>
    <w:p>
      <w:pPr>
        <w:pStyle w:val="ListBullet"/>
        <w:ind w:left="360"/>
      </w:pPr>
      <w:r>
        <w:t>Industrial PLC or embedded controller managing all slots.</w:t>
      </w:r>
    </w:p>
    <w:p>
      <w:pPr>
        <w:pStyle w:val="ListBullet"/>
        <w:ind w:left="360"/>
      </w:pPr>
      <w:r>
        <w:t>UPS buffer to handle momentary grid interruptions.</w:t>
      </w:r>
    </w:p>
    <w:p>
      <w:pPr>
        <w:pStyle w:val="ListBullet"/>
        <w:ind w:left="360"/>
      </w:pPr>
      <w:r>
        <w:t>Optional solar panel integration (1–3 kWp) with MPPT charge controller.</w:t>
      </w:r>
    </w:p>
    <w:p>
      <w:pPr>
        <w:pStyle w:val="Heading2"/>
        <w:jc w:val="left"/>
      </w:pPr>
      <w:r>
        <w:t>4.4 IoT &amp; Connectivity</w:t>
      </w:r>
    </w:p>
    <w:p>
      <w:pPr>
        <w:pStyle w:val="ListBullet"/>
        <w:ind w:left="360"/>
      </w:pPr>
      <w:r>
        <w:t>Each station transmits telemetry via 4G/5G LTE or Wi-Fi to cloud.</w:t>
      </w:r>
    </w:p>
    <w:p>
      <w:pPr>
        <w:pStyle w:val="ListBullet"/>
        <w:ind w:left="360"/>
      </w:pPr>
      <w:r>
        <w:t>Data points: per-slot SoC, ambient temperature, swap event logs, power consumption.</w:t>
      </w:r>
    </w:p>
    <w:p>
      <w:pPr>
        <w:pStyle w:val="ListBullet"/>
        <w:ind w:left="360"/>
      </w:pPr>
      <w:r>
        <w:t>Edge computing at station for latency-sensitive decisions (e.g., slot assignment).</w:t>
      </w:r>
    </w:p>
    <w:p>
      <w:pPr>
        <w:pStyle w:val="ListBullet"/>
        <w:ind w:left="360"/>
      </w:pPr>
      <w:r>
        <w:t>MQTT or AMQP protocol for lightweight telemetry streaming.</w:t>
      </w:r>
    </w:p>
    <w:p>
      <w:pPr>
        <w:pStyle w:val="Heading2"/>
        <w:jc w:val="left"/>
      </w:pPr>
      <w:r>
        <w:t>4.5 Cloud Backend &amp; Data Analytics</w:t>
      </w:r>
    </w:p>
    <w:p>
      <w:pPr>
        <w:pStyle w:val="ListBullet"/>
        <w:ind w:left="360"/>
      </w:pPr>
      <w:r>
        <w:t>Centralised station management dashboard: live status, alerts, utilisation heat maps.</w:t>
      </w:r>
    </w:p>
    <w:p>
      <w:pPr>
        <w:pStyle w:val="ListBullet"/>
        <w:ind w:left="360"/>
      </w:pPr>
      <w:r>
        <w:t>Rider mobile app / fleet portal: locate nearest station, check battery availability, payment, history.</w:t>
      </w:r>
    </w:p>
    <w:p>
      <w:pPr>
        <w:pStyle w:val="ListBullet"/>
        <w:ind w:left="360"/>
      </w:pPr>
      <w:r>
        <w:t>Predictive battery health scoring using machine learning (SoH degradation curves).</w:t>
      </w:r>
    </w:p>
    <w:p>
      <w:pPr>
        <w:pStyle w:val="ListBullet"/>
        <w:ind w:left="360"/>
      </w:pPr>
      <w:r>
        <w:t>Dynamic route-based swap demand forecasting to pre-position charged batteries.</w:t>
      </w:r>
    </w:p>
    <w:p>
      <w:pPr>
        <w:pStyle w:val="ListBullet"/>
        <w:ind w:left="360"/>
      </w:pPr>
      <w:r>
        <w:t>Fleet analytics: per-rider energy consumption, cost vs. benchmark, efficiency scores.</w:t>
      </w:r>
    </w:p>
    <w:p>
      <w:pPr>
        <w:pStyle w:val="Heading2"/>
        <w:jc w:val="left"/>
      </w:pPr>
      <w:r>
        <w:t>4.6 System Flow Diagram</w:t>
      </w:r>
    </w:p>
    <w:p>
      <w:pPr>
        <w:jc w:val="center"/>
      </w:pPr>
      <w:r>
        <w:rPr>
          <w:b/>
          <w:i/>
          <w:color w:val="888888"/>
          <w:sz w:val="22"/>
        </w:rPr>
        <w:t>[ FIGURE 1: System Architecture Flow Diagram – Rider → Station → BMS → IoT → Cloud → Analytics ]</w:t>
      </w:r>
    </w:p>
    <w:p>
      <w:pPr>
        <w:jc w:val="both"/>
      </w:pPr>
      <w:r>
        <w:rPr>
          <w:rFonts w:ascii="Calibri" w:hAnsi="Calibri"/>
          <w:b w:val="0"/>
          <w:i/>
        </w:rPr>
        <w:t>Figure 1 illustrates the end-to-end flow: (1) Rider arrives and authenticates via app/RFID; (2) Station controller identifies charged slot; (3) Rider swaps battery (&lt;90 seconds); (4) Depleted pack charge cycle begins with smart load management; (5) Swap event logged to cloud; (6) Invoice generated; (7) Analytics engine updates rider profile and station demand forecast.</w:t>
      </w:r>
    </w:p>
    <w:p>
      <w:r>
        <w:br w:type="page"/>
      </w:r>
    </w:p>
    <w:p>
      <w:pPr>
        <w:pStyle w:val="Heading1"/>
        <w:jc w:val="left"/>
      </w:pPr>
      <w:r>
        <w:t>5. Competitor Analysis</w:t>
      </w:r>
    </w:p>
    <w:p>
      <w:pPr>
        <w:jc w:val="both"/>
      </w:pPr>
      <w:r>
        <w:rPr>
          <w:rFonts w:ascii="Calibri" w:hAnsi="Calibri"/>
          <w:b w:val="0"/>
          <w:i w:val="0"/>
        </w:rPr>
        <w:t>Three key players define the global and Indian BSaaS landscape:</w:t>
      </w:r>
    </w:p>
    <w:p>
      <w:pPr>
        <w:pStyle w:val="Heading2"/>
        <w:jc w:val="left"/>
      </w:pPr>
      <w:r>
        <w:t>5.1 Gogoro (Taiwan / Global)</w:t>
      </w:r>
    </w:p>
    <w:p>
      <w:pPr>
        <w:jc w:val="both"/>
      </w:pPr>
      <w:r>
        <w:rPr>
          <w:rFonts w:ascii="Calibri" w:hAnsi="Calibri"/>
          <w:b w:val="0"/>
          <w:i w:val="0"/>
        </w:rPr>
        <w:t>Founded in 2011, Gogoro operates the world's largest battery swapping network with 2,500+ GoStations in Taiwan serving over 500,000 subscribers (Gogoro, 2024). Revenue in FY2023 was USD 365 million. Business model: subscription-based (rider pays monthly; battery included in price). Strengths: proprietary closed ecosystem with seamless UX, scale advantage, OEM partnerships. Weaknesses: closed standard limits interoperability; high hardware margin dependency; India entry slowed due to localisation cost. Now partnered with Hero MotoCorp in India via Vida brand.</w:t>
      </w:r>
    </w:p>
    <w:p>
      <w:pPr>
        <w:pStyle w:val="Heading2"/>
        <w:jc w:val="left"/>
      </w:pPr>
      <w:r>
        <w:t>5.2 Battery Smart (India)</w:t>
      </w:r>
    </w:p>
    <w:p>
      <w:pPr>
        <w:jc w:val="both"/>
      </w:pPr>
      <w:r>
        <w:rPr>
          <w:rFonts w:ascii="Calibri" w:hAnsi="Calibri"/>
          <w:b w:val="0"/>
          <w:i w:val="0"/>
        </w:rPr>
        <w:t>Founded in 2020, Battery Smart is India's largest swapping network for electric 3Ws and 2Ws with 1,500+ stations across Delhi-NCR, UP, Rajasthan, and 50+ cities (Battery Smart, 2024). Raised USD 65 million in Series B (2023). Revenue model: per-swap pricing + fleet subscriptions. Strengths: first-mover in India; deep 3W/e-rickshaw penetration; strong investor backing. Weaknesses: 3W-centric (limited 2W+ portfolio); customer acquisition cost high in non-metro; battery standardisation gap across OEM partners.</w:t>
      </w:r>
    </w:p>
    <w:p>
      <w:pPr>
        <w:pStyle w:val="Heading2"/>
        <w:jc w:val="left"/>
      </w:pPr>
      <w:r>
        <w:t>5.3 Sun Mobility (India)</w:t>
      </w:r>
    </w:p>
    <w:p>
      <w:pPr>
        <w:jc w:val="both"/>
      </w:pPr>
      <w:r>
        <w:rPr>
          <w:rFonts w:ascii="Calibri" w:hAnsi="Calibri"/>
          <w:b w:val="0"/>
          <w:i w:val="0"/>
        </w:rPr>
        <w:t>Sun Mobility (founded 2017, a Maini Group &amp; SUN Group JV) focuses on the Smart Energy infrastructure platform for 2Ws, 3Ws, and mini-trucks. Deployed 500+ Quick Interchange Stations across multiple states. B2B revenue model: energy-as-a-service for fleet operators. Strengths: government partnerships (BSNL, DMRC), open battery ecosystem approach, energy storage play using station as grid buffer. Weaknesses: slower station rollout vs. Battery Smart; limited B2C retail app penetration; premium pricing.</w:t>
      </w:r>
    </w:p>
    <w:p>
      <w:pPr>
        <w:pStyle w:val="Heading2"/>
        <w:jc w:val="left"/>
      </w:pPr>
      <w:r>
        <w:t>5.4 Competitor Comparison Table</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2160"/>
            <w:shd w:val="clear" w:color="auto" w:fill="002B5C"/>
            <w:vAlign w:val="center"/>
          </w:tcPr>
          <w:p>
            <w:pPr>
              <w:jc w:val="center"/>
            </w:pPr>
            <w:r>
              <w:rPr>
                <w:b/>
                <w:color w:val="FFFFFF"/>
              </w:rPr>
              <w:t>Parameter</w:t>
            </w:r>
          </w:p>
        </w:tc>
        <w:tc>
          <w:tcPr>
            <w:tcW w:type="dxa" w:w="1872"/>
            <w:shd w:val="clear" w:color="auto" w:fill="002B5C"/>
            <w:vAlign w:val="center"/>
          </w:tcPr>
          <w:p>
            <w:pPr>
              <w:jc w:val="center"/>
            </w:pPr>
            <w:r>
              <w:rPr>
                <w:b/>
                <w:color w:val="FFFFFF"/>
              </w:rPr>
              <w:t>Gogoro</w:t>
            </w:r>
          </w:p>
        </w:tc>
        <w:tc>
          <w:tcPr>
            <w:tcW w:type="dxa" w:w="1872"/>
            <w:shd w:val="clear" w:color="auto" w:fill="002B5C"/>
            <w:vAlign w:val="center"/>
          </w:tcPr>
          <w:p>
            <w:pPr>
              <w:jc w:val="center"/>
            </w:pPr>
            <w:r>
              <w:rPr>
                <w:b/>
                <w:color w:val="FFFFFF"/>
              </w:rPr>
              <w:t>Battery Smart</w:t>
            </w:r>
          </w:p>
        </w:tc>
        <w:tc>
          <w:tcPr>
            <w:tcW w:type="dxa" w:w="1872"/>
            <w:shd w:val="clear" w:color="auto" w:fill="002B5C"/>
            <w:vAlign w:val="center"/>
          </w:tcPr>
          <w:p>
            <w:pPr>
              <w:jc w:val="center"/>
            </w:pPr>
            <w:r>
              <w:rPr>
                <w:b/>
                <w:color w:val="FFFFFF"/>
              </w:rPr>
              <w:t>Sun Mobility</w:t>
            </w:r>
          </w:p>
        </w:tc>
        <w:tc>
          <w:tcPr>
            <w:tcW w:type="dxa" w:w="2016"/>
            <w:shd w:val="clear" w:color="auto" w:fill="002B5C"/>
            <w:vAlign w:val="center"/>
          </w:tcPr>
          <w:p>
            <w:pPr>
              <w:jc w:val="center"/>
            </w:pPr>
            <w:r>
              <w:rPr>
                <w:b/>
                <w:color w:val="FFFFFF"/>
              </w:rPr>
              <w:t>Your Venture (Proposed)</w:t>
            </w:r>
          </w:p>
        </w:tc>
      </w:tr>
      <w:tr>
        <w:tc>
          <w:tcPr>
            <w:tcW w:type="dxa" w:w="2160"/>
            <w:shd w:val="clear" w:color="auto" w:fill="F2F2F2"/>
            <w:vAlign w:val="center"/>
          </w:tcPr>
          <w:p>
            <w:pPr>
              <w:jc w:val="left"/>
            </w:pPr>
            <w:r>
              <w:t>Founded</w:t>
            </w:r>
          </w:p>
        </w:tc>
        <w:tc>
          <w:tcPr>
            <w:tcW w:type="dxa" w:w="1872"/>
            <w:shd w:val="clear" w:color="auto" w:fill="F2F2F2"/>
            <w:vAlign w:val="center"/>
          </w:tcPr>
          <w:p>
            <w:pPr>
              <w:jc w:val="left"/>
            </w:pPr>
            <w:r>
              <w:t>2011 (Taiwan)</w:t>
            </w:r>
          </w:p>
        </w:tc>
        <w:tc>
          <w:tcPr>
            <w:tcW w:type="dxa" w:w="1872"/>
            <w:shd w:val="clear" w:color="auto" w:fill="F2F2F2"/>
            <w:vAlign w:val="center"/>
          </w:tcPr>
          <w:p>
            <w:pPr>
              <w:jc w:val="left"/>
            </w:pPr>
            <w:r>
              <w:t>2020 (India)</w:t>
            </w:r>
          </w:p>
        </w:tc>
        <w:tc>
          <w:tcPr>
            <w:tcW w:type="dxa" w:w="1872"/>
            <w:shd w:val="clear" w:color="auto" w:fill="F2F2F2"/>
            <w:vAlign w:val="center"/>
          </w:tcPr>
          <w:p>
            <w:pPr>
              <w:jc w:val="left"/>
            </w:pPr>
            <w:r>
              <w:t>2017 (India)</w:t>
            </w:r>
          </w:p>
        </w:tc>
        <w:tc>
          <w:tcPr>
            <w:tcW w:type="dxa" w:w="2016"/>
            <w:shd w:val="clear" w:color="auto" w:fill="F2F2F2"/>
            <w:vAlign w:val="center"/>
          </w:tcPr>
          <w:p>
            <w:pPr>
              <w:jc w:val="left"/>
            </w:pPr>
            <w:r>
              <w:t>2025 (India)</w:t>
            </w:r>
          </w:p>
        </w:tc>
      </w:tr>
      <w:tr>
        <w:tc>
          <w:tcPr>
            <w:tcW w:type="dxa" w:w="2160"/>
            <w:shd w:val="clear" w:color="auto" w:fill="FFFFFF"/>
            <w:vAlign w:val="center"/>
          </w:tcPr>
          <w:p>
            <w:pPr>
              <w:jc w:val="left"/>
            </w:pPr>
            <w:r>
              <w:t>Primary Segment</w:t>
            </w:r>
          </w:p>
        </w:tc>
        <w:tc>
          <w:tcPr>
            <w:tcW w:type="dxa" w:w="1872"/>
            <w:shd w:val="clear" w:color="auto" w:fill="FFFFFF"/>
            <w:vAlign w:val="center"/>
          </w:tcPr>
          <w:p>
            <w:pPr>
              <w:jc w:val="left"/>
            </w:pPr>
            <w:r>
              <w:t>2W subscription</w:t>
            </w:r>
          </w:p>
        </w:tc>
        <w:tc>
          <w:tcPr>
            <w:tcW w:type="dxa" w:w="1872"/>
            <w:shd w:val="clear" w:color="auto" w:fill="FFFFFF"/>
            <w:vAlign w:val="center"/>
          </w:tcPr>
          <w:p>
            <w:pPr>
              <w:jc w:val="left"/>
            </w:pPr>
            <w:r>
              <w:t>3W/e-rickshaw</w:t>
            </w:r>
          </w:p>
        </w:tc>
        <w:tc>
          <w:tcPr>
            <w:tcW w:type="dxa" w:w="1872"/>
            <w:shd w:val="clear" w:color="auto" w:fill="FFFFFF"/>
            <w:vAlign w:val="center"/>
          </w:tcPr>
          <w:p>
            <w:pPr>
              <w:jc w:val="left"/>
            </w:pPr>
            <w:r>
              <w:t>2W/3W/mini-truck</w:t>
            </w:r>
          </w:p>
        </w:tc>
        <w:tc>
          <w:tcPr>
            <w:tcW w:type="dxa" w:w="2016"/>
            <w:shd w:val="clear" w:color="auto" w:fill="FFFFFF"/>
            <w:vAlign w:val="center"/>
          </w:tcPr>
          <w:p>
            <w:pPr>
              <w:jc w:val="left"/>
            </w:pPr>
            <w:r>
              <w:t>2W/3W fleet</w:t>
            </w:r>
          </w:p>
        </w:tc>
      </w:tr>
      <w:tr>
        <w:tc>
          <w:tcPr>
            <w:tcW w:type="dxa" w:w="2160"/>
            <w:shd w:val="clear" w:color="auto" w:fill="F2F2F2"/>
            <w:vAlign w:val="center"/>
          </w:tcPr>
          <w:p>
            <w:pPr>
              <w:jc w:val="left"/>
            </w:pPr>
            <w:r>
              <w:t>Revenue Model</w:t>
            </w:r>
          </w:p>
        </w:tc>
        <w:tc>
          <w:tcPr>
            <w:tcW w:type="dxa" w:w="1872"/>
            <w:shd w:val="clear" w:color="auto" w:fill="F2F2F2"/>
            <w:vAlign w:val="center"/>
          </w:tcPr>
          <w:p>
            <w:pPr>
              <w:jc w:val="left"/>
            </w:pPr>
            <w:r>
              <w:t>Subscription</w:t>
            </w:r>
          </w:p>
        </w:tc>
        <w:tc>
          <w:tcPr>
            <w:tcW w:type="dxa" w:w="1872"/>
            <w:shd w:val="clear" w:color="auto" w:fill="F2F2F2"/>
            <w:vAlign w:val="center"/>
          </w:tcPr>
          <w:p>
            <w:pPr>
              <w:jc w:val="left"/>
            </w:pPr>
            <w:r>
              <w:t>Per-swap + fleet</w:t>
            </w:r>
          </w:p>
        </w:tc>
        <w:tc>
          <w:tcPr>
            <w:tcW w:type="dxa" w:w="1872"/>
            <w:shd w:val="clear" w:color="auto" w:fill="F2F2F2"/>
            <w:vAlign w:val="center"/>
          </w:tcPr>
          <w:p>
            <w:pPr>
              <w:jc w:val="left"/>
            </w:pPr>
            <w:r>
              <w:t>B2B SaaS energy</w:t>
            </w:r>
          </w:p>
        </w:tc>
        <w:tc>
          <w:tcPr>
            <w:tcW w:type="dxa" w:w="2016"/>
            <w:shd w:val="clear" w:color="auto" w:fill="F2F2F2"/>
            <w:vAlign w:val="center"/>
          </w:tcPr>
          <w:p>
            <w:pPr>
              <w:jc w:val="left"/>
            </w:pPr>
            <w:r>
              <w:t>Per-swap + subscription + SaaS</w:t>
            </w:r>
          </w:p>
        </w:tc>
      </w:tr>
      <w:tr>
        <w:tc>
          <w:tcPr>
            <w:tcW w:type="dxa" w:w="2160"/>
            <w:shd w:val="clear" w:color="auto" w:fill="FFFFFF"/>
            <w:vAlign w:val="center"/>
          </w:tcPr>
          <w:p>
            <w:pPr>
              <w:jc w:val="left"/>
            </w:pPr>
            <w:r>
              <w:t>Est. Revenue</w:t>
            </w:r>
          </w:p>
        </w:tc>
        <w:tc>
          <w:tcPr>
            <w:tcW w:type="dxa" w:w="1872"/>
            <w:shd w:val="clear" w:color="auto" w:fill="FFFFFF"/>
            <w:vAlign w:val="center"/>
          </w:tcPr>
          <w:p>
            <w:pPr>
              <w:jc w:val="left"/>
            </w:pPr>
            <w:r>
              <w:t>USD 365M (FY23)</w:t>
            </w:r>
          </w:p>
        </w:tc>
        <w:tc>
          <w:tcPr>
            <w:tcW w:type="dxa" w:w="1872"/>
            <w:shd w:val="clear" w:color="auto" w:fill="FFFFFF"/>
            <w:vAlign w:val="center"/>
          </w:tcPr>
          <w:p>
            <w:pPr>
              <w:jc w:val="left"/>
            </w:pPr>
            <w:r>
              <w:t>Series B; undisclosed</w:t>
            </w:r>
          </w:p>
        </w:tc>
        <w:tc>
          <w:tcPr>
            <w:tcW w:type="dxa" w:w="1872"/>
            <w:shd w:val="clear" w:color="auto" w:fill="FFFFFF"/>
            <w:vAlign w:val="center"/>
          </w:tcPr>
          <w:p>
            <w:pPr>
              <w:jc w:val="left"/>
            </w:pPr>
            <w:r>
              <w:t>Undisclosed</w:t>
            </w:r>
          </w:p>
        </w:tc>
        <w:tc>
          <w:tcPr>
            <w:tcW w:type="dxa" w:w="2016"/>
            <w:shd w:val="clear" w:color="auto" w:fill="FFFFFF"/>
            <w:vAlign w:val="center"/>
          </w:tcPr>
          <w:p>
            <w:pPr>
              <w:jc w:val="left"/>
            </w:pPr>
            <w:r>
              <w:t>Target: ₹40–50 Cr (Yr 2)</w:t>
            </w:r>
          </w:p>
        </w:tc>
      </w:tr>
      <w:tr>
        <w:tc>
          <w:tcPr>
            <w:tcW w:type="dxa" w:w="2160"/>
            <w:shd w:val="clear" w:color="auto" w:fill="F2F2F2"/>
            <w:vAlign w:val="center"/>
          </w:tcPr>
          <w:p>
            <w:pPr>
              <w:jc w:val="left"/>
            </w:pPr>
            <w:r>
              <w:t>Station Count</w:t>
            </w:r>
          </w:p>
        </w:tc>
        <w:tc>
          <w:tcPr>
            <w:tcW w:type="dxa" w:w="1872"/>
            <w:shd w:val="clear" w:color="auto" w:fill="F2F2F2"/>
            <w:vAlign w:val="center"/>
          </w:tcPr>
          <w:p>
            <w:pPr>
              <w:jc w:val="left"/>
            </w:pPr>
            <w:r>
              <w:t>2,500+ (Taiwan)</w:t>
            </w:r>
          </w:p>
        </w:tc>
        <w:tc>
          <w:tcPr>
            <w:tcW w:type="dxa" w:w="1872"/>
            <w:shd w:val="clear" w:color="auto" w:fill="F2F2F2"/>
            <w:vAlign w:val="center"/>
          </w:tcPr>
          <w:p>
            <w:pPr>
              <w:jc w:val="left"/>
            </w:pPr>
            <w:r>
              <w:t>1,500+ (India)</w:t>
            </w:r>
          </w:p>
        </w:tc>
        <w:tc>
          <w:tcPr>
            <w:tcW w:type="dxa" w:w="1872"/>
            <w:shd w:val="clear" w:color="auto" w:fill="F2F2F2"/>
            <w:vAlign w:val="center"/>
          </w:tcPr>
          <w:p>
            <w:pPr>
              <w:jc w:val="left"/>
            </w:pPr>
            <w:r>
              <w:t>500+ (India)</w:t>
            </w:r>
          </w:p>
        </w:tc>
        <w:tc>
          <w:tcPr>
            <w:tcW w:type="dxa" w:w="2016"/>
            <w:shd w:val="clear" w:color="auto" w:fill="F2F2F2"/>
            <w:vAlign w:val="center"/>
          </w:tcPr>
          <w:p>
            <w:pPr>
              <w:jc w:val="left"/>
            </w:pPr>
            <w:r>
              <w:t>Target: 100 (Yr 1)</w:t>
            </w:r>
          </w:p>
        </w:tc>
      </w:tr>
      <w:tr>
        <w:tc>
          <w:tcPr>
            <w:tcW w:type="dxa" w:w="2160"/>
            <w:shd w:val="clear" w:color="auto" w:fill="FFFFFF"/>
            <w:vAlign w:val="center"/>
          </w:tcPr>
          <w:p>
            <w:pPr>
              <w:jc w:val="left"/>
            </w:pPr>
            <w:r>
              <w:t>Battery Std.</w:t>
            </w:r>
          </w:p>
        </w:tc>
        <w:tc>
          <w:tcPr>
            <w:tcW w:type="dxa" w:w="1872"/>
            <w:shd w:val="clear" w:color="auto" w:fill="FFFFFF"/>
            <w:vAlign w:val="center"/>
          </w:tcPr>
          <w:p>
            <w:pPr>
              <w:jc w:val="left"/>
            </w:pPr>
            <w:r>
              <w:t>Proprietary</w:t>
            </w:r>
          </w:p>
        </w:tc>
        <w:tc>
          <w:tcPr>
            <w:tcW w:type="dxa" w:w="1872"/>
            <w:shd w:val="clear" w:color="auto" w:fill="FFFFFF"/>
            <w:vAlign w:val="center"/>
          </w:tcPr>
          <w:p>
            <w:pPr>
              <w:jc w:val="left"/>
            </w:pPr>
            <w:r>
              <w:t>Multi-OEM</w:t>
            </w:r>
          </w:p>
        </w:tc>
        <w:tc>
          <w:tcPr>
            <w:tcW w:type="dxa" w:w="1872"/>
            <w:shd w:val="clear" w:color="auto" w:fill="FFFFFF"/>
            <w:vAlign w:val="center"/>
          </w:tcPr>
          <w:p>
            <w:pPr>
              <w:jc w:val="left"/>
            </w:pPr>
            <w:r>
              <w:t>Open standard push</w:t>
            </w:r>
          </w:p>
        </w:tc>
        <w:tc>
          <w:tcPr>
            <w:tcW w:type="dxa" w:w="2016"/>
            <w:shd w:val="clear" w:color="auto" w:fill="FFFFFF"/>
            <w:vAlign w:val="center"/>
          </w:tcPr>
          <w:p>
            <w:pPr>
              <w:jc w:val="left"/>
            </w:pPr>
            <w:r>
              <w:t>Open standard (IS 17893)</w:t>
            </w:r>
          </w:p>
        </w:tc>
      </w:tr>
      <w:tr>
        <w:tc>
          <w:tcPr>
            <w:tcW w:type="dxa" w:w="2160"/>
            <w:shd w:val="clear" w:color="auto" w:fill="F2F2F2"/>
            <w:vAlign w:val="center"/>
          </w:tcPr>
          <w:p>
            <w:pPr>
              <w:jc w:val="left"/>
            </w:pPr>
            <w:r>
              <w:t>Grid/Solar</w:t>
            </w:r>
          </w:p>
        </w:tc>
        <w:tc>
          <w:tcPr>
            <w:tcW w:type="dxa" w:w="1872"/>
            <w:shd w:val="clear" w:color="auto" w:fill="F2F2F2"/>
            <w:vAlign w:val="center"/>
          </w:tcPr>
          <w:p>
            <w:pPr>
              <w:jc w:val="left"/>
            </w:pPr>
            <w:r>
              <w:t>Grid only</w:t>
            </w:r>
          </w:p>
        </w:tc>
        <w:tc>
          <w:tcPr>
            <w:tcW w:type="dxa" w:w="1872"/>
            <w:shd w:val="clear" w:color="auto" w:fill="F2F2F2"/>
            <w:vAlign w:val="center"/>
          </w:tcPr>
          <w:p>
            <w:pPr>
              <w:jc w:val="left"/>
            </w:pPr>
            <w:r>
              <w:t>Grid only</w:t>
            </w:r>
          </w:p>
        </w:tc>
        <w:tc>
          <w:tcPr>
            <w:tcW w:type="dxa" w:w="1872"/>
            <w:shd w:val="clear" w:color="auto" w:fill="F2F2F2"/>
            <w:vAlign w:val="center"/>
          </w:tcPr>
          <w:p>
            <w:pPr>
              <w:jc w:val="left"/>
            </w:pPr>
            <w:r>
              <w:t>Grid + some solar</w:t>
            </w:r>
          </w:p>
        </w:tc>
        <w:tc>
          <w:tcPr>
            <w:tcW w:type="dxa" w:w="2016"/>
            <w:shd w:val="clear" w:color="auto" w:fill="F2F2F2"/>
            <w:vAlign w:val="center"/>
          </w:tcPr>
          <w:p>
            <w:pPr>
              <w:jc w:val="left"/>
            </w:pPr>
            <w:r>
              <w:t>Solar-hybrid (priority)</w:t>
            </w:r>
          </w:p>
        </w:tc>
      </w:tr>
      <w:tr>
        <w:tc>
          <w:tcPr>
            <w:tcW w:type="dxa" w:w="2160"/>
            <w:shd w:val="clear" w:color="auto" w:fill="FFFFFF"/>
            <w:vAlign w:val="center"/>
          </w:tcPr>
          <w:p>
            <w:pPr>
              <w:jc w:val="left"/>
            </w:pPr>
            <w:r>
              <w:t>B2C App</w:t>
            </w:r>
          </w:p>
        </w:tc>
        <w:tc>
          <w:tcPr>
            <w:tcW w:type="dxa" w:w="1872"/>
            <w:shd w:val="clear" w:color="auto" w:fill="FFFFFF"/>
            <w:vAlign w:val="center"/>
          </w:tcPr>
          <w:p>
            <w:pPr>
              <w:jc w:val="left"/>
            </w:pPr>
            <w:r>
              <w:t>★★★★★</w:t>
            </w:r>
          </w:p>
        </w:tc>
        <w:tc>
          <w:tcPr>
            <w:tcW w:type="dxa" w:w="1872"/>
            <w:shd w:val="clear" w:color="auto" w:fill="FFFFFF"/>
            <w:vAlign w:val="center"/>
          </w:tcPr>
          <w:p>
            <w:pPr>
              <w:jc w:val="left"/>
            </w:pPr>
            <w:r>
              <w:t>★★★☆☆</w:t>
            </w:r>
          </w:p>
        </w:tc>
        <w:tc>
          <w:tcPr>
            <w:tcW w:type="dxa" w:w="1872"/>
            <w:shd w:val="clear" w:color="auto" w:fill="FFFFFF"/>
            <w:vAlign w:val="center"/>
          </w:tcPr>
          <w:p>
            <w:pPr>
              <w:jc w:val="left"/>
            </w:pPr>
            <w:r>
              <w:t>★★☆☆☆</w:t>
            </w:r>
          </w:p>
        </w:tc>
        <w:tc>
          <w:tcPr>
            <w:tcW w:type="dxa" w:w="2016"/>
            <w:shd w:val="clear" w:color="auto" w:fill="FFFFFF"/>
            <w:vAlign w:val="center"/>
          </w:tcPr>
          <w:p>
            <w:pPr>
              <w:jc w:val="left"/>
            </w:pPr>
            <w:r>
              <w:t>★★★★☆ (planned)</w:t>
            </w:r>
          </w:p>
        </w:tc>
      </w:tr>
      <w:tr>
        <w:tc>
          <w:tcPr>
            <w:tcW w:type="dxa" w:w="2160"/>
            <w:shd w:val="clear" w:color="auto" w:fill="F2F2F2"/>
            <w:vAlign w:val="center"/>
          </w:tcPr>
          <w:p>
            <w:pPr>
              <w:jc w:val="left"/>
            </w:pPr>
            <w:r>
              <w:t>Key Strength</w:t>
            </w:r>
          </w:p>
        </w:tc>
        <w:tc>
          <w:tcPr>
            <w:tcW w:type="dxa" w:w="1872"/>
            <w:shd w:val="clear" w:color="auto" w:fill="F2F2F2"/>
            <w:vAlign w:val="center"/>
          </w:tcPr>
          <w:p>
            <w:pPr>
              <w:jc w:val="left"/>
            </w:pPr>
            <w:r>
              <w:t>UX + scale</w:t>
            </w:r>
          </w:p>
        </w:tc>
        <w:tc>
          <w:tcPr>
            <w:tcW w:type="dxa" w:w="1872"/>
            <w:shd w:val="clear" w:color="auto" w:fill="F2F2F2"/>
            <w:vAlign w:val="center"/>
          </w:tcPr>
          <w:p>
            <w:pPr>
              <w:jc w:val="left"/>
            </w:pPr>
            <w:r>
              <w:t>India reach</w:t>
            </w:r>
          </w:p>
        </w:tc>
        <w:tc>
          <w:tcPr>
            <w:tcW w:type="dxa" w:w="1872"/>
            <w:shd w:val="clear" w:color="auto" w:fill="F2F2F2"/>
            <w:vAlign w:val="center"/>
          </w:tcPr>
          <w:p>
            <w:pPr>
              <w:jc w:val="left"/>
            </w:pPr>
            <w:r>
              <w:t>Gov. partnerships</w:t>
            </w:r>
          </w:p>
        </w:tc>
        <w:tc>
          <w:tcPr>
            <w:tcW w:type="dxa" w:w="2016"/>
            <w:shd w:val="clear" w:color="auto" w:fill="F2F2F2"/>
            <w:vAlign w:val="center"/>
          </w:tcPr>
          <w:p>
            <w:pPr>
              <w:jc w:val="left"/>
            </w:pPr>
            <w:r>
              <w:t>AI health + solar + open standard</w:t>
            </w:r>
          </w:p>
        </w:tc>
      </w:tr>
      <w:tr>
        <w:tc>
          <w:tcPr>
            <w:tcW w:type="dxa" w:w="2160"/>
            <w:shd w:val="clear" w:color="auto" w:fill="FFFFFF"/>
            <w:vAlign w:val="center"/>
          </w:tcPr>
          <w:p>
            <w:pPr>
              <w:jc w:val="left"/>
            </w:pPr>
            <w:r>
              <w:t>Key Weakness</w:t>
            </w:r>
          </w:p>
        </w:tc>
        <w:tc>
          <w:tcPr>
            <w:tcW w:type="dxa" w:w="1872"/>
            <w:shd w:val="clear" w:color="auto" w:fill="FFFFFF"/>
            <w:vAlign w:val="center"/>
          </w:tcPr>
          <w:p>
            <w:pPr>
              <w:jc w:val="left"/>
            </w:pPr>
            <w:r>
              <w:t>Closed ecosystem</w:t>
            </w:r>
          </w:p>
        </w:tc>
        <w:tc>
          <w:tcPr>
            <w:tcW w:type="dxa" w:w="1872"/>
            <w:shd w:val="clear" w:color="auto" w:fill="FFFFFF"/>
            <w:vAlign w:val="center"/>
          </w:tcPr>
          <w:p>
            <w:pPr>
              <w:jc w:val="left"/>
            </w:pPr>
            <w:r>
              <w:t>3W-centric</w:t>
            </w:r>
          </w:p>
        </w:tc>
        <w:tc>
          <w:tcPr>
            <w:tcW w:type="dxa" w:w="1872"/>
            <w:shd w:val="clear" w:color="auto" w:fill="FFFFFF"/>
            <w:vAlign w:val="center"/>
          </w:tcPr>
          <w:p>
            <w:pPr>
              <w:jc w:val="left"/>
            </w:pPr>
            <w:r>
              <w:t>Slow rollout</w:t>
            </w:r>
          </w:p>
        </w:tc>
        <w:tc>
          <w:tcPr>
            <w:tcW w:type="dxa" w:w="2016"/>
            <w:shd w:val="clear" w:color="auto" w:fill="FFFFFF"/>
            <w:vAlign w:val="center"/>
          </w:tcPr>
          <w:p>
            <w:pPr>
              <w:jc w:val="left"/>
            </w:pPr>
            <w:r>
              <w:t>Network effect; CapEx</w:t>
            </w:r>
          </w:p>
        </w:tc>
      </w:tr>
      <w:tr>
        <w:tc>
          <w:tcPr>
            <w:tcW w:type="dxa" w:w="2160"/>
            <w:shd w:val="clear" w:color="auto" w:fill="F2F2F2"/>
            <w:vAlign w:val="center"/>
          </w:tcPr>
          <w:p>
            <w:pPr>
              <w:jc w:val="left"/>
            </w:pPr>
            <w:r>
              <w:t>Scalability</w:t>
            </w:r>
          </w:p>
        </w:tc>
        <w:tc>
          <w:tcPr>
            <w:tcW w:type="dxa" w:w="1872"/>
            <w:shd w:val="clear" w:color="auto" w:fill="F2F2F2"/>
            <w:vAlign w:val="center"/>
          </w:tcPr>
          <w:p>
            <w:pPr>
              <w:jc w:val="left"/>
            </w:pPr>
            <w:r>
              <w:t>High (proven)</w:t>
            </w:r>
          </w:p>
        </w:tc>
        <w:tc>
          <w:tcPr>
            <w:tcW w:type="dxa" w:w="1872"/>
            <w:shd w:val="clear" w:color="auto" w:fill="F2F2F2"/>
            <w:vAlign w:val="center"/>
          </w:tcPr>
          <w:p>
            <w:pPr>
              <w:jc w:val="left"/>
            </w:pPr>
            <w:r>
              <w:t>High (growing)</w:t>
            </w:r>
          </w:p>
        </w:tc>
        <w:tc>
          <w:tcPr>
            <w:tcW w:type="dxa" w:w="1872"/>
            <w:shd w:val="clear" w:color="auto" w:fill="F2F2F2"/>
            <w:vAlign w:val="center"/>
          </w:tcPr>
          <w:p>
            <w:pPr>
              <w:jc w:val="left"/>
            </w:pPr>
            <w:r>
              <w:t>Moderate</w:t>
            </w:r>
          </w:p>
        </w:tc>
        <w:tc>
          <w:tcPr>
            <w:tcW w:type="dxa" w:w="2016"/>
            <w:shd w:val="clear" w:color="auto" w:fill="F2F2F2"/>
            <w:vAlign w:val="center"/>
          </w:tcPr>
          <w:p>
            <w:pPr>
              <w:jc w:val="left"/>
            </w:pPr>
            <w:r>
              <w:t>High (modular design)</w:t>
            </w:r>
          </w:p>
        </w:tc>
      </w:tr>
      <w:tr>
        <w:tc>
          <w:tcPr>
            <w:tcW w:type="dxa" w:w="2160"/>
            <w:shd w:val="clear" w:color="auto" w:fill="FFFFFF"/>
            <w:vAlign w:val="center"/>
          </w:tcPr>
          <w:p>
            <w:pPr>
              <w:jc w:val="left"/>
            </w:pPr>
            <w:r>
              <w:t>Market Position</w:t>
            </w:r>
          </w:p>
        </w:tc>
        <w:tc>
          <w:tcPr>
            <w:tcW w:type="dxa" w:w="1872"/>
            <w:shd w:val="clear" w:color="auto" w:fill="FFFFFF"/>
            <w:vAlign w:val="center"/>
          </w:tcPr>
          <w:p>
            <w:pPr>
              <w:jc w:val="left"/>
            </w:pPr>
            <w:r>
              <w:t>Global leader</w:t>
            </w:r>
          </w:p>
        </w:tc>
        <w:tc>
          <w:tcPr>
            <w:tcW w:type="dxa" w:w="1872"/>
            <w:shd w:val="clear" w:color="auto" w:fill="FFFFFF"/>
            <w:vAlign w:val="center"/>
          </w:tcPr>
          <w:p>
            <w:pPr>
              <w:jc w:val="left"/>
            </w:pPr>
            <w:r>
              <w:t>India #1 3W</w:t>
            </w:r>
          </w:p>
        </w:tc>
        <w:tc>
          <w:tcPr>
            <w:tcW w:type="dxa" w:w="1872"/>
            <w:shd w:val="clear" w:color="auto" w:fill="FFFFFF"/>
            <w:vAlign w:val="center"/>
          </w:tcPr>
          <w:p>
            <w:pPr>
              <w:jc w:val="left"/>
            </w:pPr>
            <w:r>
              <w:t>India niche B2B</w:t>
            </w:r>
          </w:p>
        </w:tc>
        <w:tc>
          <w:tcPr>
            <w:tcW w:type="dxa" w:w="2016"/>
            <w:shd w:val="clear" w:color="auto" w:fill="FFFFFF"/>
            <w:vAlign w:val="center"/>
          </w:tcPr>
          <w:p>
            <w:pPr>
              <w:jc w:val="left"/>
            </w:pPr>
            <w:r>
              <w:t>Challenger / differentiator</w:t>
            </w:r>
          </w:p>
        </w:tc>
      </w:tr>
    </w:tbl>
    <w:p>
      <w:pPr>
        <w:jc w:val="both"/>
      </w:pPr>
      <w:r>
        <w:rPr>
          <w:rFonts w:ascii="Calibri" w:hAnsi="Calibri"/>
          <w:b w:val="0"/>
          <w:i/>
          <w:sz w:val="18"/>
        </w:rPr>
        <w:t>Sources: Gogoro Annual Report 2024; Battery Smart Press Release 2023; Sun Mobility website 2024.</w:t>
      </w:r>
    </w:p>
    <w:p>
      <w:r>
        <w:br w:type="page"/>
      </w:r>
    </w:p>
    <w:p>
      <w:pPr>
        <w:pStyle w:val="Heading1"/>
        <w:jc w:val="left"/>
      </w:pPr>
      <w:r>
        <w:t>6. Industry Trends &amp; Threats</w:t>
      </w:r>
    </w:p>
    <w:p>
      <w:pPr>
        <w:pStyle w:val="Heading2"/>
        <w:jc w:val="left"/>
      </w:pPr>
      <w:r>
        <w:t>6.1 Key Trends</w:t>
      </w:r>
    </w:p>
    <w:p>
      <w:pPr>
        <w:pStyle w:val="Heading3"/>
        <w:jc w:val="left"/>
      </w:pPr>
      <w:r>
        <w:t>EV Penetration Acceleration</w:t>
      </w:r>
    </w:p>
    <w:p>
      <w:pPr>
        <w:jc w:val="both"/>
      </w:pPr>
      <w:r>
        <w:rPr>
          <w:rFonts w:ascii="Calibri" w:hAnsi="Calibri"/>
          <w:b w:val="0"/>
          <w:i w:val="0"/>
        </w:rPr>
        <w:t>India's EV penetration in new 2W sales reached ~5.5% in FY2024 (SMEV, 2024). NITI Aayog targets 30% of new vehicles to be electric by 2030. The 3W segment has already crossed 55% electrification in new registrations (VAHAN, 2024).</w:t>
      </w:r>
    </w:p>
    <w:p>
      <w:pPr>
        <w:pStyle w:val="Heading3"/>
        <w:jc w:val="left"/>
      </w:pPr>
      <w:r>
        <w:t>Fleet Electrification</w:t>
      </w:r>
    </w:p>
    <w:p>
      <w:pPr>
        <w:jc w:val="both"/>
      </w:pPr>
      <w:r>
        <w:rPr>
          <w:rFonts w:ascii="Calibri" w:hAnsi="Calibri"/>
          <w:b w:val="0"/>
          <w:i w:val="0"/>
        </w:rPr>
        <w:t>Logistics and delivery fleets are the fastest-converting segment. Bluedart, Delhivery, Ecom Express and last-mile platforms have announced EV commitments. Fleet operators are natural BSaaS customers, offering predictable swap volumes and long-term contracts.</w:t>
      </w:r>
    </w:p>
    <w:p>
      <w:pPr>
        <w:pStyle w:val="Heading3"/>
        <w:jc w:val="left"/>
      </w:pPr>
      <w:r>
        <w:t>Policy Support</w:t>
      </w:r>
    </w:p>
    <w:p>
      <w:pPr>
        <w:jc w:val="both"/>
      </w:pPr>
      <w:r>
        <w:rPr>
          <w:rFonts w:ascii="Calibri" w:hAnsi="Calibri"/>
          <w:b w:val="0"/>
          <w:i w:val="0"/>
        </w:rPr>
        <w:t>PM E-DRIVE (2024–26, ₹10,900 Cr) explicitly includes swapping infrastructure subsidies. Multiple state policies (Delhi, Maharashtra, Karnataka) offer additional EV incentives, including reduced commercial vehicle permit fees for EVs.</w:t>
      </w:r>
    </w:p>
    <w:p>
      <w:pPr>
        <w:pStyle w:val="Heading3"/>
        <w:jc w:val="left"/>
      </w:pPr>
      <w:r>
        <w:t>Technology Advances</w:t>
      </w:r>
    </w:p>
    <w:p>
      <w:pPr>
        <w:jc w:val="both"/>
      </w:pPr>
      <w:r>
        <w:rPr>
          <w:rFonts w:ascii="Calibri" w:hAnsi="Calibri"/>
          <w:b w:val="0"/>
          <w:i w:val="0"/>
        </w:rPr>
        <w:t>LFP battery costs have declined from USD 152/kWh (2022) to ~USD 90/kWh (2024) (BNEF, 2024). Solid-state batteries (2027–2030 commercial horizon) promise higher energy density and faster charge rates. AI-driven battery health optimisation extends pack life by 15–20%.</w:t>
      </w:r>
    </w:p>
    <w:p>
      <w:pPr>
        <w:pStyle w:val="Heading3"/>
        <w:jc w:val="left"/>
      </w:pPr>
      <w:r>
        <w:t>Open Standard Push</w:t>
      </w:r>
    </w:p>
    <w:p>
      <w:pPr>
        <w:jc w:val="both"/>
      </w:pPr>
      <w:r>
        <w:rPr>
          <w:rFonts w:ascii="Calibri" w:hAnsi="Calibri"/>
          <w:b w:val="0"/>
          <w:i w:val="0"/>
        </w:rPr>
        <w:t>NITI Aayog's 2022 draft swapping policy requires interoperable batteries. BIS IS 17893 standard for Li-ion battery packs is expected to be mandated, enabling cross-OEM battery pooling.</w:t>
      </w:r>
    </w:p>
    <w:p>
      <w:pPr>
        <w:pStyle w:val="Heading2"/>
        <w:jc w:val="left"/>
      </w:pPr>
      <w:r>
        <w:t>6.2 Threats &amp; Risks</w:t>
      </w:r>
    </w:p>
    <w:tbl>
      <w:tblPr>
        <w:tblStyle w:val="TableGrid"/>
        <w:tblW w:type="auto" w:w="0"/>
        <w:jc w:val="center"/>
        <w:tblLook w:firstColumn="1" w:firstRow="1" w:lastColumn="0" w:lastRow="0" w:noHBand="0" w:noVBand="1" w:val="04A0"/>
      </w:tblPr>
      <w:tblGrid>
        <w:gridCol w:w="2928"/>
        <w:gridCol w:w="2928"/>
        <w:gridCol w:w="2928"/>
      </w:tblGrid>
      <w:tr>
        <w:tc>
          <w:tcPr>
            <w:tcW w:type="dxa" w:w="3600"/>
            <w:shd w:val="clear" w:color="auto" w:fill="002B5C"/>
            <w:vAlign w:val="center"/>
          </w:tcPr>
          <w:p>
            <w:pPr>
              <w:jc w:val="center"/>
            </w:pPr>
            <w:r>
              <w:rPr>
                <w:b/>
                <w:color w:val="FFFFFF"/>
              </w:rPr>
              <w:t>Threat</w:t>
            </w:r>
          </w:p>
        </w:tc>
        <w:tc>
          <w:tcPr>
            <w:tcW w:type="dxa" w:w="1440"/>
            <w:shd w:val="clear" w:color="auto" w:fill="002B5C"/>
            <w:vAlign w:val="center"/>
          </w:tcPr>
          <w:p>
            <w:pPr>
              <w:jc w:val="center"/>
            </w:pPr>
            <w:r>
              <w:rPr>
                <w:b/>
                <w:color w:val="FFFFFF"/>
              </w:rPr>
              <w:t>Severity</w:t>
            </w:r>
          </w:p>
        </w:tc>
        <w:tc>
          <w:tcPr>
            <w:tcW w:type="dxa" w:w="4752"/>
            <w:shd w:val="clear" w:color="auto" w:fill="002B5C"/>
            <w:vAlign w:val="center"/>
          </w:tcPr>
          <w:p>
            <w:pPr>
              <w:jc w:val="center"/>
            </w:pPr>
            <w:r>
              <w:rPr>
                <w:b/>
                <w:color w:val="FFFFFF"/>
              </w:rPr>
              <w:t>Mitigation</w:t>
            </w:r>
          </w:p>
        </w:tc>
      </w:tr>
      <w:tr>
        <w:tc>
          <w:tcPr>
            <w:tcW w:type="dxa" w:w="3600"/>
            <w:shd w:val="clear" w:color="auto" w:fill="F2F2F2"/>
            <w:vAlign w:val="center"/>
          </w:tcPr>
          <w:p>
            <w:pPr>
              <w:jc w:val="left"/>
            </w:pPr>
            <w:r>
              <w:t>Fast-charging technology improves (10-min charges)</w:t>
            </w:r>
          </w:p>
        </w:tc>
        <w:tc>
          <w:tcPr>
            <w:tcW w:type="dxa" w:w="1440"/>
            <w:shd w:val="clear" w:color="auto" w:fill="F2F2F2"/>
            <w:vAlign w:val="center"/>
          </w:tcPr>
          <w:p>
            <w:pPr>
              <w:jc w:val="left"/>
            </w:pPr>
            <w:r>
              <w:t>High</w:t>
            </w:r>
          </w:p>
        </w:tc>
        <w:tc>
          <w:tcPr>
            <w:tcW w:type="dxa" w:w="4752"/>
            <w:shd w:val="clear" w:color="auto" w:fill="F2F2F2"/>
            <w:vAlign w:val="center"/>
          </w:tcPr>
          <w:p>
            <w:pPr>
              <w:jc w:val="left"/>
            </w:pPr>
            <w:r>
              <w:t>Focus on cost &amp; density advantage; build fleet loyalty</w:t>
            </w:r>
          </w:p>
        </w:tc>
      </w:tr>
      <w:tr>
        <w:tc>
          <w:tcPr>
            <w:tcW w:type="dxa" w:w="3600"/>
            <w:shd w:val="clear" w:color="auto" w:fill="FFFFFF"/>
            <w:vAlign w:val="center"/>
          </w:tcPr>
          <w:p>
            <w:pPr>
              <w:jc w:val="left"/>
            </w:pPr>
            <w:r>
              <w:t>OEM vertical integration (OEMs build own swap nets)</w:t>
            </w:r>
          </w:p>
        </w:tc>
        <w:tc>
          <w:tcPr>
            <w:tcW w:type="dxa" w:w="1440"/>
            <w:shd w:val="clear" w:color="auto" w:fill="FFFFFF"/>
            <w:vAlign w:val="center"/>
          </w:tcPr>
          <w:p>
            <w:pPr>
              <w:jc w:val="left"/>
            </w:pPr>
            <w:r>
              <w:t>High</w:t>
            </w:r>
          </w:p>
        </w:tc>
        <w:tc>
          <w:tcPr>
            <w:tcW w:type="dxa" w:w="4752"/>
            <w:shd w:val="clear" w:color="auto" w:fill="FFFFFF"/>
            <w:vAlign w:val="center"/>
          </w:tcPr>
          <w:p>
            <w:pPr>
              <w:jc w:val="left"/>
            </w:pPr>
            <w:r>
              <w:t>Open standard; lock-in via fleet SaaS contracts</w:t>
            </w:r>
          </w:p>
        </w:tc>
      </w:tr>
      <w:tr>
        <w:tc>
          <w:tcPr>
            <w:tcW w:type="dxa" w:w="3600"/>
            <w:shd w:val="clear" w:color="auto" w:fill="F2F2F2"/>
            <w:vAlign w:val="center"/>
          </w:tcPr>
          <w:p>
            <w:pPr>
              <w:jc w:val="left"/>
            </w:pPr>
            <w:r>
              <w:t>Battery standardisation fails (fragmented market)</w:t>
            </w:r>
          </w:p>
        </w:tc>
        <w:tc>
          <w:tcPr>
            <w:tcW w:type="dxa" w:w="1440"/>
            <w:shd w:val="clear" w:color="auto" w:fill="F2F2F2"/>
            <w:vAlign w:val="center"/>
          </w:tcPr>
          <w:p>
            <w:pPr>
              <w:jc w:val="left"/>
            </w:pPr>
            <w:r>
              <w:t>High</w:t>
            </w:r>
          </w:p>
        </w:tc>
        <w:tc>
          <w:tcPr>
            <w:tcW w:type="dxa" w:w="4752"/>
            <w:shd w:val="clear" w:color="auto" w:fill="F2F2F2"/>
            <w:vAlign w:val="center"/>
          </w:tcPr>
          <w:p>
            <w:pPr>
              <w:jc w:val="left"/>
            </w:pPr>
            <w:r>
              <w:t>Adopt IS 17893 early; lobby industry bodies</w:t>
            </w:r>
          </w:p>
        </w:tc>
      </w:tr>
      <w:tr>
        <w:tc>
          <w:tcPr>
            <w:tcW w:type="dxa" w:w="3600"/>
            <w:shd w:val="clear" w:color="auto" w:fill="FFFFFF"/>
            <w:vAlign w:val="center"/>
          </w:tcPr>
          <w:p>
            <w:pPr>
              <w:jc w:val="left"/>
            </w:pPr>
            <w:r>
              <w:t>Grid power cost increases</w:t>
            </w:r>
          </w:p>
        </w:tc>
        <w:tc>
          <w:tcPr>
            <w:tcW w:type="dxa" w:w="1440"/>
            <w:shd w:val="clear" w:color="auto" w:fill="FFFFFF"/>
            <w:vAlign w:val="center"/>
          </w:tcPr>
          <w:p>
            <w:pPr>
              <w:jc w:val="left"/>
            </w:pPr>
            <w:r>
              <w:t>Medium</w:t>
            </w:r>
          </w:p>
        </w:tc>
        <w:tc>
          <w:tcPr>
            <w:tcW w:type="dxa" w:w="4752"/>
            <w:shd w:val="clear" w:color="auto" w:fill="FFFFFF"/>
            <w:vAlign w:val="center"/>
          </w:tcPr>
          <w:p>
            <w:pPr>
              <w:jc w:val="left"/>
            </w:pPr>
            <w:r>
              <w:t>Solar + time-of-use charging; BESS integration</w:t>
            </w:r>
          </w:p>
        </w:tc>
      </w:tr>
      <w:tr>
        <w:tc>
          <w:tcPr>
            <w:tcW w:type="dxa" w:w="3600"/>
            <w:shd w:val="clear" w:color="auto" w:fill="F2F2F2"/>
            <w:vAlign w:val="center"/>
          </w:tcPr>
          <w:p>
            <w:pPr>
              <w:jc w:val="left"/>
            </w:pPr>
            <w:r>
              <w:t>Policy reversal / subsidy withdrawal</w:t>
            </w:r>
          </w:p>
        </w:tc>
        <w:tc>
          <w:tcPr>
            <w:tcW w:type="dxa" w:w="1440"/>
            <w:shd w:val="clear" w:color="auto" w:fill="F2F2F2"/>
            <w:vAlign w:val="center"/>
          </w:tcPr>
          <w:p>
            <w:pPr>
              <w:jc w:val="left"/>
            </w:pPr>
            <w:r>
              <w:t>Medium</w:t>
            </w:r>
          </w:p>
        </w:tc>
        <w:tc>
          <w:tcPr>
            <w:tcW w:type="dxa" w:w="4752"/>
            <w:shd w:val="clear" w:color="auto" w:fill="F2F2F2"/>
            <w:vAlign w:val="center"/>
          </w:tcPr>
          <w:p>
            <w:pPr>
              <w:jc w:val="left"/>
            </w:pPr>
            <w:r>
              <w:t>Diversify revenue (SaaS, fleet analytics); unit economics without subsidies</w:t>
            </w:r>
          </w:p>
        </w:tc>
      </w:tr>
      <w:tr>
        <w:tc>
          <w:tcPr>
            <w:tcW w:type="dxa" w:w="3600"/>
            <w:shd w:val="clear" w:color="auto" w:fill="FFFFFF"/>
            <w:vAlign w:val="center"/>
          </w:tcPr>
          <w:p>
            <w:pPr>
              <w:jc w:val="left"/>
            </w:pPr>
            <w:r>
              <w:t>Vandalism / battery theft</w:t>
            </w:r>
          </w:p>
        </w:tc>
        <w:tc>
          <w:tcPr>
            <w:tcW w:type="dxa" w:w="1440"/>
            <w:shd w:val="clear" w:color="auto" w:fill="FFFFFF"/>
            <w:vAlign w:val="center"/>
          </w:tcPr>
          <w:p>
            <w:pPr>
              <w:jc w:val="left"/>
            </w:pPr>
            <w:r>
              <w:t>Medium</w:t>
            </w:r>
          </w:p>
        </w:tc>
        <w:tc>
          <w:tcPr>
            <w:tcW w:type="dxa" w:w="4752"/>
            <w:shd w:val="clear" w:color="auto" w:fill="FFFFFF"/>
            <w:vAlign w:val="center"/>
          </w:tcPr>
          <w:p>
            <w:pPr>
              <w:jc w:val="left"/>
            </w:pPr>
            <w:r>
              <w:t>Biometric lock, GPS tracking, insurance products</w:t>
            </w:r>
          </w:p>
        </w:tc>
      </w:tr>
      <w:tr>
        <w:tc>
          <w:tcPr>
            <w:tcW w:type="dxa" w:w="3600"/>
            <w:shd w:val="clear" w:color="auto" w:fill="F2F2F2"/>
            <w:vAlign w:val="center"/>
          </w:tcPr>
          <w:p>
            <w:pPr>
              <w:jc w:val="left"/>
            </w:pPr>
            <w:r>
              <w:t>Capital market tightening (VC funding)</w:t>
            </w:r>
          </w:p>
        </w:tc>
        <w:tc>
          <w:tcPr>
            <w:tcW w:type="dxa" w:w="1440"/>
            <w:shd w:val="clear" w:color="auto" w:fill="F2F2F2"/>
            <w:vAlign w:val="center"/>
          </w:tcPr>
          <w:p>
            <w:pPr>
              <w:jc w:val="left"/>
            </w:pPr>
            <w:r>
              <w:t>Medium</w:t>
            </w:r>
          </w:p>
        </w:tc>
        <w:tc>
          <w:tcPr>
            <w:tcW w:type="dxa" w:w="4752"/>
            <w:shd w:val="clear" w:color="auto" w:fill="F2F2F2"/>
            <w:vAlign w:val="center"/>
          </w:tcPr>
          <w:p>
            <w:pPr>
              <w:jc w:val="left"/>
            </w:pPr>
            <w:r>
              <w:t>Bootstrap fleet partnerships; asset-lite model options</w:t>
            </w:r>
          </w:p>
        </w:tc>
      </w:tr>
    </w:tbl>
    <w:p>
      <w:r>
        <w:br w:type="page"/>
      </w:r>
    </w:p>
    <w:p>
      <w:pPr>
        <w:pStyle w:val="Heading1"/>
        <w:jc w:val="left"/>
      </w:pPr>
      <w:r>
        <w:t>7. Business Model Design</w:t>
      </w:r>
    </w:p>
    <w:p>
      <w:pPr>
        <w:pStyle w:val="Heading2"/>
        <w:jc w:val="left"/>
      </w:pPr>
      <w:r>
        <w:t>7.1 Revenue Streams</w:t>
      </w:r>
    </w:p>
    <w:tbl>
      <w:tblPr>
        <w:tblStyle w:val="TableGrid"/>
        <w:tblW w:type="auto" w:w="0"/>
        <w:jc w:val="center"/>
        <w:tblLook w:firstColumn="1" w:firstRow="1" w:lastColumn="0" w:lastRow="0" w:noHBand="0" w:noVBand="1" w:val="04A0"/>
      </w:tblPr>
      <w:tblGrid>
        <w:gridCol w:w="2928"/>
        <w:gridCol w:w="2928"/>
        <w:gridCol w:w="2928"/>
      </w:tblGrid>
      <w:tr>
        <w:tc>
          <w:tcPr>
            <w:tcW w:type="dxa" w:w="2880"/>
            <w:shd w:val="clear" w:color="auto" w:fill="002B5C"/>
            <w:vAlign w:val="center"/>
          </w:tcPr>
          <w:p>
            <w:pPr>
              <w:jc w:val="center"/>
            </w:pPr>
            <w:r>
              <w:rPr>
                <w:b/>
                <w:color w:val="FFFFFF"/>
              </w:rPr>
              <w:t>Revenue Stream</w:t>
            </w:r>
          </w:p>
        </w:tc>
        <w:tc>
          <w:tcPr>
            <w:tcW w:type="dxa" w:w="4032"/>
            <w:shd w:val="clear" w:color="auto" w:fill="002B5C"/>
            <w:vAlign w:val="center"/>
          </w:tcPr>
          <w:p>
            <w:pPr>
              <w:jc w:val="center"/>
            </w:pPr>
            <w:r>
              <w:rPr>
                <w:b/>
                <w:color w:val="FFFFFF"/>
              </w:rPr>
              <w:t>Description</w:t>
            </w:r>
          </w:p>
        </w:tc>
        <w:tc>
          <w:tcPr>
            <w:tcW w:type="dxa" w:w="2880"/>
            <w:shd w:val="clear" w:color="auto" w:fill="002B5C"/>
            <w:vAlign w:val="center"/>
          </w:tcPr>
          <w:p>
            <w:pPr>
              <w:jc w:val="center"/>
            </w:pPr>
            <w:r>
              <w:rPr>
                <w:b/>
                <w:color w:val="FFFFFF"/>
              </w:rPr>
              <w:t>Pricing</w:t>
            </w:r>
          </w:p>
        </w:tc>
      </w:tr>
      <w:tr>
        <w:tc>
          <w:tcPr>
            <w:tcW w:type="dxa" w:w="2880"/>
            <w:shd w:val="clear" w:color="auto" w:fill="F2F2F2"/>
            <w:vAlign w:val="center"/>
          </w:tcPr>
          <w:p>
            <w:pPr>
              <w:jc w:val="left"/>
            </w:pPr>
            <w:r>
              <w:t>Pay-per-swap (B2C/B2B2C)</w:t>
            </w:r>
          </w:p>
        </w:tc>
        <w:tc>
          <w:tcPr>
            <w:tcW w:type="dxa" w:w="4032"/>
            <w:shd w:val="clear" w:color="auto" w:fill="F2F2F2"/>
            <w:vAlign w:val="center"/>
          </w:tcPr>
          <w:p>
            <w:pPr>
              <w:jc w:val="left"/>
            </w:pPr>
            <w:r>
              <w:t>Rider pays per swap at kiosk or via app</w:t>
            </w:r>
          </w:p>
        </w:tc>
        <w:tc>
          <w:tcPr>
            <w:tcW w:type="dxa" w:w="2880"/>
            <w:shd w:val="clear" w:color="auto" w:fill="F2F2F2"/>
            <w:vAlign w:val="center"/>
          </w:tcPr>
          <w:p>
            <w:pPr>
              <w:jc w:val="left"/>
            </w:pPr>
            <w:r>
              <w:t>₹80–150 per swap (energy-based pricing)</w:t>
            </w:r>
          </w:p>
        </w:tc>
      </w:tr>
      <w:tr>
        <w:tc>
          <w:tcPr>
            <w:tcW w:type="dxa" w:w="2880"/>
            <w:shd w:val="clear" w:color="auto" w:fill="FFFFFF"/>
            <w:vAlign w:val="center"/>
          </w:tcPr>
          <w:p>
            <w:pPr>
              <w:jc w:val="left"/>
            </w:pPr>
            <w:r>
              <w:t>Fleet subscription</w:t>
            </w:r>
          </w:p>
        </w:tc>
        <w:tc>
          <w:tcPr>
            <w:tcW w:type="dxa" w:w="4032"/>
            <w:shd w:val="clear" w:color="auto" w:fill="FFFFFF"/>
            <w:vAlign w:val="center"/>
          </w:tcPr>
          <w:p>
            <w:pPr>
              <w:jc w:val="left"/>
            </w:pPr>
            <w:r>
              <w:t>Fixed monthly fee for unlimited/capped swaps</w:t>
            </w:r>
          </w:p>
        </w:tc>
        <w:tc>
          <w:tcPr>
            <w:tcW w:type="dxa" w:w="2880"/>
            <w:shd w:val="clear" w:color="auto" w:fill="FFFFFF"/>
            <w:vAlign w:val="center"/>
          </w:tcPr>
          <w:p>
            <w:pPr>
              <w:jc w:val="left"/>
            </w:pPr>
            <w:r>
              <w:t>₹2,500–₹6,000/vehicle/month</w:t>
            </w:r>
          </w:p>
        </w:tc>
      </w:tr>
      <w:tr>
        <w:tc>
          <w:tcPr>
            <w:tcW w:type="dxa" w:w="2880"/>
            <w:shd w:val="clear" w:color="auto" w:fill="F2F2F2"/>
            <w:vAlign w:val="center"/>
          </w:tcPr>
          <w:p>
            <w:pPr>
              <w:jc w:val="left"/>
            </w:pPr>
            <w:r>
              <w:t>SaaS fleet analytics</w:t>
            </w:r>
          </w:p>
        </w:tc>
        <w:tc>
          <w:tcPr>
            <w:tcW w:type="dxa" w:w="4032"/>
            <w:shd w:val="clear" w:color="auto" w:fill="F2F2F2"/>
            <w:vAlign w:val="center"/>
          </w:tcPr>
          <w:p>
            <w:pPr>
              <w:jc w:val="left"/>
            </w:pPr>
            <w:r>
              <w:t>Dashboard, reporting, driver scoring for fleet ops</w:t>
            </w:r>
          </w:p>
        </w:tc>
        <w:tc>
          <w:tcPr>
            <w:tcW w:type="dxa" w:w="2880"/>
            <w:shd w:val="clear" w:color="auto" w:fill="F2F2F2"/>
            <w:vAlign w:val="center"/>
          </w:tcPr>
          <w:p>
            <w:pPr>
              <w:jc w:val="left"/>
            </w:pPr>
            <w:r>
              <w:t>₹2,000–₹8,000/fleet/month</w:t>
            </w:r>
          </w:p>
        </w:tc>
      </w:tr>
      <w:tr>
        <w:tc>
          <w:tcPr>
            <w:tcW w:type="dxa" w:w="2880"/>
            <w:shd w:val="clear" w:color="auto" w:fill="FFFFFF"/>
            <w:vAlign w:val="center"/>
          </w:tcPr>
          <w:p>
            <w:pPr>
              <w:jc w:val="left"/>
            </w:pPr>
            <w:r>
              <w:t>Battery-as-a-Service lease</w:t>
            </w:r>
          </w:p>
        </w:tc>
        <w:tc>
          <w:tcPr>
            <w:tcW w:type="dxa" w:w="4032"/>
            <w:shd w:val="clear" w:color="auto" w:fill="FFFFFF"/>
            <w:vAlign w:val="center"/>
          </w:tcPr>
          <w:p>
            <w:pPr>
              <w:jc w:val="left"/>
            </w:pPr>
            <w:r>
              <w:t>OEM/fleet leases batteries; swap net manages lifecycle</w:t>
            </w:r>
          </w:p>
        </w:tc>
        <w:tc>
          <w:tcPr>
            <w:tcW w:type="dxa" w:w="2880"/>
            <w:shd w:val="clear" w:color="auto" w:fill="FFFFFF"/>
            <w:vAlign w:val="center"/>
          </w:tcPr>
          <w:p>
            <w:pPr>
              <w:jc w:val="left"/>
            </w:pPr>
            <w:r>
              <w:t>₹3,000–₹8,000/battery/year</w:t>
            </w:r>
          </w:p>
        </w:tc>
      </w:tr>
      <w:tr>
        <w:tc>
          <w:tcPr>
            <w:tcW w:type="dxa" w:w="2880"/>
            <w:shd w:val="clear" w:color="auto" w:fill="F2F2F2"/>
            <w:vAlign w:val="center"/>
          </w:tcPr>
          <w:p>
            <w:pPr>
              <w:jc w:val="left"/>
            </w:pPr>
            <w:r>
              <w:t>Grid services (V2G/DSM)</w:t>
            </w:r>
          </w:p>
        </w:tc>
        <w:tc>
          <w:tcPr>
            <w:tcW w:type="dxa" w:w="4032"/>
            <w:shd w:val="clear" w:color="auto" w:fill="F2F2F2"/>
            <w:vAlign w:val="center"/>
          </w:tcPr>
          <w:p>
            <w:pPr>
              <w:jc w:val="left"/>
            </w:pPr>
            <w:r>
              <w:t>Sell demand-response services to discoms</w:t>
            </w:r>
          </w:p>
        </w:tc>
        <w:tc>
          <w:tcPr>
            <w:tcW w:type="dxa" w:w="2880"/>
            <w:shd w:val="clear" w:color="auto" w:fill="F2F2F2"/>
            <w:vAlign w:val="center"/>
          </w:tcPr>
          <w:p>
            <w:pPr>
              <w:jc w:val="left"/>
            </w:pPr>
            <w:r>
              <w:t>₹1–3/kWh (future stream)</w:t>
            </w:r>
          </w:p>
        </w:tc>
      </w:tr>
      <w:tr>
        <w:tc>
          <w:tcPr>
            <w:tcW w:type="dxa" w:w="2880"/>
            <w:shd w:val="clear" w:color="auto" w:fill="FFFFFF"/>
            <w:vAlign w:val="center"/>
          </w:tcPr>
          <w:p>
            <w:pPr>
              <w:jc w:val="left"/>
            </w:pPr>
            <w:r>
              <w:t>Advertising / premium stations</w:t>
            </w:r>
          </w:p>
        </w:tc>
        <w:tc>
          <w:tcPr>
            <w:tcW w:type="dxa" w:w="4032"/>
            <w:shd w:val="clear" w:color="auto" w:fill="FFFFFF"/>
            <w:vAlign w:val="center"/>
          </w:tcPr>
          <w:p>
            <w:pPr>
              <w:jc w:val="left"/>
            </w:pPr>
            <w:r>
              <w:t>Station location-based brand activations</w:t>
            </w:r>
          </w:p>
        </w:tc>
        <w:tc>
          <w:tcPr>
            <w:tcW w:type="dxa" w:w="2880"/>
            <w:shd w:val="clear" w:color="auto" w:fill="FFFFFF"/>
            <w:vAlign w:val="center"/>
          </w:tcPr>
          <w:p>
            <w:pPr>
              <w:jc w:val="left"/>
            </w:pPr>
            <w:r>
              <w:t>₹10,000–₹50,000/station/month</w:t>
            </w:r>
          </w:p>
        </w:tc>
      </w:tr>
    </w:tbl>
    <w:p>
      <w:pPr>
        <w:pStyle w:val="Heading2"/>
        <w:jc w:val="left"/>
      </w:pPr>
      <w:r>
        <w:t>7.2 Cost Structure</w:t>
      </w:r>
    </w:p>
    <w:tbl>
      <w:tblPr>
        <w:tblStyle w:val="TableGrid"/>
        <w:tblW w:type="auto" w:w="0"/>
        <w:jc w:val="center"/>
        <w:tblLook w:firstColumn="1" w:firstRow="1" w:lastColumn="0" w:lastRow="0" w:noHBand="0" w:noVBand="1" w:val="04A0"/>
      </w:tblPr>
      <w:tblGrid>
        <w:gridCol w:w="2928"/>
        <w:gridCol w:w="2928"/>
        <w:gridCol w:w="2928"/>
      </w:tblGrid>
      <w:tr>
        <w:tc>
          <w:tcPr>
            <w:tcW w:type="dxa" w:w="3168"/>
            <w:shd w:val="clear" w:color="auto" w:fill="002B5C"/>
            <w:vAlign w:val="center"/>
          </w:tcPr>
          <w:p>
            <w:pPr>
              <w:jc w:val="center"/>
            </w:pPr>
            <w:r>
              <w:rPr>
                <w:b/>
                <w:color w:val="FFFFFF"/>
              </w:rPr>
              <w:t>Cost Category</w:t>
            </w:r>
          </w:p>
        </w:tc>
        <w:tc>
          <w:tcPr>
            <w:tcW w:type="dxa" w:w="3744"/>
            <w:shd w:val="clear" w:color="auto" w:fill="002B5C"/>
            <w:vAlign w:val="center"/>
          </w:tcPr>
          <w:p>
            <w:pPr>
              <w:jc w:val="center"/>
            </w:pPr>
            <w:r>
              <w:rPr>
                <w:b/>
                <w:color w:val="FFFFFF"/>
              </w:rPr>
              <w:t>Description</w:t>
            </w:r>
          </w:p>
        </w:tc>
        <w:tc>
          <w:tcPr>
            <w:tcW w:type="dxa" w:w="2160"/>
            <w:shd w:val="clear" w:color="auto" w:fill="002B5C"/>
            <w:vAlign w:val="center"/>
          </w:tcPr>
          <w:p>
            <w:pPr>
              <w:jc w:val="center"/>
            </w:pPr>
            <w:r>
              <w:rPr>
                <w:b/>
                <w:color w:val="FFFFFF"/>
              </w:rPr>
              <w:t>Est. % of Opex</w:t>
            </w:r>
          </w:p>
        </w:tc>
      </w:tr>
      <w:tr>
        <w:tc>
          <w:tcPr>
            <w:tcW w:type="dxa" w:w="3168"/>
            <w:shd w:val="clear" w:color="auto" w:fill="F2F2F2"/>
            <w:vAlign w:val="center"/>
          </w:tcPr>
          <w:p>
            <w:pPr>
              <w:jc w:val="left"/>
            </w:pPr>
            <w:r>
              <w:t>Battery inventory depreciation</w:t>
            </w:r>
          </w:p>
        </w:tc>
        <w:tc>
          <w:tcPr>
            <w:tcW w:type="dxa" w:w="3744"/>
            <w:shd w:val="clear" w:color="auto" w:fill="F2F2F2"/>
            <w:vAlign w:val="center"/>
          </w:tcPr>
          <w:p>
            <w:pPr>
              <w:jc w:val="left"/>
            </w:pPr>
            <w:r>
              <w:t>Main CapEx; amortised over battery life (3–4 yr)</w:t>
            </w:r>
          </w:p>
        </w:tc>
        <w:tc>
          <w:tcPr>
            <w:tcW w:type="dxa" w:w="2160"/>
            <w:shd w:val="clear" w:color="auto" w:fill="F2F2F2"/>
            <w:vAlign w:val="center"/>
          </w:tcPr>
          <w:p>
            <w:pPr>
              <w:jc w:val="left"/>
            </w:pPr>
            <w:r>
              <w:t>30–35%</w:t>
            </w:r>
          </w:p>
        </w:tc>
      </w:tr>
      <w:tr>
        <w:tc>
          <w:tcPr>
            <w:tcW w:type="dxa" w:w="3168"/>
            <w:shd w:val="clear" w:color="auto" w:fill="FFFFFF"/>
            <w:vAlign w:val="center"/>
          </w:tcPr>
          <w:p>
            <w:pPr>
              <w:jc w:val="left"/>
            </w:pPr>
            <w:r>
              <w:t>Grid electricity</w:t>
            </w:r>
          </w:p>
        </w:tc>
        <w:tc>
          <w:tcPr>
            <w:tcW w:type="dxa" w:w="3744"/>
            <w:shd w:val="clear" w:color="auto" w:fill="FFFFFF"/>
            <w:vAlign w:val="center"/>
          </w:tcPr>
          <w:p>
            <w:pPr>
              <w:jc w:val="left"/>
            </w:pPr>
            <w:r>
              <w:t>Energy cost per kWh charged; typically ₹6–9/kWh commercial</w:t>
            </w:r>
          </w:p>
        </w:tc>
        <w:tc>
          <w:tcPr>
            <w:tcW w:type="dxa" w:w="2160"/>
            <w:shd w:val="clear" w:color="auto" w:fill="FFFFFF"/>
            <w:vAlign w:val="center"/>
          </w:tcPr>
          <w:p>
            <w:pPr>
              <w:jc w:val="left"/>
            </w:pPr>
            <w:r>
              <w:t>20–25%</w:t>
            </w:r>
          </w:p>
        </w:tc>
      </w:tr>
      <w:tr>
        <w:tc>
          <w:tcPr>
            <w:tcW w:type="dxa" w:w="3168"/>
            <w:shd w:val="clear" w:color="auto" w:fill="F2F2F2"/>
            <w:vAlign w:val="center"/>
          </w:tcPr>
          <w:p>
            <w:pPr>
              <w:jc w:val="left"/>
            </w:pPr>
            <w:r>
              <w:t>Station hardware depreciation</w:t>
            </w:r>
          </w:p>
        </w:tc>
        <w:tc>
          <w:tcPr>
            <w:tcW w:type="dxa" w:w="3744"/>
            <w:shd w:val="clear" w:color="auto" w:fill="F2F2F2"/>
            <w:vAlign w:val="center"/>
          </w:tcPr>
          <w:p>
            <w:pPr>
              <w:jc w:val="left"/>
            </w:pPr>
            <w:r>
              <w:t>Cabinets, PLC, EVSE; 5–7 yr life</w:t>
            </w:r>
          </w:p>
        </w:tc>
        <w:tc>
          <w:tcPr>
            <w:tcW w:type="dxa" w:w="2160"/>
            <w:shd w:val="clear" w:color="auto" w:fill="F2F2F2"/>
            <w:vAlign w:val="center"/>
          </w:tcPr>
          <w:p>
            <w:pPr>
              <w:jc w:val="left"/>
            </w:pPr>
            <w:r>
              <w:t>10–15%</w:t>
            </w:r>
          </w:p>
        </w:tc>
      </w:tr>
      <w:tr>
        <w:tc>
          <w:tcPr>
            <w:tcW w:type="dxa" w:w="3168"/>
            <w:shd w:val="clear" w:color="auto" w:fill="FFFFFF"/>
            <w:vAlign w:val="center"/>
          </w:tcPr>
          <w:p>
            <w:pPr>
              <w:jc w:val="left"/>
            </w:pPr>
            <w:r>
              <w:t>Staff &amp; operations</w:t>
            </w:r>
          </w:p>
        </w:tc>
        <w:tc>
          <w:tcPr>
            <w:tcW w:type="dxa" w:w="3744"/>
            <w:shd w:val="clear" w:color="auto" w:fill="FFFFFF"/>
            <w:vAlign w:val="center"/>
          </w:tcPr>
          <w:p>
            <w:pPr>
              <w:jc w:val="left"/>
            </w:pPr>
            <w:r>
              <w:t>Station operators, maintenance technicians, fleet support</w:t>
            </w:r>
          </w:p>
        </w:tc>
        <w:tc>
          <w:tcPr>
            <w:tcW w:type="dxa" w:w="2160"/>
            <w:shd w:val="clear" w:color="auto" w:fill="FFFFFF"/>
            <w:vAlign w:val="center"/>
          </w:tcPr>
          <w:p>
            <w:pPr>
              <w:jc w:val="left"/>
            </w:pPr>
            <w:r>
              <w:t>15–18%</w:t>
            </w:r>
          </w:p>
        </w:tc>
      </w:tr>
      <w:tr>
        <w:tc>
          <w:tcPr>
            <w:tcW w:type="dxa" w:w="3168"/>
            <w:shd w:val="clear" w:color="auto" w:fill="F2F2F2"/>
            <w:vAlign w:val="center"/>
          </w:tcPr>
          <w:p>
            <w:pPr>
              <w:jc w:val="left"/>
            </w:pPr>
            <w:r>
              <w:t>Software &amp; cloud infra</w:t>
            </w:r>
          </w:p>
        </w:tc>
        <w:tc>
          <w:tcPr>
            <w:tcW w:type="dxa" w:w="3744"/>
            <w:shd w:val="clear" w:color="auto" w:fill="F2F2F2"/>
            <w:vAlign w:val="center"/>
          </w:tcPr>
          <w:p>
            <w:pPr>
              <w:jc w:val="left"/>
            </w:pPr>
            <w:r>
              <w:t>IoT platform, mobile app, analytics</w:t>
            </w:r>
          </w:p>
        </w:tc>
        <w:tc>
          <w:tcPr>
            <w:tcW w:type="dxa" w:w="2160"/>
            <w:shd w:val="clear" w:color="auto" w:fill="F2F2F2"/>
            <w:vAlign w:val="center"/>
          </w:tcPr>
          <w:p>
            <w:pPr>
              <w:jc w:val="left"/>
            </w:pPr>
            <w:r>
              <w:t>5–8%</w:t>
            </w:r>
          </w:p>
        </w:tc>
      </w:tr>
      <w:tr>
        <w:tc>
          <w:tcPr>
            <w:tcW w:type="dxa" w:w="3168"/>
            <w:shd w:val="clear" w:color="auto" w:fill="FFFFFF"/>
            <w:vAlign w:val="center"/>
          </w:tcPr>
          <w:p>
            <w:pPr>
              <w:jc w:val="left"/>
            </w:pPr>
            <w:r>
              <w:t>Real estate / rent</w:t>
            </w:r>
          </w:p>
        </w:tc>
        <w:tc>
          <w:tcPr>
            <w:tcW w:type="dxa" w:w="3744"/>
            <w:shd w:val="clear" w:color="auto" w:fill="FFFFFF"/>
            <w:vAlign w:val="center"/>
          </w:tcPr>
          <w:p>
            <w:pPr>
              <w:jc w:val="left"/>
            </w:pPr>
            <w:r>
              <w:t>Urban kiosk space; ₹15,000–₹60,000/station/month</w:t>
            </w:r>
          </w:p>
        </w:tc>
        <w:tc>
          <w:tcPr>
            <w:tcW w:type="dxa" w:w="2160"/>
            <w:shd w:val="clear" w:color="auto" w:fill="FFFFFF"/>
            <w:vAlign w:val="center"/>
          </w:tcPr>
          <w:p>
            <w:pPr>
              <w:jc w:val="left"/>
            </w:pPr>
            <w:r>
              <w:t>10–12%</w:t>
            </w:r>
          </w:p>
        </w:tc>
      </w:tr>
      <w:tr>
        <w:tc>
          <w:tcPr>
            <w:tcW w:type="dxa" w:w="3168"/>
            <w:shd w:val="clear" w:color="auto" w:fill="F2F2F2"/>
            <w:vAlign w:val="center"/>
          </w:tcPr>
          <w:p>
            <w:pPr>
              <w:jc w:val="left"/>
            </w:pPr>
            <w:r>
              <w:t>Marketing &amp; customer acquisition</w:t>
            </w:r>
          </w:p>
        </w:tc>
        <w:tc>
          <w:tcPr>
            <w:tcW w:type="dxa" w:w="3744"/>
            <w:shd w:val="clear" w:color="auto" w:fill="F2F2F2"/>
            <w:vAlign w:val="center"/>
          </w:tcPr>
          <w:p>
            <w:pPr>
              <w:jc w:val="left"/>
            </w:pPr>
            <w:r>
              <w:t>Digital/fleet sales, loyalty programs</w:t>
            </w:r>
          </w:p>
        </w:tc>
        <w:tc>
          <w:tcPr>
            <w:tcW w:type="dxa" w:w="2160"/>
            <w:shd w:val="clear" w:color="auto" w:fill="F2F2F2"/>
            <w:vAlign w:val="center"/>
          </w:tcPr>
          <w:p>
            <w:pPr>
              <w:jc w:val="left"/>
            </w:pPr>
            <w:r>
              <w:t>3–5%</w:t>
            </w:r>
          </w:p>
        </w:tc>
      </w:tr>
      <w:tr>
        <w:tc>
          <w:tcPr>
            <w:tcW w:type="dxa" w:w="3168"/>
            <w:shd w:val="clear" w:color="auto" w:fill="FFFFFF"/>
            <w:vAlign w:val="center"/>
          </w:tcPr>
          <w:p>
            <w:pPr>
              <w:jc w:val="left"/>
            </w:pPr>
            <w:r>
              <w:t>G&amp;A / corporate overhead</w:t>
            </w:r>
          </w:p>
        </w:tc>
        <w:tc>
          <w:tcPr>
            <w:tcW w:type="dxa" w:w="3744"/>
            <w:shd w:val="clear" w:color="auto" w:fill="FFFFFF"/>
            <w:vAlign w:val="center"/>
          </w:tcPr>
          <w:p>
            <w:pPr>
              <w:jc w:val="left"/>
            </w:pPr>
            <w:r>
              <w:t>Finance, HR, legal</w:t>
            </w:r>
          </w:p>
        </w:tc>
        <w:tc>
          <w:tcPr>
            <w:tcW w:type="dxa" w:w="2160"/>
            <w:shd w:val="clear" w:color="auto" w:fill="FFFFFF"/>
            <w:vAlign w:val="center"/>
          </w:tcPr>
          <w:p>
            <w:pPr>
              <w:jc w:val="left"/>
            </w:pPr>
            <w:r>
              <w:t>4–6%</w:t>
            </w:r>
          </w:p>
        </w:tc>
      </w:tr>
    </w:tbl>
    <w:p>
      <w:pPr>
        <w:pStyle w:val="Heading2"/>
        <w:jc w:val="left"/>
      </w:pPr>
      <w:r>
        <w:t>7.3 CapEx vs. OpEx</w:t>
      </w:r>
    </w:p>
    <w:tbl>
      <w:tblPr>
        <w:tblStyle w:val="TableGrid"/>
        <w:tblW w:type="auto" w:w="0"/>
        <w:jc w:val="center"/>
        <w:tblLook w:firstColumn="1" w:firstRow="1" w:lastColumn="0" w:lastRow="0" w:noHBand="0" w:noVBand="1" w:val="04A0"/>
      </w:tblPr>
      <w:tblGrid>
        <w:gridCol w:w="2928"/>
        <w:gridCol w:w="2928"/>
        <w:gridCol w:w="2928"/>
      </w:tblGrid>
      <w:tr>
        <w:tc>
          <w:tcPr>
            <w:tcW w:type="dxa" w:w="4032"/>
            <w:shd w:val="clear" w:color="auto" w:fill="002B5C"/>
            <w:vAlign w:val="center"/>
          </w:tcPr>
          <w:p>
            <w:pPr>
              <w:jc w:val="center"/>
            </w:pPr>
            <w:r>
              <w:rPr>
                <w:b/>
                <w:color w:val="FFFFFF"/>
              </w:rPr>
              <w:t>Item</w:t>
            </w:r>
          </w:p>
        </w:tc>
        <w:tc>
          <w:tcPr>
            <w:tcW w:type="dxa" w:w="2160"/>
            <w:shd w:val="clear" w:color="auto" w:fill="002B5C"/>
            <w:vAlign w:val="center"/>
          </w:tcPr>
          <w:p>
            <w:pPr>
              <w:jc w:val="center"/>
            </w:pPr>
            <w:r>
              <w:rPr>
                <w:b/>
                <w:color w:val="FFFFFF"/>
              </w:rPr>
              <w:t>CapEx (₹ Lakh)</w:t>
            </w:r>
          </w:p>
        </w:tc>
        <w:tc>
          <w:tcPr>
            <w:tcW w:type="dxa" w:w="3600"/>
            <w:shd w:val="clear" w:color="auto" w:fill="002B5C"/>
            <w:vAlign w:val="center"/>
          </w:tcPr>
          <w:p>
            <w:pPr>
              <w:jc w:val="center"/>
            </w:pPr>
            <w:r>
              <w:rPr>
                <w:b/>
                <w:color w:val="FFFFFF"/>
              </w:rPr>
              <w:t>Notes</w:t>
            </w:r>
          </w:p>
        </w:tc>
      </w:tr>
      <w:tr>
        <w:tc>
          <w:tcPr>
            <w:tcW w:type="dxa" w:w="4032"/>
            <w:shd w:val="clear" w:color="auto" w:fill="F2F2F2"/>
            <w:vAlign w:val="center"/>
          </w:tcPr>
          <w:p>
            <w:pPr>
              <w:jc w:val="left"/>
            </w:pPr>
            <w:r>
              <w:t>Battery packs (20 packs/station)</w:t>
            </w:r>
          </w:p>
        </w:tc>
        <w:tc>
          <w:tcPr>
            <w:tcW w:type="dxa" w:w="2160"/>
            <w:shd w:val="clear" w:color="auto" w:fill="F2F2F2"/>
            <w:vAlign w:val="center"/>
          </w:tcPr>
          <w:p>
            <w:pPr>
              <w:jc w:val="left"/>
            </w:pPr>
            <w:r>
              <w:t>10–15</w:t>
            </w:r>
          </w:p>
        </w:tc>
        <w:tc>
          <w:tcPr>
            <w:tcW w:type="dxa" w:w="3600"/>
            <w:shd w:val="clear" w:color="auto" w:fill="F2F2F2"/>
            <w:vAlign w:val="center"/>
          </w:tcPr>
          <w:p>
            <w:pPr>
              <w:jc w:val="left"/>
            </w:pPr>
            <w:r>
              <w:t>LFP 2 kWh packs; ₹50,000–75,000 each</w:t>
            </w:r>
          </w:p>
        </w:tc>
      </w:tr>
      <w:tr>
        <w:tc>
          <w:tcPr>
            <w:tcW w:type="dxa" w:w="4032"/>
            <w:shd w:val="clear" w:color="auto" w:fill="FFFFFF"/>
            <w:vAlign w:val="center"/>
          </w:tcPr>
          <w:p>
            <w:pPr>
              <w:jc w:val="left"/>
            </w:pPr>
            <w:r>
              <w:t>Station cabinet + EVSE hardware</w:t>
            </w:r>
          </w:p>
        </w:tc>
        <w:tc>
          <w:tcPr>
            <w:tcW w:type="dxa" w:w="2160"/>
            <w:shd w:val="clear" w:color="auto" w:fill="FFFFFF"/>
            <w:vAlign w:val="center"/>
          </w:tcPr>
          <w:p>
            <w:pPr>
              <w:jc w:val="left"/>
            </w:pPr>
            <w:r>
              <w:t>4–6</w:t>
            </w:r>
          </w:p>
        </w:tc>
        <w:tc>
          <w:tcPr>
            <w:tcW w:type="dxa" w:w="3600"/>
            <w:shd w:val="clear" w:color="auto" w:fill="FFFFFF"/>
            <w:vAlign w:val="center"/>
          </w:tcPr>
          <w:p>
            <w:pPr>
              <w:jc w:val="left"/>
            </w:pPr>
            <w:r>
              <w:t>Custom fabricated or OEM supply</w:t>
            </w:r>
          </w:p>
        </w:tc>
      </w:tr>
      <w:tr>
        <w:tc>
          <w:tcPr>
            <w:tcW w:type="dxa" w:w="4032"/>
            <w:shd w:val="clear" w:color="auto" w:fill="F2F2F2"/>
            <w:vAlign w:val="center"/>
          </w:tcPr>
          <w:p>
            <w:pPr>
              <w:jc w:val="left"/>
            </w:pPr>
            <w:r>
              <w:t>Software + IoT integration</w:t>
            </w:r>
          </w:p>
        </w:tc>
        <w:tc>
          <w:tcPr>
            <w:tcW w:type="dxa" w:w="2160"/>
            <w:shd w:val="clear" w:color="auto" w:fill="F2F2F2"/>
            <w:vAlign w:val="center"/>
          </w:tcPr>
          <w:p>
            <w:pPr>
              <w:jc w:val="left"/>
            </w:pPr>
            <w:r>
              <w:t>2–3</w:t>
            </w:r>
          </w:p>
        </w:tc>
        <w:tc>
          <w:tcPr>
            <w:tcW w:type="dxa" w:w="3600"/>
            <w:shd w:val="clear" w:color="auto" w:fill="F2F2F2"/>
            <w:vAlign w:val="center"/>
          </w:tcPr>
          <w:p>
            <w:pPr>
              <w:jc w:val="left"/>
            </w:pPr>
            <w:r>
              <w:t>One-time setup + first-year licence</w:t>
            </w:r>
          </w:p>
        </w:tc>
      </w:tr>
      <w:tr>
        <w:tc>
          <w:tcPr>
            <w:tcW w:type="dxa" w:w="4032"/>
            <w:shd w:val="clear" w:color="auto" w:fill="FFFFFF"/>
            <w:vAlign w:val="center"/>
          </w:tcPr>
          <w:p>
            <w:pPr>
              <w:jc w:val="left"/>
            </w:pPr>
            <w:r>
              <w:t>Civil work + power connection</w:t>
            </w:r>
          </w:p>
        </w:tc>
        <w:tc>
          <w:tcPr>
            <w:tcW w:type="dxa" w:w="2160"/>
            <w:shd w:val="clear" w:color="auto" w:fill="FFFFFF"/>
            <w:vAlign w:val="center"/>
          </w:tcPr>
          <w:p>
            <w:pPr>
              <w:jc w:val="left"/>
            </w:pPr>
            <w:r>
              <w:t>2–4</w:t>
            </w:r>
          </w:p>
        </w:tc>
        <w:tc>
          <w:tcPr>
            <w:tcW w:type="dxa" w:w="3600"/>
            <w:shd w:val="clear" w:color="auto" w:fill="FFFFFF"/>
            <w:vAlign w:val="center"/>
          </w:tcPr>
          <w:p>
            <w:pPr>
              <w:jc w:val="left"/>
            </w:pPr>
            <w:r>
              <w:t>Depends on location; varies by state</w:t>
            </w:r>
          </w:p>
        </w:tc>
      </w:tr>
      <w:tr>
        <w:tc>
          <w:tcPr>
            <w:tcW w:type="dxa" w:w="4032"/>
            <w:shd w:val="clear" w:color="auto" w:fill="F2F2F2"/>
            <w:vAlign w:val="center"/>
          </w:tcPr>
          <w:p>
            <w:pPr>
              <w:jc w:val="left"/>
            </w:pPr>
            <w:r>
              <w:t>Solar panel + MPPT (optional)</w:t>
            </w:r>
          </w:p>
        </w:tc>
        <w:tc>
          <w:tcPr>
            <w:tcW w:type="dxa" w:w="2160"/>
            <w:shd w:val="clear" w:color="auto" w:fill="F2F2F2"/>
            <w:vAlign w:val="center"/>
          </w:tcPr>
          <w:p>
            <w:pPr>
              <w:jc w:val="left"/>
            </w:pPr>
            <w:r>
              <w:t>2–3</w:t>
            </w:r>
          </w:p>
        </w:tc>
        <w:tc>
          <w:tcPr>
            <w:tcW w:type="dxa" w:w="3600"/>
            <w:shd w:val="clear" w:color="auto" w:fill="F2F2F2"/>
            <w:vAlign w:val="center"/>
          </w:tcPr>
          <w:p>
            <w:pPr>
              <w:jc w:val="left"/>
            </w:pPr>
            <w:r>
              <w:t>1–2 kWp rooftop</w:t>
            </w:r>
          </w:p>
        </w:tc>
      </w:tr>
      <w:tr>
        <w:tc>
          <w:tcPr>
            <w:tcW w:type="dxa" w:w="4032"/>
            <w:shd w:val="clear" w:color="auto" w:fill="FFFFFF"/>
            <w:vAlign w:val="center"/>
          </w:tcPr>
          <w:p>
            <w:pPr>
              <w:jc w:val="left"/>
            </w:pPr>
            <w:r>
              <w:t>Total per station (Est.)</w:t>
            </w:r>
          </w:p>
        </w:tc>
        <w:tc>
          <w:tcPr>
            <w:tcW w:type="dxa" w:w="2160"/>
            <w:shd w:val="clear" w:color="auto" w:fill="FFFFFF"/>
            <w:vAlign w:val="center"/>
          </w:tcPr>
          <w:p>
            <w:pPr>
              <w:jc w:val="left"/>
            </w:pPr>
            <w:r>
              <w:t>20–31</w:t>
            </w:r>
          </w:p>
        </w:tc>
        <w:tc>
          <w:tcPr>
            <w:tcW w:type="dxa" w:w="3600"/>
            <w:shd w:val="clear" w:color="auto" w:fill="FFFFFF"/>
            <w:vAlign w:val="center"/>
          </w:tcPr>
          <w:p>
            <w:pPr>
              <w:jc w:val="left"/>
            </w:pPr>
            <w:r>
              <w:t>Average ₹25 Lakh per station</w:t>
            </w:r>
          </w:p>
        </w:tc>
      </w:tr>
    </w:tbl>
    <w:p>
      <w:pPr>
        <w:pStyle w:val="Heading2"/>
        <w:jc w:val="left"/>
      </w:pPr>
      <w:r>
        <w:t>7.4 ROI Assumptions &amp; Break-Even</w:t>
      </w:r>
    </w:p>
    <w:p>
      <w:pPr>
        <w:jc w:val="both"/>
      </w:pPr>
      <w:r>
        <w:rPr>
          <w:rFonts w:ascii="Calibri" w:hAnsi="Calibri"/>
          <w:b w:val="0"/>
          <w:i w:val="0"/>
        </w:rPr>
        <w:t>Assumptions (per station, 100 swaps/day at ₹120/swap average):</w:t>
      </w:r>
    </w:p>
    <w:p>
      <w:pPr>
        <w:pStyle w:val="ListBullet"/>
        <w:ind w:left="360"/>
      </w:pPr>
      <w:r>
        <w:t>Daily gross revenue: ₹12,000</w:t>
      </w:r>
    </w:p>
    <w:p>
      <w:pPr>
        <w:pStyle w:val="ListBullet"/>
        <w:ind w:left="360"/>
      </w:pPr>
      <w:r>
        <w:t>Monthly gross revenue: ₹3,60,000</w:t>
      </w:r>
    </w:p>
    <w:p>
      <w:pPr>
        <w:pStyle w:val="ListBullet"/>
        <w:ind w:left="360"/>
      </w:pPr>
      <w:r>
        <w:t>Operating cost: ₹1,80,000–₹2,10,000/month (energy + staff + depreciation + rent)</w:t>
      </w:r>
    </w:p>
    <w:p>
      <w:pPr>
        <w:pStyle w:val="ListBullet"/>
        <w:ind w:left="360"/>
      </w:pPr>
      <w:r>
        <w:t>Monthly EBITDA: ₹1,50,000–₹1,80,000 (42–50% EBITDA margin at maturity)</w:t>
      </w:r>
    </w:p>
    <w:p>
      <w:pPr>
        <w:pStyle w:val="ListBullet"/>
        <w:ind w:left="360"/>
      </w:pPr>
      <w:r>
        <w:t>Station CapEx: ₹25 Lakh (avg.)</w:t>
      </w:r>
    </w:p>
    <w:p>
      <w:pPr>
        <w:pStyle w:val="ListBullet"/>
        <w:ind w:left="360"/>
      </w:pPr>
      <w:r>
        <w:t>Simple payback period: 14–17 months at steady-state utilisation</w:t>
      </w:r>
    </w:p>
    <w:p>
      <w:pPr>
        <w:pStyle w:val="ListBullet"/>
        <w:ind w:left="360"/>
      </w:pPr>
      <w:r>
        <w:t>Network-level break-even (fixed overheads + tech + G&amp;A): 35–50 stations in operation</w:t>
      </w:r>
    </w:p>
    <w:p>
      <w:r>
        <w:br w:type="page"/>
      </w:r>
    </w:p>
    <w:p>
      <w:pPr>
        <w:pStyle w:val="Heading1"/>
        <w:jc w:val="left"/>
      </w:pPr>
      <w:r>
        <w:t>8. MVP Strategy</w:t>
      </w:r>
    </w:p>
    <w:p>
      <w:pPr>
        <w:pStyle w:val="Heading2"/>
        <w:jc w:val="left"/>
      </w:pPr>
      <w:r>
        <w:t>8.1 Fleet-First Approach</w:t>
      </w:r>
    </w:p>
    <w:p>
      <w:pPr>
        <w:jc w:val="both"/>
      </w:pPr>
      <w:r>
        <w:rPr>
          <w:rFonts w:ascii="Calibri" w:hAnsi="Calibri"/>
          <w:b w:val="0"/>
          <w:i w:val="0"/>
        </w:rPr>
        <w:t>Rather than consumer-first rollout (which requires broad geographic coverage), the MVP targets 2–4 delivery fleet operators in a single metro (e.g., Bengaluru or Delhi-NCR) with a committed minimum daily swap volume. This de-risks revenue from day one, reduces marketing spend, and provides structured, high-frequency feedback for product iteration.</w:t>
      </w:r>
    </w:p>
    <w:p>
      <w:pPr>
        <w:pStyle w:val="Heading2"/>
        <w:jc w:val="left"/>
      </w:pPr>
      <w:r>
        <w:t>8.2 Deployment Plan (3 Phases)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28"/>
            <w:shd w:val="clear" w:color="auto" w:fill="002B5C"/>
            <w:vAlign w:val="center"/>
          </w:tcPr>
          <w:p>
            <w:pPr>
              <w:jc w:val="center"/>
            </w:pPr>
            <w:r>
              <w:rPr>
                <w:b/>
                <w:color w:val="FFFFFF"/>
              </w:rPr>
              <w:t>Phase</w:t>
            </w:r>
          </w:p>
        </w:tc>
        <w:tc>
          <w:tcPr>
            <w:tcW w:type="dxa" w:w="1728"/>
            <w:shd w:val="clear" w:color="auto" w:fill="002B5C"/>
            <w:vAlign w:val="center"/>
          </w:tcPr>
          <w:p>
            <w:pPr>
              <w:jc w:val="center"/>
            </w:pPr>
            <w:r>
              <w:rPr>
                <w:b/>
                <w:color w:val="FFFFFF"/>
              </w:rPr>
              <w:t>Timeline</w:t>
            </w:r>
          </w:p>
        </w:tc>
        <w:tc>
          <w:tcPr>
            <w:tcW w:type="dxa" w:w="1152"/>
            <w:shd w:val="clear" w:color="auto" w:fill="002B5C"/>
            <w:vAlign w:val="center"/>
          </w:tcPr>
          <w:p>
            <w:pPr>
              <w:jc w:val="center"/>
            </w:pPr>
            <w:r>
              <w:rPr>
                <w:b/>
                <w:color w:val="FFFFFF"/>
              </w:rPr>
              <w:t>Stations</w:t>
            </w:r>
          </w:p>
        </w:tc>
        <w:tc>
          <w:tcPr>
            <w:tcW w:type="dxa" w:w="4032"/>
            <w:shd w:val="clear" w:color="auto" w:fill="002B5C"/>
            <w:vAlign w:val="center"/>
          </w:tcPr>
          <w:p>
            <w:pPr>
              <w:jc w:val="center"/>
            </w:pPr>
            <w:r>
              <w:rPr>
                <w:b/>
                <w:color w:val="FFFFFF"/>
              </w:rPr>
              <w:t>Focus</w:t>
            </w:r>
          </w:p>
        </w:tc>
        <w:tc>
          <w:tcPr>
            <w:tcW w:type="dxa" w:w="1872"/>
            <w:shd w:val="clear" w:color="auto" w:fill="002B5C"/>
            <w:vAlign w:val="center"/>
          </w:tcPr>
          <w:p>
            <w:pPr>
              <w:jc w:val="center"/>
            </w:pPr>
            <w:r>
              <w:rPr>
                <w:b/>
                <w:color w:val="FFFFFF"/>
              </w:rPr>
              <w:t>Target Swaps/Day</w:t>
            </w:r>
          </w:p>
        </w:tc>
      </w:tr>
      <w:tr>
        <w:tc>
          <w:tcPr>
            <w:tcW w:type="dxa" w:w="1728"/>
            <w:shd w:val="clear" w:color="auto" w:fill="F2F2F2"/>
            <w:vAlign w:val="center"/>
          </w:tcPr>
          <w:p>
            <w:pPr>
              <w:jc w:val="left"/>
            </w:pPr>
            <w:r>
              <w:t>Phase 0: Pilot</w:t>
            </w:r>
          </w:p>
        </w:tc>
        <w:tc>
          <w:tcPr>
            <w:tcW w:type="dxa" w:w="1728"/>
            <w:shd w:val="clear" w:color="auto" w:fill="F2F2F2"/>
            <w:vAlign w:val="center"/>
          </w:tcPr>
          <w:p>
            <w:pPr>
              <w:jc w:val="left"/>
            </w:pPr>
            <w:r>
              <w:t>Month 1–3</w:t>
            </w:r>
          </w:p>
        </w:tc>
        <w:tc>
          <w:tcPr>
            <w:tcW w:type="dxa" w:w="1152"/>
            <w:shd w:val="clear" w:color="auto" w:fill="F2F2F2"/>
            <w:vAlign w:val="center"/>
          </w:tcPr>
          <w:p>
            <w:pPr>
              <w:jc w:val="left"/>
            </w:pPr>
            <w:r>
              <w:t>3</w:t>
            </w:r>
          </w:p>
        </w:tc>
        <w:tc>
          <w:tcPr>
            <w:tcW w:type="dxa" w:w="4032"/>
            <w:shd w:val="clear" w:color="auto" w:fill="F2F2F2"/>
            <w:vAlign w:val="center"/>
          </w:tcPr>
          <w:p>
            <w:pPr>
              <w:jc w:val="left"/>
            </w:pPr>
            <w:r>
              <w:t>Single fleet partner; manual ops; data collection</w:t>
            </w:r>
          </w:p>
        </w:tc>
        <w:tc>
          <w:tcPr>
            <w:tcW w:type="dxa" w:w="1872"/>
            <w:shd w:val="clear" w:color="auto" w:fill="F2F2F2"/>
            <w:vAlign w:val="center"/>
          </w:tcPr>
          <w:p>
            <w:pPr>
              <w:jc w:val="left"/>
            </w:pPr>
            <w:r>
              <w:t>50–80/station</w:t>
            </w:r>
          </w:p>
        </w:tc>
      </w:tr>
      <w:tr>
        <w:tc>
          <w:tcPr>
            <w:tcW w:type="dxa" w:w="1728"/>
            <w:shd w:val="clear" w:color="auto" w:fill="FFFFFF"/>
            <w:vAlign w:val="center"/>
          </w:tcPr>
          <w:p>
            <w:pPr>
              <w:jc w:val="left"/>
            </w:pPr>
            <w:r>
              <w:t>Phase 1: Seed</w:t>
            </w:r>
          </w:p>
        </w:tc>
        <w:tc>
          <w:tcPr>
            <w:tcW w:type="dxa" w:w="1728"/>
            <w:shd w:val="clear" w:color="auto" w:fill="FFFFFF"/>
            <w:vAlign w:val="center"/>
          </w:tcPr>
          <w:p>
            <w:pPr>
              <w:jc w:val="left"/>
            </w:pPr>
            <w:r>
              <w:t>Month 4–9</w:t>
            </w:r>
          </w:p>
        </w:tc>
        <w:tc>
          <w:tcPr>
            <w:tcW w:type="dxa" w:w="1152"/>
            <w:shd w:val="clear" w:color="auto" w:fill="FFFFFF"/>
            <w:vAlign w:val="center"/>
          </w:tcPr>
          <w:p>
            <w:pPr>
              <w:jc w:val="left"/>
            </w:pPr>
            <w:r>
              <w:t>15</w:t>
            </w:r>
          </w:p>
        </w:tc>
        <w:tc>
          <w:tcPr>
            <w:tcW w:type="dxa" w:w="4032"/>
            <w:shd w:val="clear" w:color="auto" w:fill="FFFFFF"/>
            <w:vAlign w:val="center"/>
          </w:tcPr>
          <w:p>
            <w:pPr>
              <w:jc w:val="left"/>
            </w:pPr>
            <w:r>
              <w:t>2–3 fleet partners; app launch; automated billing</w:t>
            </w:r>
          </w:p>
        </w:tc>
        <w:tc>
          <w:tcPr>
            <w:tcW w:type="dxa" w:w="1872"/>
            <w:shd w:val="clear" w:color="auto" w:fill="FFFFFF"/>
            <w:vAlign w:val="center"/>
          </w:tcPr>
          <w:p>
            <w:pPr>
              <w:jc w:val="left"/>
            </w:pPr>
            <w:r>
              <w:t>80–100/station</w:t>
            </w:r>
          </w:p>
        </w:tc>
      </w:tr>
      <w:tr>
        <w:tc>
          <w:tcPr>
            <w:tcW w:type="dxa" w:w="1728"/>
            <w:shd w:val="clear" w:color="auto" w:fill="F2F2F2"/>
            <w:vAlign w:val="center"/>
          </w:tcPr>
          <w:p>
            <w:pPr>
              <w:jc w:val="left"/>
            </w:pPr>
            <w:r>
              <w:t>Phase 2: Scale</w:t>
            </w:r>
          </w:p>
        </w:tc>
        <w:tc>
          <w:tcPr>
            <w:tcW w:type="dxa" w:w="1728"/>
            <w:shd w:val="clear" w:color="auto" w:fill="F2F2F2"/>
            <w:vAlign w:val="center"/>
          </w:tcPr>
          <w:p>
            <w:pPr>
              <w:jc w:val="left"/>
            </w:pPr>
            <w:r>
              <w:t>Month 10–18</w:t>
            </w:r>
          </w:p>
        </w:tc>
        <w:tc>
          <w:tcPr>
            <w:tcW w:type="dxa" w:w="1152"/>
            <w:shd w:val="clear" w:color="auto" w:fill="F2F2F2"/>
            <w:vAlign w:val="center"/>
          </w:tcPr>
          <w:p>
            <w:pPr>
              <w:jc w:val="left"/>
            </w:pPr>
            <w:r>
              <w:t>50</w:t>
            </w:r>
          </w:p>
        </w:tc>
        <w:tc>
          <w:tcPr>
            <w:tcW w:type="dxa" w:w="4032"/>
            <w:shd w:val="clear" w:color="auto" w:fill="F2F2F2"/>
            <w:vAlign w:val="center"/>
          </w:tcPr>
          <w:p>
            <w:pPr>
              <w:jc w:val="left"/>
            </w:pPr>
            <w:r>
              <w:t>Multi-city; B2C riders; solar integration at select</w:t>
            </w:r>
          </w:p>
        </w:tc>
        <w:tc>
          <w:tcPr>
            <w:tcW w:type="dxa" w:w="1872"/>
            <w:shd w:val="clear" w:color="auto" w:fill="F2F2F2"/>
            <w:vAlign w:val="center"/>
          </w:tcPr>
          <w:p>
            <w:pPr>
              <w:jc w:val="left"/>
            </w:pPr>
            <w:r>
              <w:t>100–120/station</w:t>
            </w:r>
          </w:p>
        </w:tc>
      </w:tr>
      <w:tr>
        <w:tc>
          <w:tcPr>
            <w:tcW w:type="dxa" w:w="1728"/>
            <w:shd w:val="clear" w:color="auto" w:fill="FFFFFF"/>
            <w:vAlign w:val="center"/>
          </w:tcPr>
          <w:p>
            <w:pPr>
              <w:jc w:val="left"/>
            </w:pPr>
            <w:r>
              <w:t>Phase 3: Expand</w:t>
            </w:r>
          </w:p>
        </w:tc>
        <w:tc>
          <w:tcPr>
            <w:tcW w:type="dxa" w:w="1728"/>
            <w:shd w:val="clear" w:color="auto" w:fill="FFFFFF"/>
            <w:vAlign w:val="center"/>
          </w:tcPr>
          <w:p>
            <w:pPr>
              <w:jc w:val="left"/>
            </w:pPr>
            <w:r>
              <w:t>Month 19–36</w:t>
            </w:r>
          </w:p>
        </w:tc>
        <w:tc>
          <w:tcPr>
            <w:tcW w:type="dxa" w:w="1152"/>
            <w:shd w:val="clear" w:color="auto" w:fill="FFFFFF"/>
            <w:vAlign w:val="center"/>
          </w:tcPr>
          <w:p>
            <w:pPr>
              <w:jc w:val="left"/>
            </w:pPr>
            <w:r>
              <w:t>100+</w:t>
            </w:r>
          </w:p>
        </w:tc>
        <w:tc>
          <w:tcPr>
            <w:tcW w:type="dxa" w:w="4032"/>
            <w:shd w:val="clear" w:color="auto" w:fill="FFFFFF"/>
            <w:vAlign w:val="center"/>
          </w:tcPr>
          <w:p>
            <w:pPr>
              <w:jc w:val="left"/>
            </w:pPr>
            <w:r>
              <w:t>Franchise model; BaaS; grid-services pilot</w:t>
            </w:r>
          </w:p>
        </w:tc>
        <w:tc>
          <w:tcPr>
            <w:tcW w:type="dxa" w:w="1872"/>
            <w:shd w:val="clear" w:color="auto" w:fill="FFFFFF"/>
            <w:vAlign w:val="center"/>
          </w:tcPr>
          <w:p>
            <w:pPr>
              <w:jc w:val="left"/>
            </w:pPr>
            <w:r>
              <w:t>120–150/station</w:t>
            </w:r>
          </w:p>
        </w:tc>
      </w:tr>
    </w:tbl>
    <w:p>
      <w:pPr>
        <w:pStyle w:val="Heading2"/>
        <w:jc w:val="left"/>
      </w:pPr>
      <w:r>
        <w:t>8.3 Location Logic</w:t>
      </w:r>
    </w:p>
    <w:p>
      <w:pPr>
        <w:pStyle w:val="ListBullet"/>
        <w:ind w:left="360"/>
      </w:pPr>
      <w:r>
        <w:t>Proximity to fleet depots and delivery hub clusters (&lt; 3 km radius).</w:t>
      </w:r>
    </w:p>
    <w:p>
      <w:pPr>
        <w:pStyle w:val="ListBullet"/>
        <w:ind w:left="360"/>
      </w:pPr>
      <w:r>
        <w:t>High-traffic commercial corridors (market areas, industrial estates).</w:t>
      </w:r>
    </w:p>
    <w:p>
      <w:pPr>
        <w:pStyle w:val="ListBullet"/>
        <w:ind w:left="360"/>
      </w:pPr>
      <w:r>
        <w:t>Petrol station tie-ups or fuel retail forecourts (ready power, footfall, land).</w:t>
      </w:r>
    </w:p>
    <w:p>
      <w:pPr>
        <w:pStyle w:val="ListBullet"/>
        <w:ind w:left="360"/>
      </w:pPr>
      <w:r>
        <w:t>Dense residential areas with limited home charging infrastructure.</w:t>
      </w:r>
    </w:p>
    <w:p>
      <w:pPr>
        <w:pStyle w:val="ListBullet"/>
        <w:ind w:left="360"/>
      </w:pPr>
      <w:r>
        <w:t>Prioritise locations with 3-phase commercial power connection and &lt; 200m from grid substation.</w:t>
      </w:r>
    </w:p>
    <w:p>
      <w:pPr>
        <w:pStyle w:val="Heading2"/>
        <w:jc w:val="left"/>
      </w:pPr>
      <w:r>
        <w:t>8.4 Phase 0 Initial CapEx (3 Stations)</w:t>
      </w:r>
    </w:p>
    <w:tbl>
      <w:tblPr>
        <w:tblStyle w:val="TableGrid"/>
        <w:tblW w:type="auto" w:w="0"/>
        <w:jc w:val="center"/>
        <w:tblLook w:firstColumn="1" w:firstRow="1" w:lastColumn="0" w:lastRow="0" w:noHBand="0" w:noVBand="1" w:val="04A0"/>
      </w:tblPr>
      <w:tblGrid>
        <w:gridCol w:w="4392"/>
        <w:gridCol w:w="4392"/>
      </w:tblGrid>
      <w:tr>
        <w:tc>
          <w:tcPr>
            <w:tcW w:type="dxa" w:w="5040"/>
            <w:shd w:val="clear" w:color="auto" w:fill="002B5C"/>
            <w:vAlign w:val="center"/>
          </w:tcPr>
          <w:p>
            <w:pPr>
              <w:jc w:val="center"/>
            </w:pPr>
            <w:r>
              <w:rPr>
                <w:b/>
                <w:color w:val="FFFFFF"/>
              </w:rPr>
              <w:t>Item</w:t>
            </w:r>
          </w:p>
        </w:tc>
        <w:tc>
          <w:tcPr>
            <w:tcW w:type="dxa" w:w="2880"/>
            <w:shd w:val="clear" w:color="auto" w:fill="002B5C"/>
            <w:vAlign w:val="center"/>
          </w:tcPr>
          <w:p>
            <w:pPr>
              <w:jc w:val="center"/>
            </w:pPr>
            <w:r>
              <w:rPr>
                <w:b/>
                <w:color w:val="FFFFFF"/>
              </w:rPr>
              <w:t>Amount (₹ Lakh)</w:t>
            </w:r>
          </w:p>
        </w:tc>
      </w:tr>
      <w:tr>
        <w:tc>
          <w:tcPr>
            <w:tcW w:type="dxa" w:w="5040"/>
            <w:shd w:val="clear" w:color="auto" w:fill="F2F2F2"/>
            <w:vAlign w:val="center"/>
          </w:tcPr>
          <w:p>
            <w:pPr>
              <w:jc w:val="left"/>
            </w:pPr>
            <w:r>
              <w:t>Battery inventory (3 × 20 packs)</w:t>
            </w:r>
          </w:p>
        </w:tc>
        <w:tc>
          <w:tcPr>
            <w:tcW w:type="dxa" w:w="2880"/>
            <w:shd w:val="clear" w:color="auto" w:fill="F2F2F2"/>
            <w:vAlign w:val="center"/>
          </w:tcPr>
          <w:p>
            <w:pPr>
              <w:jc w:val="left"/>
            </w:pPr>
            <w:r>
              <w:t>30–45</w:t>
            </w:r>
          </w:p>
        </w:tc>
      </w:tr>
      <w:tr>
        <w:tc>
          <w:tcPr>
            <w:tcW w:type="dxa" w:w="5040"/>
            <w:shd w:val="clear" w:color="auto" w:fill="FFFFFF"/>
            <w:vAlign w:val="center"/>
          </w:tcPr>
          <w:p>
            <w:pPr>
              <w:jc w:val="left"/>
            </w:pPr>
            <w:r>
              <w:t>Station hardware × 3</w:t>
            </w:r>
          </w:p>
        </w:tc>
        <w:tc>
          <w:tcPr>
            <w:tcW w:type="dxa" w:w="2880"/>
            <w:shd w:val="clear" w:color="auto" w:fill="FFFFFF"/>
            <w:vAlign w:val="center"/>
          </w:tcPr>
          <w:p>
            <w:pPr>
              <w:jc w:val="left"/>
            </w:pPr>
            <w:r>
              <w:t>12–18</w:t>
            </w:r>
          </w:p>
        </w:tc>
      </w:tr>
      <w:tr>
        <w:tc>
          <w:tcPr>
            <w:tcW w:type="dxa" w:w="5040"/>
            <w:shd w:val="clear" w:color="auto" w:fill="F2F2F2"/>
            <w:vAlign w:val="center"/>
          </w:tcPr>
          <w:p>
            <w:pPr>
              <w:jc w:val="left"/>
            </w:pPr>
            <w:r>
              <w:t>Software setup (once-off)</w:t>
            </w:r>
          </w:p>
        </w:tc>
        <w:tc>
          <w:tcPr>
            <w:tcW w:type="dxa" w:w="2880"/>
            <w:shd w:val="clear" w:color="auto" w:fill="F2F2F2"/>
            <w:vAlign w:val="center"/>
          </w:tcPr>
          <w:p>
            <w:pPr>
              <w:jc w:val="left"/>
            </w:pPr>
            <w:r>
              <w:t>3–5</w:t>
            </w:r>
          </w:p>
        </w:tc>
      </w:tr>
      <w:tr>
        <w:tc>
          <w:tcPr>
            <w:tcW w:type="dxa" w:w="5040"/>
            <w:shd w:val="clear" w:color="auto" w:fill="FFFFFF"/>
            <w:vAlign w:val="center"/>
          </w:tcPr>
          <w:p>
            <w:pPr>
              <w:jc w:val="left"/>
            </w:pPr>
            <w:r>
              <w:t>Civil + power connections × 3</w:t>
            </w:r>
          </w:p>
        </w:tc>
        <w:tc>
          <w:tcPr>
            <w:tcW w:type="dxa" w:w="2880"/>
            <w:shd w:val="clear" w:color="auto" w:fill="FFFFFF"/>
            <w:vAlign w:val="center"/>
          </w:tcPr>
          <w:p>
            <w:pPr>
              <w:jc w:val="left"/>
            </w:pPr>
            <w:r>
              <w:t>6–12</w:t>
            </w:r>
          </w:p>
        </w:tc>
      </w:tr>
      <w:tr>
        <w:tc>
          <w:tcPr>
            <w:tcW w:type="dxa" w:w="5040"/>
            <w:shd w:val="clear" w:color="auto" w:fill="F2F2F2"/>
            <w:vAlign w:val="center"/>
          </w:tcPr>
          <w:p>
            <w:pPr>
              <w:jc w:val="left"/>
            </w:pPr>
            <w:r>
              <w:t>Working capital (3 months ops)</w:t>
            </w:r>
          </w:p>
        </w:tc>
        <w:tc>
          <w:tcPr>
            <w:tcW w:type="dxa" w:w="2880"/>
            <w:shd w:val="clear" w:color="auto" w:fill="F2F2F2"/>
            <w:vAlign w:val="center"/>
          </w:tcPr>
          <w:p>
            <w:pPr>
              <w:jc w:val="left"/>
            </w:pPr>
            <w:r>
              <w:t>15–20</w:t>
            </w:r>
          </w:p>
        </w:tc>
      </w:tr>
      <w:tr>
        <w:tc>
          <w:tcPr>
            <w:tcW w:type="dxa" w:w="5040"/>
            <w:shd w:val="clear" w:color="auto" w:fill="FFFFFF"/>
            <w:vAlign w:val="center"/>
          </w:tcPr>
          <w:p>
            <w:pPr>
              <w:jc w:val="left"/>
            </w:pPr>
            <w:r>
              <w:t>Total Seed CapEx</w:t>
            </w:r>
          </w:p>
        </w:tc>
        <w:tc>
          <w:tcPr>
            <w:tcW w:type="dxa" w:w="2880"/>
            <w:shd w:val="clear" w:color="auto" w:fill="FFFFFF"/>
            <w:vAlign w:val="center"/>
          </w:tcPr>
          <w:p>
            <w:pPr>
              <w:jc w:val="left"/>
            </w:pPr>
            <w:r>
              <w:t>₹66–100 Lakh</w:t>
            </w:r>
          </w:p>
        </w:tc>
      </w:tr>
    </w:tbl>
    <w:p>
      <w:r>
        <w:br w:type="page"/>
      </w:r>
    </w:p>
    <w:p>
      <w:pPr>
        <w:pStyle w:val="Heading1"/>
        <w:jc w:val="left"/>
      </w:pPr>
      <w:r>
        <w:t>9. Financial Projections</w:t>
      </w:r>
    </w:p>
    <w:p>
      <w:pPr>
        <w:pStyle w:val="Heading2"/>
        <w:jc w:val="left"/>
      </w:pPr>
      <w:r>
        <w:t>9.1 Key Assumptions</w:t>
      </w:r>
    </w:p>
    <w:tbl>
      <w:tblPr>
        <w:tblStyle w:val="TableGrid"/>
        <w:tblW w:type="auto" w:w="0"/>
        <w:jc w:val="center"/>
        <w:tblLook w:firstColumn="1" w:firstRow="1" w:lastColumn="0" w:lastRow="0" w:noHBand="0" w:noVBand="1" w:val="04A0"/>
      </w:tblPr>
      <w:tblGrid>
        <w:gridCol w:w="4392"/>
        <w:gridCol w:w="4392"/>
      </w:tblGrid>
      <w:tr>
        <w:tc>
          <w:tcPr>
            <w:tcW w:type="dxa" w:w="3600"/>
            <w:shd w:val="clear" w:color="auto" w:fill="002B5C"/>
            <w:vAlign w:val="center"/>
          </w:tcPr>
          <w:p>
            <w:pPr>
              <w:jc w:val="center"/>
            </w:pPr>
            <w:r>
              <w:rPr>
                <w:b/>
                <w:color w:val="FFFFFF"/>
              </w:rPr>
              <w:t>Parameter</w:t>
            </w:r>
          </w:p>
        </w:tc>
        <w:tc>
          <w:tcPr>
            <w:tcW w:type="dxa" w:w="6192"/>
            <w:shd w:val="clear" w:color="auto" w:fill="002B5C"/>
            <w:vAlign w:val="center"/>
          </w:tcPr>
          <w:p>
            <w:pPr>
              <w:jc w:val="center"/>
            </w:pPr>
            <w:r>
              <w:rPr>
                <w:b/>
                <w:color w:val="FFFFFF"/>
              </w:rPr>
              <w:t>Value / Assumption</w:t>
            </w:r>
          </w:p>
        </w:tc>
      </w:tr>
      <w:tr>
        <w:tc>
          <w:tcPr>
            <w:tcW w:type="dxa" w:w="3600"/>
            <w:shd w:val="clear" w:color="auto" w:fill="F2F2F2"/>
            <w:vAlign w:val="center"/>
          </w:tcPr>
          <w:p>
            <w:pPr>
              <w:jc w:val="left"/>
            </w:pPr>
            <w:r>
              <w:t>Avg. swap price</w:t>
            </w:r>
          </w:p>
        </w:tc>
        <w:tc>
          <w:tcPr>
            <w:tcW w:type="dxa" w:w="6192"/>
            <w:shd w:val="clear" w:color="auto" w:fill="F2F2F2"/>
            <w:vAlign w:val="center"/>
          </w:tcPr>
          <w:p>
            <w:pPr>
              <w:jc w:val="left"/>
            </w:pPr>
            <w:r>
              <w:t>₹120 per swap</w:t>
            </w:r>
          </w:p>
        </w:tc>
      </w:tr>
      <w:tr>
        <w:tc>
          <w:tcPr>
            <w:tcW w:type="dxa" w:w="3600"/>
            <w:shd w:val="clear" w:color="auto" w:fill="FFFFFF"/>
            <w:vAlign w:val="center"/>
          </w:tcPr>
          <w:p>
            <w:pPr>
              <w:jc w:val="left"/>
            </w:pPr>
            <w:r>
              <w:t>Swaps per station per day</w:t>
            </w:r>
          </w:p>
        </w:tc>
        <w:tc>
          <w:tcPr>
            <w:tcW w:type="dxa" w:w="6192"/>
            <w:shd w:val="clear" w:color="auto" w:fill="FFFFFF"/>
            <w:vAlign w:val="center"/>
          </w:tcPr>
          <w:p>
            <w:pPr>
              <w:jc w:val="left"/>
            </w:pPr>
            <w:r>
              <w:t>100 swaps</w:t>
            </w:r>
          </w:p>
        </w:tc>
      </w:tr>
      <w:tr>
        <w:tc>
          <w:tcPr>
            <w:tcW w:type="dxa" w:w="3600"/>
            <w:shd w:val="clear" w:color="auto" w:fill="F2F2F2"/>
            <w:vAlign w:val="center"/>
          </w:tcPr>
          <w:p>
            <w:pPr>
              <w:jc w:val="left"/>
            </w:pPr>
            <w:r>
              <w:t>Energy cost per swap</w:t>
            </w:r>
          </w:p>
        </w:tc>
        <w:tc>
          <w:tcPr>
            <w:tcW w:type="dxa" w:w="6192"/>
            <w:shd w:val="clear" w:color="auto" w:fill="F2F2F2"/>
            <w:vAlign w:val="center"/>
          </w:tcPr>
          <w:p>
            <w:pPr>
              <w:jc w:val="left"/>
            </w:pPr>
            <w:r>
              <w:t>₹38 (≈0.5 kWh * ₹7.5/kWh + line losses)</w:t>
            </w:r>
          </w:p>
        </w:tc>
      </w:tr>
      <w:tr>
        <w:tc>
          <w:tcPr>
            <w:tcW w:type="dxa" w:w="3600"/>
            <w:shd w:val="clear" w:color="auto" w:fill="FFFFFF"/>
            <w:vAlign w:val="center"/>
          </w:tcPr>
          <w:p>
            <w:pPr>
              <w:jc w:val="left"/>
            </w:pPr>
            <w:r>
              <w:t>Staff cost per station/mo</w:t>
            </w:r>
          </w:p>
        </w:tc>
        <w:tc>
          <w:tcPr>
            <w:tcW w:type="dxa" w:w="6192"/>
            <w:shd w:val="clear" w:color="auto" w:fill="FFFFFF"/>
            <w:vAlign w:val="center"/>
          </w:tcPr>
          <w:p>
            <w:pPr>
              <w:jc w:val="left"/>
            </w:pPr>
            <w:r>
              <w:t>₹25,000 (1 operator shared across 2 stations)</w:t>
            </w:r>
          </w:p>
        </w:tc>
      </w:tr>
      <w:tr>
        <w:tc>
          <w:tcPr>
            <w:tcW w:type="dxa" w:w="3600"/>
            <w:shd w:val="clear" w:color="auto" w:fill="F2F2F2"/>
            <w:vAlign w:val="center"/>
          </w:tcPr>
          <w:p>
            <w:pPr>
              <w:jc w:val="left"/>
            </w:pPr>
            <w:r>
              <w:t>Rent per station/mo</w:t>
            </w:r>
          </w:p>
        </w:tc>
        <w:tc>
          <w:tcPr>
            <w:tcW w:type="dxa" w:w="6192"/>
            <w:shd w:val="clear" w:color="auto" w:fill="F2F2F2"/>
            <w:vAlign w:val="center"/>
          </w:tcPr>
          <w:p>
            <w:pPr>
              <w:jc w:val="left"/>
            </w:pPr>
            <w:r>
              <w:t>₹25,000</w:t>
            </w:r>
          </w:p>
        </w:tc>
      </w:tr>
      <w:tr>
        <w:tc>
          <w:tcPr>
            <w:tcW w:type="dxa" w:w="3600"/>
            <w:shd w:val="clear" w:color="auto" w:fill="FFFFFF"/>
            <w:vAlign w:val="center"/>
          </w:tcPr>
          <w:p>
            <w:pPr>
              <w:jc w:val="left"/>
            </w:pPr>
            <w:r>
              <w:t>Hardware depreciation/mo</w:t>
            </w:r>
          </w:p>
        </w:tc>
        <w:tc>
          <w:tcPr>
            <w:tcW w:type="dxa" w:w="6192"/>
            <w:shd w:val="clear" w:color="auto" w:fill="FFFFFF"/>
            <w:vAlign w:val="center"/>
          </w:tcPr>
          <w:p>
            <w:pPr>
              <w:jc w:val="left"/>
            </w:pPr>
            <w:r>
              <w:t>₹23,000 (₹25L over 9 years = ₹120 Lakhs total, 3% of station cost p.a.)</w:t>
            </w:r>
          </w:p>
        </w:tc>
      </w:tr>
      <w:tr>
        <w:tc>
          <w:tcPr>
            <w:tcW w:type="dxa" w:w="3600"/>
            <w:shd w:val="clear" w:color="auto" w:fill="F2F2F2"/>
            <w:vAlign w:val="center"/>
          </w:tcPr>
          <w:p>
            <w:pPr>
              <w:jc w:val="left"/>
            </w:pPr>
            <w:r>
              <w:t>Ramp-up (Year 1 avg.)</w:t>
            </w:r>
          </w:p>
        </w:tc>
        <w:tc>
          <w:tcPr>
            <w:tcW w:type="dxa" w:w="6192"/>
            <w:shd w:val="clear" w:color="auto" w:fill="F2F2F2"/>
            <w:vAlign w:val="center"/>
          </w:tcPr>
          <w:p>
            <w:pPr>
              <w:jc w:val="left"/>
            </w:pPr>
            <w:r>
              <w:t>65% utilisation (65 swaps/day for first 6 months)</w:t>
            </w:r>
          </w:p>
        </w:tc>
      </w:tr>
      <w:tr>
        <w:tc>
          <w:tcPr>
            <w:tcW w:type="dxa" w:w="3600"/>
            <w:shd w:val="clear" w:color="auto" w:fill="FFFFFF"/>
            <w:vAlign w:val="center"/>
          </w:tcPr>
          <w:p>
            <w:pPr>
              <w:jc w:val="left"/>
            </w:pPr>
            <w:r>
              <w:t>Station count ramp</w:t>
            </w:r>
          </w:p>
        </w:tc>
        <w:tc>
          <w:tcPr>
            <w:tcW w:type="dxa" w:w="6192"/>
            <w:shd w:val="clear" w:color="auto" w:fill="FFFFFF"/>
            <w:vAlign w:val="center"/>
          </w:tcPr>
          <w:p>
            <w:pPr>
              <w:jc w:val="left"/>
            </w:pPr>
            <w:r>
              <w:t>Year 1: 15 | Year 2: 50 | Year 3: 100</w:t>
            </w:r>
          </w:p>
        </w:tc>
      </w:tr>
    </w:tbl>
    <w:p>
      <w:pPr>
        <w:pStyle w:val="Heading2"/>
        <w:jc w:val="left"/>
      </w:pPr>
      <w:r>
        <w:t>9.2 Revenue Model – Per Station</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880"/>
            <w:shd w:val="clear" w:color="auto" w:fill="002B5C"/>
            <w:vAlign w:val="center"/>
          </w:tcPr>
          <w:p>
            <w:pPr>
              <w:jc w:val="center"/>
            </w:pPr>
            <w:r>
              <w:rPr>
                <w:b/>
                <w:color w:val="FFFFFF"/>
              </w:rPr>
              <w:t>Metric</w:t>
            </w:r>
          </w:p>
        </w:tc>
        <w:tc>
          <w:tcPr>
            <w:tcW w:type="dxa" w:w="2160"/>
            <w:shd w:val="clear" w:color="auto" w:fill="002B5C"/>
            <w:vAlign w:val="center"/>
          </w:tcPr>
          <w:p>
            <w:pPr>
              <w:jc w:val="center"/>
            </w:pPr>
            <w:r>
              <w:rPr>
                <w:b/>
                <w:color w:val="FFFFFF"/>
              </w:rPr>
              <w:t>Daily</w:t>
            </w:r>
          </w:p>
        </w:tc>
        <w:tc>
          <w:tcPr>
            <w:tcW w:type="dxa" w:w="2592"/>
            <w:shd w:val="clear" w:color="auto" w:fill="002B5C"/>
            <w:vAlign w:val="center"/>
          </w:tcPr>
          <w:p>
            <w:pPr>
              <w:jc w:val="center"/>
            </w:pPr>
            <w:r>
              <w:rPr>
                <w:b/>
                <w:color w:val="FFFFFF"/>
              </w:rPr>
              <w:t>Monthly</w:t>
            </w:r>
          </w:p>
        </w:tc>
        <w:tc>
          <w:tcPr>
            <w:tcW w:type="dxa" w:w="2592"/>
            <w:shd w:val="clear" w:color="auto" w:fill="002B5C"/>
            <w:vAlign w:val="center"/>
          </w:tcPr>
          <w:p>
            <w:pPr>
              <w:jc w:val="center"/>
            </w:pPr>
            <w:r>
              <w:rPr>
                <w:b/>
                <w:color w:val="FFFFFF"/>
              </w:rPr>
              <w:t>Annual</w:t>
            </w:r>
          </w:p>
        </w:tc>
      </w:tr>
      <w:tr>
        <w:tc>
          <w:tcPr>
            <w:tcW w:type="dxa" w:w="2880"/>
            <w:shd w:val="clear" w:color="auto" w:fill="F2F2F2"/>
            <w:vAlign w:val="center"/>
          </w:tcPr>
          <w:p>
            <w:pPr>
              <w:jc w:val="left"/>
            </w:pPr>
            <w:r>
              <w:t>Gross Revenue</w:t>
            </w:r>
          </w:p>
        </w:tc>
        <w:tc>
          <w:tcPr>
            <w:tcW w:type="dxa" w:w="2160"/>
            <w:shd w:val="clear" w:color="auto" w:fill="F2F2F2"/>
            <w:vAlign w:val="center"/>
          </w:tcPr>
          <w:p>
            <w:pPr>
              <w:jc w:val="left"/>
            </w:pPr>
            <w:r>
              <w:t>₹12,000</w:t>
            </w:r>
          </w:p>
        </w:tc>
        <w:tc>
          <w:tcPr>
            <w:tcW w:type="dxa" w:w="2592"/>
            <w:shd w:val="clear" w:color="auto" w:fill="F2F2F2"/>
            <w:vAlign w:val="center"/>
          </w:tcPr>
          <w:p>
            <w:pPr>
              <w:jc w:val="left"/>
            </w:pPr>
            <w:r>
              <w:t>₹3,60,000</w:t>
            </w:r>
          </w:p>
        </w:tc>
        <w:tc>
          <w:tcPr>
            <w:tcW w:type="dxa" w:w="2592"/>
            <w:shd w:val="clear" w:color="auto" w:fill="F2F2F2"/>
            <w:vAlign w:val="center"/>
          </w:tcPr>
          <w:p>
            <w:pPr>
              <w:jc w:val="left"/>
            </w:pPr>
            <w:r>
              <w:t>₹43,20,000</w:t>
            </w:r>
          </w:p>
        </w:tc>
      </w:tr>
      <w:tr>
        <w:tc>
          <w:tcPr>
            <w:tcW w:type="dxa" w:w="2880"/>
            <w:shd w:val="clear" w:color="auto" w:fill="FFFFFF"/>
            <w:vAlign w:val="center"/>
          </w:tcPr>
          <w:p>
            <w:pPr>
              <w:jc w:val="left"/>
            </w:pPr>
            <w:r>
              <w:t>Energy Cost (38/swap)</w:t>
            </w:r>
          </w:p>
        </w:tc>
        <w:tc>
          <w:tcPr>
            <w:tcW w:type="dxa" w:w="2160"/>
            <w:shd w:val="clear" w:color="auto" w:fill="FFFFFF"/>
            <w:vAlign w:val="center"/>
          </w:tcPr>
          <w:p>
            <w:pPr>
              <w:jc w:val="left"/>
            </w:pPr>
            <w:r>
              <w:t>₹3,800</w:t>
            </w:r>
          </w:p>
        </w:tc>
        <w:tc>
          <w:tcPr>
            <w:tcW w:type="dxa" w:w="2592"/>
            <w:shd w:val="clear" w:color="auto" w:fill="FFFFFF"/>
            <w:vAlign w:val="center"/>
          </w:tcPr>
          <w:p>
            <w:pPr>
              <w:jc w:val="left"/>
            </w:pPr>
            <w:r>
              <w:t>₹1,14,000</w:t>
            </w:r>
          </w:p>
        </w:tc>
        <w:tc>
          <w:tcPr>
            <w:tcW w:type="dxa" w:w="2592"/>
            <w:shd w:val="clear" w:color="auto" w:fill="FFFFFF"/>
            <w:vAlign w:val="center"/>
          </w:tcPr>
          <w:p>
            <w:pPr>
              <w:jc w:val="left"/>
            </w:pPr>
            <w:r>
              <w:t>₹13,68,000</w:t>
            </w:r>
          </w:p>
        </w:tc>
      </w:tr>
      <w:tr>
        <w:tc>
          <w:tcPr>
            <w:tcW w:type="dxa" w:w="2880"/>
            <w:shd w:val="clear" w:color="auto" w:fill="F2F2F2"/>
            <w:vAlign w:val="center"/>
          </w:tcPr>
          <w:p>
            <w:pPr>
              <w:jc w:val="left"/>
            </w:pPr>
            <w:r>
              <w:t>Staff + Overheads</w:t>
            </w:r>
          </w:p>
        </w:tc>
        <w:tc>
          <w:tcPr>
            <w:tcW w:type="dxa" w:w="2160"/>
            <w:shd w:val="clear" w:color="auto" w:fill="F2F2F2"/>
            <w:vAlign w:val="center"/>
          </w:tcPr>
          <w:p>
            <w:pPr>
              <w:jc w:val="left"/>
            </w:pPr>
            <w:r>
              <w:t>₹1,600</w:t>
            </w:r>
          </w:p>
        </w:tc>
        <w:tc>
          <w:tcPr>
            <w:tcW w:type="dxa" w:w="2592"/>
            <w:shd w:val="clear" w:color="auto" w:fill="F2F2F2"/>
            <w:vAlign w:val="center"/>
          </w:tcPr>
          <w:p>
            <w:pPr>
              <w:jc w:val="left"/>
            </w:pPr>
            <w:r>
              <w:t>₹48,000</w:t>
            </w:r>
          </w:p>
        </w:tc>
        <w:tc>
          <w:tcPr>
            <w:tcW w:type="dxa" w:w="2592"/>
            <w:shd w:val="clear" w:color="auto" w:fill="F2F2F2"/>
            <w:vAlign w:val="center"/>
          </w:tcPr>
          <w:p>
            <w:pPr>
              <w:jc w:val="left"/>
            </w:pPr>
            <w:r>
              <w:t>₹5,76,000</w:t>
            </w:r>
          </w:p>
        </w:tc>
      </w:tr>
      <w:tr>
        <w:tc>
          <w:tcPr>
            <w:tcW w:type="dxa" w:w="2880"/>
            <w:shd w:val="clear" w:color="auto" w:fill="FFFFFF"/>
            <w:vAlign w:val="center"/>
          </w:tcPr>
          <w:p>
            <w:pPr>
              <w:jc w:val="left"/>
            </w:pPr>
            <w:r>
              <w:t>Rent</w:t>
            </w:r>
          </w:p>
        </w:tc>
        <w:tc>
          <w:tcPr>
            <w:tcW w:type="dxa" w:w="2160"/>
            <w:shd w:val="clear" w:color="auto" w:fill="FFFFFF"/>
            <w:vAlign w:val="center"/>
          </w:tcPr>
          <w:p>
            <w:pPr>
              <w:jc w:val="left"/>
            </w:pPr>
            <w:r>
              <w:t>₹833</w:t>
            </w:r>
          </w:p>
        </w:tc>
        <w:tc>
          <w:tcPr>
            <w:tcW w:type="dxa" w:w="2592"/>
            <w:shd w:val="clear" w:color="auto" w:fill="FFFFFF"/>
            <w:vAlign w:val="center"/>
          </w:tcPr>
          <w:p>
            <w:pPr>
              <w:jc w:val="left"/>
            </w:pPr>
            <w:r>
              <w:t>₹25,000</w:t>
            </w:r>
          </w:p>
        </w:tc>
        <w:tc>
          <w:tcPr>
            <w:tcW w:type="dxa" w:w="2592"/>
            <w:shd w:val="clear" w:color="auto" w:fill="FFFFFF"/>
            <w:vAlign w:val="center"/>
          </w:tcPr>
          <w:p>
            <w:pPr>
              <w:jc w:val="left"/>
            </w:pPr>
            <w:r>
              <w:t>₹3,00,000</w:t>
            </w:r>
          </w:p>
        </w:tc>
      </w:tr>
      <w:tr>
        <w:tc>
          <w:tcPr>
            <w:tcW w:type="dxa" w:w="2880"/>
            <w:shd w:val="clear" w:color="auto" w:fill="F2F2F2"/>
            <w:vAlign w:val="center"/>
          </w:tcPr>
          <w:p>
            <w:pPr>
              <w:jc w:val="left"/>
            </w:pPr>
            <w:r>
              <w:t>Depreciation (hw+bat)</w:t>
            </w:r>
          </w:p>
        </w:tc>
        <w:tc>
          <w:tcPr>
            <w:tcW w:type="dxa" w:w="2160"/>
            <w:shd w:val="clear" w:color="auto" w:fill="F2F2F2"/>
            <w:vAlign w:val="center"/>
          </w:tcPr>
          <w:p>
            <w:pPr>
              <w:jc w:val="left"/>
            </w:pPr>
            <w:r>
              <w:t>₹1,500</w:t>
            </w:r>
          </w:p>
        </w:tc>
        <w:tc>
          <w:tcPr>
            <w:tcW w:type="dxa" w:w="2592"/>
            <w:shd w:val="clear" w:color="auto" w:fill="F2F2F2"/>
            <w:vAlign w:val="center"/>
          </w:tcPr>
          <w:p>
            <w:pPr>
              <w:jc w:val="left"/>
            </w:pPr>
            <w:r>
              <w:t>₹45,000</w:t>
            </w:r>
          </w:p>
        </w:tc>
        <w:tc>
          <w:tcPr>
            <w:tcW w:type="dxa" w:w="2592"/>
            <w:shd w:val="clear" w:color="auto" w:fill="F2F2F2"/>
            <w:vAlign w:val="center"/>
          </w:tcPr>
          <w:p>
            <w:pPr>
              <w:jc w:val="left"/>
            </w:pPr>
            <w:r>
              <w:t>₹5,40,000</w:t>
            </w:r>
          </w:p>
        </w:tc>
      </w:tr>
      <w:tr>
        <w:tc>
          <w:tcPr>
            <w:tcW w:type="dxa" w:w="2880"/>
            <w:shd w:val="clear" w:color="auto" w:fill="FFFFFF"/>
            <w:vAlign w:val="center"/>
          </w:tcPr>
          <w:p>
            <w:pPr>
              <w:jc w:val="left"/>
            </w:pPr>
            <w:r>
              <w:t>EBITDA</w:t>
            </w:r>
          </w:p>
        </w:tc>
        <w:tc>
          <w:tcPr>
            <w:tcW w:type="dxa" w:w="2160"/>
            <w:shd w:val="clear" w:color="auto" w:fill="FFFFFF"/>
            <w:vAlign w:val="center"/>
          </w:tcPr>
          <w:p>
            <w:pPr>
              <w:jc w:val="left"/>
            </w:pPr>
            <w:r>
              <w:t>₹4,267</w:t>
            </w:r>
          </w:p>
        </w:tc>
        <w:tc>
          <w:tcPr>
            <w:tcW w:type="dxa" w:w="2592"/>
            <w:shd w:val="clear" w:color="auto" w:fill="FFFFFF"/>
            <w:vAlign w:val="center"/>
          </w:tcPr>
          <w:p>
            <w:pPr>
              <w:jc w:val="left"/>
            </w:pPr>
            <w:r>
              <w:t>₹1,28,000</w:t>
            </w:r>
          </w:p>
        </w:tc>
        <w:tc>
          <w:tcPr>
            <w:tcW w:type="dxa" w:w="2592"/>
            <w:shd w:val="clear" w:color="auto" w:fill="FFFFFF"/>
            <w:vAlign w:val="center"/>
          </w:tcPr>
          <w:p>
            <w:pPr>
              <w:jc w:val="left"/>
            </w:pPr>
            <w:r>
              <w:t>₹15,36,000</w:t>
            </w:r>
          </w:p>
        </w:tc>
      </w:tr>
      <w:tr>
        <w:tc>
          <w:tcPr>
            <w:tcW w:type="dxa" w:w="2880"/>
            <w:shd w:val="clear" w:color="auto" w:fill="F2F2F2"/>
            <w:vAlign w:val="center"/>
          </w:tcPr>
          <w:p>
            <w:pPr>
              <w:jc w:val="left"/>
            </w:pPr>
            <w:r>
              <w:t>EBITDA Margin</w:t>
            </w:r>
          </w:p>
        </w:tc>
        <w:tc>
          <w:tcPr>
            <w:tcW w:type="dxa" w:w="2160"/>
            <w:shd w:val="clear" w:color="auto" w:fill="F2F2F2"/>
            <w:vAlign w:val="center"/>
          </w:tcPr>
          <w:p>
            <w:pPr>
              <w:jc w:val="left"/>
            </w:pPr>
            <w:r>
              <w:t>35.6%</w:t>
            </w:r>
          </w:p>
        </w:tc>
        <w:tc>
          <w:tcPr>
            <w:tcW w:type="dxa" w:w="2592"/>
            <w:shd w:val="clear" w:color="auto" w:fill="F2F2F2"/>
            <w:vAlign w:val="center"/>
          </w:tcPr>
          <w:p>
            <w:pPr>
              <w:jc w:val="left"/>
            </w:pPr>
            <w:r>
              <w:t>35.6%</w:t>
            </w:r>
          </w:p>
        </w:tc>
        <w:tc>
          <w:tcPr>
            <w:tcW w:type="dxa" w:w="2592"/>
            <w:shd w:val="clear" w:color="auto" w:fill="F2F2F2"/>
            <w:vAlign w:val="center"/>
          </w:tcPr>
          <w:p>
            <w:pPr>
              <w:jc w:val="left"/>
            </w:pPr>
            <w:r>
              <w:t>35.6%</w:t>
            </w:r>
          </w:p>
        </w:tc>
      </w:tr>
    </w:tbl>
    <w:p>
      <w:pPr>
        <w:pStyle w:val="Heading2"/>
        <w:jc w:val="left"/>
      </w:pPr>
      <w:r>
        <w:t>9.3 Network-Level Projections (100 Stations Target)</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152"/>
            <w:shd w:val="clear" w:color="auto" w:fill="002B5C"/>
            <w:vAlign w:val="center"/>
          </w:tcPr>
          <w:p>
            <w:pPr>
              <w:jc w:val="center"/>
            </w:pPr>
            <w:r>
              <w:rPr>
                <w:b/>
                <w:color w:val="FFFFFF"/>
              </w:rPr>
              <w:t>Year</w:t>
            </w:r>
          </w:p>
        </w:tc>
        <w:tc>
          <w:tcPr>
            <w:tcW w:type="dxa" w:w="1872"/>
            <w:shd w:val="clear" w:color="auto" w:fill="002B5C"/>
            <w:vAlign w:val="center"/>
          </w:tcPr>
          <w:p>
            <w:pPr>
              <w:jc w:val="center"/>
            </w:pPr>
            <w:r>
              <w:rPr>
                <w:b/>
                <w:color w:val="FFFFFF"/>
              </w:rPr>
              <w:t>Active Stations</w:t>
            </w:r>
          </w:p>
        </w:tc>
        <w:tc>
          <w:tcPr>
            <w:tcW w:type="dxa" w:w="2304"/>
            <w:shd w:val="clear" w:color="auto" w:fill="002B5C"/>
            <w:vAlign w:val="center"/>
          </w:tcPr>
          <w:p>
            <w:pPr>
              <w:jc w:val="center"/>
            </w:pPr>
            <w:r>
              <w:rPr>
                <w:b/>
                <w:color w:val="FFFFFF"/>
              </w:rPr>
              <w:t>Avg. Swaps/Stn/Day</w:t>
            </w:r>
          </w:p>
        </w:tc>
        <w:tc>
          <w:tcPr>
            <w:tcW w:type="dxa" w:w="2160"/>
            <w:shd w:val="clear" w:color="auto" w:fill="002B5C"/>
            <w:vAlign w:val="center"/>
          </w:tcPr>
          <w:p>
            <w:pPr>
              <w:jc w:val="center"/>
            </w:pPr>
            <w:r>
              <w:rPr>
                <w:b/>
                <w:color w:val="FFFFFF"/>
              </w:rPr>
              <w:t>Annual Revenue</w:t>
            </w:r>
          </w:p>
        </w:tc>
        <w:tc>
          <w:tcPr>
            <w:tcW w:type="dxa" w:w="1872"/>
            <w:shd w:val="clear" w:color="auto" w:fill="002B5C"/>
            <w:vAlign w:val="center"/>
          </w:tcPr>
          <w:p>
            <w:pPr>
              <w:jc w:val="center"/>
            </w:pPr>
            <w:r>
              <w:rPr>
                <w:b/>
                <w:color w:val="FFFFFF"/>
              </w:rPr>
              <w:t>EBITDA</w:t>
            </w:r>
          </w:p>
        </w:tc>
        <w:tc>
          <w:tcPr>
            <w:tcW w:type="dxa" w:w="2592"/>
            <w:shd w:val="clear" w:color="auto" w:fill="002B5C"/>
            <w:vAlign w:val="center"/>
          </w:tcPr>
          <w:p>
            <w:pPr>
              <w:jc w:val="center"/>
            </w:pPr>
            <w:r>
              <w:rPr>
                <w:b/>
                <w:color w:val="FFFFFF"/>
              </w:rPr>
              <w:t>Net CapEx Deployed</w:t>
            </w:r>
          </w:p>
        </w:tc>
      </w:tr>
      <w:tr>
        <w:tc>
          <w:tcPr>
            <w:tcW w:type="dxa" w:w="1152"/>
            <w:shd w:val="clear" w:color="auto" w:fill="F2F2F2"/>
            <w:vAlign w:val="center"/>
          </w:tcPr>
          <w:p>
            <w:pPr>
              <w:jc w:val="left"/>
            </w:pPr>
            <w:r>
              <w:t>Year 1</w:t>
            </w:r>
          </w:p>
        </w:tc>
        <w:tc>
          <w:tcPr>
            <w:tcW w:type="dxa" w:w="1872"/>
            <w:shd w:val="clear" w:color="auto" w:fill="F2F2F2"/>
            <w:vAlign w:val="center"/>
          </w:tcPr>
          <w:p>
            <w:pPr>
              <w:jc w:val="left"/>
            </w:pPr>
            <w:r>
              <w:t>15</w:t>
            </w:r>
          </w:p>
        </w:tc>
        <w:tc>
          <w:tcPr>
            <w:tcW w:type="dxa" w:w="2304"/>
            <w:shd w:val="clear" w:color="auto" w:fill="F2F2F2"/>
            <w:vAlign w:val="center"/>
          </w:tcPr>
          <w:p>
            <w:pPr>
              <w:jc w:val="left"/>
            </w:pPr>
            <w:r>
              <w:t>65</w:t>
            </w:r>
          </w:p>
        </w:tc>
        <w:tc>
          <w:tcPr>
            <w:tcW w:type="dxa" w:w="2160"/>
            <w:shd w:val="clear" w:color="auto" w:fill="F2F2F2"/>
            <w:vAlign w:val="center"/>
          </w:tcPr>
          <w:p>
            <w:pPr>
              <w:jc w:val="left"/>
            </w:pPr>
            <w:r>
              <w:t>₹3.8 Cr</w:t>
            </w:r>
          </w:p>
        </w:tc>
        <w:tc>
          <w:tcPr>
            <w:tcW w:type="dxa" w:w="1872"/>
            <w:shd w:val="clear" w:color="auto" w:fill="F2F2F2"/>
            <w:vAlign w:val="center"/>
          </w:tcPr>
          <w:p>
            <w:pPr>
              <w:jc w:val="left"/>
            </w:pPr>
            <w:r>
              <w:t>₹1.3 Cr</w:t>
            </w:r>
          </w:p>
        </w:tc>
        <w:tc>
          <w:tcPr>
            <w:tcW w:type="dxa" w:w="2592"/>
            <w:shd w:val="clear" w:color="auto" w:fill="F2F2F2"/>
            <w:vAlign w:val="center"/>
          </w:tcPr>
          <w:p>
            <w:pPr>
              <w:jc w:val="left"/>
            </w:pPr>
            <w:r>
              <w:t>₹3.75 Cr</w:t>
            </w:r>
          </w:p>
        </w:tc>
      </w:tr>
      <w:tr>
        <w:tc>
          <w:tcPr>
            <w:tcW w:type="dxa" w:w="1152"/>
            <w:shd w:val="clear" w:color="auto" w:fill="FFFFFF"/>
            <w:vAlign w:val="center"/>
          </w:tcPr>
          <w:p>
            <w:pPr>
              <w:jc w:val="left"/>
            </w:pPr>
            <w:r>
              <w:t>Year 2</w:t>
            </w:r>
          </w:p>
        </w:tc>
        <w:tc>
          <w:tcPr>
            <w:tcW w:type="dxa" w:w="1872"/>
            <w:shd w:val="clear" w:color="auto" w:fill="FFFFFF"/>
            <w:vAlign w:val="center"/>
          </w:tcPr>
          <w:p>
            <w:pPr>
              <w:jc w:val="left"/>
            </w:pPr>
            <w:r>
              <w:t>50</w:t>
            </w:r>
          </w:p>
        </w:tc>
        <w:tc>
          <w:tcPr>
            <w:tcW w:type="dxa" w:w="2304"/>
            <w:shd w:val="clear" w:color="auto" w:fill="FFFFFF"/>
            <w:vAlign w:val="center"/>
          </w:tcPr>
          <w:p>
            <w:pPr>
              <w:jc w:val="left"/>
            </w:pPr>
            <w:r>
              <w:t>90</w:t>
            </w:r>
          </w:p>
        </w:tc>
        <w:tc>
          <w:tcPr>
            <w:tcW w:type="dxa" w:w="2160"/>
            <w:shd w:val="clear" w:color="auto" w:fill="FFFFFF"/>
            <w:vAlign w:val="center"/>
          </w:tcPr>
          <w:p>
            <w:pPr>
              <w:jc w:val="left"/>
            </w:pPr>
            <w:r>
              <w:t>₹19.7 Cr</w:t>
            </w:r>
          </w:p>
        </w:tc>
        <w:tc>
          <w:tcPr>
            <w:tcW w:type="dxa" w:w="1872"/>
            <w:shd w:val="clear" w:color="auto" w:fill="FFFFFF"/>
            <w:vAlign w:val="center"/>
          </w:tcPr>
          <w:p>
            <w:pPr>
              <w:jc w:val="left"/>
            </w:pPr>
            <w:r>
              <w:t>₹7.0 Cr</w:t>
            </w:r>
          </w:p>
        </w:tc>
        <w:tc>
          <w:tcPr>
            <w:tcW w:type="dxa" w:w="2592"/>
            <w:shd w:val="clear" w:color="auto" w:fill="FFFFFF"/>
            <w:vAlign w:val="center"/>
          </w:tcPr>
          <w:p>
            <w:pPr>
              <w:jc w:val="left"/>
            </w:pPr>
            <w:r>
              <w:t>₹12.5 Cr cum.</w:t>
            </w:r>
          </w:p>
        </w:tc>
      </w:tr>
      <w:tr>
        <w:tc>
          <w:tcPr>
            <w:tcW w:type="dxa" w:w="1152"/>
            <w:shd w:val="clear" w:color="auto" w:fill="F2F2F2"/>
            <w:vAlign w:val="center"/>
          </w:tcPr>
          <w:p>
            <w:pPr>
              <w:jc w:val="left"/>
            </w:pPr>
            <w:r>
              <w:t>Year 3</w:t>
            </w:r>
          </w:p>
        </w:tc>
        <w:tc>
          <w:tcPr>
            <w:tcW w:type="dxa" w:w="1872"/>
            <w:shd w:val="clear" w:color="auto" w:fill="F2F2F2"/>
            <w:vAlign w:val="center"/>
          </w:tcPr>
          <w:p>
            <w:pPr>
              <w:jc w:val="left"/>
            </w:pPr>
            <w:r>
              <w:t>100</w:t>
            </w:r>
          </w:p>
        </w:tc>
        <w:tc>
          <w:tcPr>
            <w:tcW w:type="dxa" w:w="2304"/>
            <w:shd w:val="clear" w:color="auto" w:fill="F2F2F2"/>
            <w:vAlign w:val="center"/>
          </w:tcPr>
          <w:p>
            <w:pPr>
              <w:jc w:val="left"/>
            </w:pPr>
            <w:r>
              <w:t>100</w:t>
            </w:r>
          </w:p>
        </w:tc>
        <w:tc>
          <w:tcPr>
            <w:tcW w:type="dxa" w:w="2160"/>
            <w:shd w:val="clear" w:color="auto" w:fill="F2F2F2"/>
            <w:vAlign w:val="center"/>
          </w:tcPr>
          <w:p>
            <w:pPr>
              <w:jc w:val="left"/>
            </w:pPr>
            <w:r>
              <w:t>₹43.8 Cr</w:t>
            </w:r>
          </w:p>
        </w:tc>
        <w:tc>
          <w:tcPr>
            <w:tcW w:type="dxa" w:w="1872"/>
            <w:shd w:val="clear" w:color="auto" w:fill="F2F2F2"/>
            <w:vAlign w:val="center"/>
          </w:tcPr>
          <w:p>
            <w:pPr>
              <w:jc w:val="left"/>
            </w:pPr>
            <w:r>
              <w:t>₹15.6 Cr</w:t>
            </w:r>
          </w:p>
        </w:tc>
        <w:tc>
          <w:tcPr>
            <w:tcW w:type="dxa" w:w="2592"/>
            <w:shd w:val="clear" w:color="auto" w:fill="F2F2F2"/>
            <w:vAlign w:val="center"/>
          </w:tcPr>
          <w:p>
            <w:pPr>
              <w:jc w:val="left"/>
            </w:pPr>
            <w:r>
              <w:t>₹25.0 Cr cum.</w:t>
            </w:r>
          </w:p>
        </w:tc>
      </w:tr>
      <w:tr>
        <w:tc>
          <w:tcPr>
            <w:tcW w:type="dxa" w:w="1152"/>
            <w:shd w:val="clear" w:color="auto" w:fill="FFFFFF"/>
            <w:vAlign w:val="center"/>
          </w:tcPr>
          <w:p>
            <w:pPr>
              <w:jc w:val="left"/>
            </w:pPr>
            <w:r>
              <w:t>Year 4</w:t>
            </w:r>
          </w:p>
        </w:tc>
        <w:tc>
          <w:tcPr>
            <w:tcW w:type="dxa" w:w="1872"/>
            <w:shd w:val="clear" w:color="auto" w:fill="FFFFFF"/>
            <w:vAlign w:val="center"/>
          </w:tcPr>
          <w:p>
            <w:pPr>
              <w:jc w:val="left"/>
            </w:pPr>
            <w:r>
              <w:t>150</w:t>
            </w:r>
          </w:p>
        </w:tc>
        <w:tc>
          <w:tcPr>
            <w:tcW w:type="dxa" w:w="2304"/>
            <w:shd w:val="clear" w:color="auto" w:fill="FFFFFF"/>
            <w:vAlign w:val="center"/>
          </w:tcPr>
          <w:p>
            <w:pPr>
              <w:jc w:val="left"/>
            </w:pPr>
            <w:r>
              <w:t>115</w:t>
            </w:r>
          </w:p>
        </w:tc>
        <w:tc>
          <w:tcPr>
            <w:tcW w:type="dxa" w:w="2160"/>
            <w:shd w:val="clear" w:color="auto" w:fill="FFFFFF"/>
            <w:vAlign w:val="center"/>
          </w:tcPr>
          <w:p>
            <w:pPr>
              <w:jc w:val="left"/>
            </w:pPr>
            <w:r>
              <w:t>₹75.3 Cr</w:t>
            </w:r>
          </w:p>
        </w:tc>
        <w:tc>
          <w:tcPr>
            <w:tcW w:type="dxa" w:w="1872"/>
            <w:shd w:val="clear" w:color="auto" w:fill="FFFFFF"/>
            <w:vAlign w:val="center"/>
          </w:tcPr>
          <w:p>
            <w:pPr>
              <w:jc w:val="left"/>
            </w:pPr>
            <w:r>
              <w:t>₹27.1 Cr</w:t>
            </w:r>
          </w:p>
        </w:tc>
        <w:tc>
          <w:tcPr>
            <w:tcW w:type="dxa" w:w="2592"/>
            <w:shd w:val="clear" w:color="auto" w:fill="FFFFFF"/>
            <w:vAlign w:val="center"/>
          </w:tcPr>
          <w:p>
            <w:pPr>
              <w:jc w:val="left"/>
            </w:pPr>
            <w:r>
              <w:t>₹37.5 Cr cum.</w:t>
            </w:r>
          </w:p>
        </w:tc>
      </w:tr>
      <w:tr>
        <w:tc>
          <w:tcPr>
            <w:tcW w:type="dxa" w:w="1152"/>
            <w:shd w:val="clear" w:color="auto" w:fill="F2F2F2"/>
            <w:vAlign w:val="center"/>
          </w:tcPr>
          <w:p>
            <w:pPr>
              <w:jc w:val="left"/>
            </w:pPr>
            <w:r>
              <w:t>Year 5</w:t>
            </w:r>
          </w:p>
        </w:tc>
        <w:tc>
          <w:tcPr>
            <w:tcW w:type="dxa" w:w="1872"/>
            <w:shd w:val="clear" w:color="auto" w:fill="F2F2F2"/>
            <w:vAlign w:val="center"/>
          </w:tcPr>
          <w:p>
            <w:pPr>
              <w:jc w:val="left"/>
            </w:pPr>
            <w:r>
              <w:t>200</w:t>
            </w:r>
          </w:p>
        </w:tc>
        <w:tc>
          <w:tcPr>
            <w:tcW w:type="dxa" w:w="2304"/>
            <w:shd w:val="clear" w:color="auto" w:fill="F2F2F2"/>
            <w:vAlign w:val="center"/>
          </w:tcPr>
          <w:p>
            <w:pPr>
              <w:jc w:val="left"/>
            </w:pPr>
            <w:r>
              <w:t>120</w:t>
            </w:r>
          </w:p>
        </w:tc>
        <w:tc>
          <w:tcPr>
            <w:tcW w:type="dxa" w:w="2160"/>
            <w:shd w:val="clear" w:color="auto" w:fill="F2F2F2"/>
            <w:vAlign w:val="center"/>
          </w:tcPr>
          <w:p>
            <w:pPr>
              <w:jc w:val="left"/>
            </w:pPr>
            <w:r>
              <w:t>₹1.05 Cr</w:t>
            </w:r>
          </w:p>
        </w:tc>
        <w:tc>
          <w:tcPr>
            <w:tcW w:type="dxa" w:w="1872"/>
            <w:shd w:val="clear" w:color="auto" w:fill="F2F2F2"/>
            <w:vAlign w:val="center"/>
          </w:tcPr>
          <w:p>
            <w:pPr>
              <w:jc w:val="left"/>
            </w:pPr>
            <w:r>
              <w:t>₹38.1 Cr</w:t>
            </w:r>
          </w:p>
        </w:tc>
        <w:tc>
          <w:tcPr>
            <w:tcW w:type="dxa" w:w="2592"/>
            <w:shd w:val="clear" w:color="auto" w:fill="F2F2F2"/>
            <w:vAlign w:val="center"/>
          </w:tcPr>
          <w:p>
            <w:pPr>
              <w:jc w:val="left"/>
            </w:pPr>
            <w:r>
              <w:t>₹50.0 Cr cum.</w:t>
            </w:r>
          </w:p>
        </w:tc>
      </w:tr>
    </w:tbl>
    <w:p>
      <w:pPr>
        <w:jc w:val="both"/>
      </w:pPr>
      <w:r>
        <w:rPr>
          <w:rFonts w:ascii="Calibri" w:hAnsi="Calibri"/>
          <w:b w:val="0"/>
          <w:i/>
          <w:sz w:val="18"/>
        </w:rPr>
        <w:t>Note: Year 5 revenue of ~₹105 Cr based on 200 stations × 120 swaps/day × ₹120 × 365 days.</w:t>
      </w:r>
    </w:p>
    <w:p>
      <w:pPr>
        <w:pStyle w:val="Heading2"/>
        <w:jc w:val="left"/>
      </w:pPr>
      <w:r>
        <w:t>9.4 ROI Timeline</w:t>
      </w:r>
    </w:p>
    <w:p>
      <w:pPr>
        <w:jc w:val="both"/>
      </w:pPr>
      <w:r>
        <w:rPr>
          <w:rFonts w:ascii="Calibri" w:hAnsi="Calibri"/>
          <w:b w:val="0"/>
          <w:i w:val="0"/>
        </w:rPr>
        <w:t>At the station level, with ₹25 Lakh CapEx and monthly EBITDA of ₹1.28 Lakh at steady state, simple payback equals approximately 19.5 months. Including ramp-up period (6 months to full utilisation), blended payback is approximately 22–26 months. Network-level IRR is modelled at 28–35% over 5 years.</w:t>
      </w:r>
    </w:p>
    <w:p>
      <w:pPr>
        <w:jc w:val="center"/>
      </w:pPr>
      <w:r>
        <w:rPr>
          <w:b/>
          <w:i/>
          <w:color w:val="888888"/>
          <w:sz w:val="22"/>
        </w:rPr>
        <w:t>[ FIGURE 2: Bar Chart – Annual Revenue Projection (Year 1–5) ]</w:t>
      </w:r>
    </w:p>
    <w:p>
      <w:pPr>
        <w:jc w:val="center"/>
      </w:pPr>
      <w:r>
        <w:rPr>
          <w:b/>
          <w:i/>
          <w:color w:val="888888"/>
          <w:sz w:val="22"/>
        </w:rPr>
        <w:t>[ FIGURE 3: Line Chart – Cumulative Station Count &amp; Cumulative Revenue (Year 1–5) ]</w:t>
      </w:r>
    </w:p>
    <w:p>
      <w:pPr>
        <w:jc w:val="center"/>
      </w:pPr>
      <w:r>
        <w:rPr>
          <w:b/>
          <w:i/>
          <w:color w:val="888888"/>
          <w:sz w:val="22"/>
        </w:rPr>
        <w:t>[ FIGURE 4: Swap Utilisation Ramp – Monthly Average Swaps/Station ]</w:t>
      </w:r>
    </w:p>
    <w:p>
      <w:r>
        <w:br w:type="page"/>
      </w:r>
    </w:p>
    <w:p>
      <w:pPr>
        <w:pStyle w:val="Heading1"/>
        <w:jc w:val="left"/>
      </w:pPr>
      <w:r>
        <w:t>10. Proposed Improved Model</w:t>
      </w:r>
    </w:p>
    <w:p>
      <w:pPr>
        <w:jc w:val="both"/>
      </w:pPr>
      <w:r>
        <w:rPr>
          <w:rFonts w:ascii="Calibri" w:hAnsi="Calibri"/>
          <w:b w:val="0"/>
          <w:i w:val="0"/>
        </w:rPr>
        <w:t>The baseline BSaaS model can be elevated across five dimensions to create a defensible, high-margin, technology-led business:</w:t>
      </w:r>
    </w:p>
    <w:p>
      <w:pPr>
        <w:pStyle w:val="Heading2"/>
        <w:jc w:val="left"/>
      </w:pPr>
      <w:r>
        <w:t>10.1 Modular Battery Standardisation</w:t>
      </w:r>
    </w:p>
    <w:p>
      <w:pPr>
        <w:jc w:val="both"/>
      </w:pPr>
      <w:r>
        <w:rPr>
          <w:rFonts w:ascii="Calibri" w:hAnsi="Calibri"/>
          <w:b w:val="0"/>
          <w:i w:val="0"/>
        </w:rPr>
        <w:t>Adopt BIS IS 17893-aligned modular packs with universal connectors to enable multi-OEM compatibility. Lobby via industry consortia (SMEV, IESA) for mandatory interoperability. Benefit: network effect grows faster; OEM partners lower procurement cost through scale.</w:t>
      </w:r>
    </w:p>
    <w:p>
      <w:pPr>
        <w:pStyle w:val="Heading2"/>
        <w:jc w:val="left"/>
      </w:pPr>
      <w:r>
        <w:t>10.2 AI-Driven Battery Health Management</w:t>
      </w:r>
    </w:p>
    <w:p>
      <w:pPr>
        <w:jc w:val="both"/>
      </w:pPr>
      <w:r>
        <w:rPr>
          <w:rFonts w:ascii="Calibri" w:hAnsi="Calibri"/>
          <w:b w:val="0"/>
          <w:i w:val="0"/>
        </w:rPr>
        <w:t>Deploy ML models trained on BMS telemetry to predict cell degradation 30–60 days in advance. Route deteriorating packs for early B2 reconditioning, extending usable life by 15–20% and reducing battery replacement CapEx by approximately ₹8,000–₹15,000 per pack. SoH scoring shared with riders builds trust.</w:t>
      </w:r>
    </w:p>
    <w:p>
      <w:pPr>
        <w:pStyle w:val="Heading2"/>
        <w:jc w:val="left"/>
      </w:pPr>
      <w:r>
        <w:t>10.3 Solar Microstations</w:t>
      </w:r>
    </w:p>
    <w:p>
      <w:pPr>
        <w:jc w:val="both"/>
      </w:pPr>
      <w:r>
        <w:rPr>
          <w:rFonts w:ascii="Calibri" w:hAnsi="Calibri"/>
          <w:b w:val="0"/>
          <w:i w:val="0"/>
        </w:rPr>
        <w:t>Integrate 2–4 kWp solar panels with 5–10 kWh BESS at each station. This enables: (a) ~30% of charging energy from zero-marginal-cost solar; (b) off-grid resilience during outages; (c) sale of surplus energy back to Discom under Net Metering (where applicable). Reduces energy OpEx by ₹25,000–₹35,000/station/year.</w:t>
      </w:r>
    </w:p>
    <w:p>
      <w:pPr>
        <w:pStyle w:val="Heading2"/>
        <w:jc w:val="left"/>
      </w:pPr>
      <w:r>
        <w:t>10.4 Dynamic / Demand-Responsive Pricing</w:t>
      </w:r>
    </w:p>
    <w:p>
      <w:pPr>
        <w:jc w:val="both"/>
      </w:pPr>
      <w:r>
        <w:rPr>
          <w:rFonts w:ascii="Calibri" w:hAnsi="Calibri"/>
          <w:b w:val="0"/>
          <w:i w:val="0"/>
        </w:rPr>
        <w:t>Implement time-of-day swap pricing (e.g., ₹100 at off-peak hours; ₹140 at peak 8 AM–11 AM) to smooth swap demand curves and maximise station throughput. Fleet subscribers receive guaranteed flat pricing, avoiding peak surcharges as a loyalty incentive.</w:t>
      </w:r>
    </w:p>
    <w:p>
      <w:pPr>
        <w:pStyle w:val="Heading2"/>
        <w:jc w:val="left"/>
      </w:pPr>
      <w:r>
        <w:t>10.5 Fleet Analytics SaaS Platform</w:t>
      </w:r>
    </w:p>
    <w:p>
      <w:pPr>
        <w:jc w:val="both"/>
      </w:pPr>
      <w:r>
        <w:rPr>
          <w:rFonts w:ascii="Calibri" w:hAnsi="Calibri"/>
          <w:b w:val="0"/>
          <w:i w:val="0"/>
        </w:rPr>
        <w:t>Offer fleet managers a dashboard with: per-vehicle energy consumption benchmarking, driver efficiency scoring, predictive maintenance alerts based on battery+motor data, CO2 savings reporting (for ESG compliance), and route optimisation recommendations. Priced at ₹3,000–₹10,000/fleet/month. This sticky SaaS layer creates switching costs and improves customer lifetime value significantly.</w:t>
      </w:r>
    </w:p>
    <w:p>
      <w:r>
        <w:br w:type="page"/>
      </w:r>
    </w:p>
    <w:p>
      <w:pPr>
        <w:pStyle w:val="Heading1"/>
        <w:jc w:val="left"/>
      </w:pPr>
      <w:r>
        <w:t>11. SWOT Analysis</w:t>
      </w:r>
    </w:p>
    <w:tbl>
      <w:tblPr>
        <w:tblStyle w:val="TableGrid"/>
        <w:tblW w:type="auto" w:w="0"/>
        <w:jc w:val="center"/>
        <w:tblLook w:firstColumn="1" w:firstRow="1" w:lastColumn="0" w:lastRow="0" w:noHBand="0" w:noVBand="1" w:val="04A0"/>
      </w:tblPr>
      <w:tblGrid>
        <w:gridCol w:w="4392"/>
        <w:gridCol w:w="4392"/>
      </w:tblGrid>
      <w:tr>
        <w:tc>
          <w:tcPr>
            <w:tcW w:type="dxa" w:w="4320"/>
          </w:tcPr>
          <w:p>
            <w:r>
              <w:rPr>
                <w:b/>
                <w:color w:val="002B5C"/>
                <w:sz w:val="22"/>
              </w:rPr>
              <w:t>STRENGTHS</w:t>
            </w:r>
          </w:p>
          <w:p>
            <w:pPr>
              <w:spacing w:before="80"/>
            </w:pPr>
            <w:r>
              <w:t>• Solves real pain (downtime, range anxiety)</w:t>
              <w:br/>
              <w:t>• Recurring revenue model; predictable cash flows</w:t>
              <w:br/>
              <w:t>• Lower EV entry cost for end user (no battery cost)</w:t>
              <w:br/>
              <w:t>• Grid flexibility (off-peak charging)</w:t>
              <w:br/>
              <w:t>• AI + solar creates cost moat</w:t>
            </w:r>
          </w:p>
        </w:tc>
        <w:tc>
          <w:tcPr>
            <w:tcW w:type="dxa" w:w="4320"/>
          </w:tcPr>
          <w:p>
            <w:r>
              <w:rPr>
                <w:b/>
                <w:color w:val="8B0000"/>
                <w:sz w:val="22"/>
              </w:rPr>
              <w:t>WEAKNESSES</w:t>
            </w:r>
          </w:p>
          <w:p>
            <w:pPr>
              <w:spacing w:before="80"/>
            </w:pPr>
            <w:r>
              <w:t>• High upfront CapEx (battery inventory)</w:t>
              <w:br/>
              <w:t>• Network density needed before full value</w:t>
              <w:br/>
              <w:t>• OEM fragmentation risk</w:t>
              <w:br/>
              <w:t>• Dependency on EV adoption rate</w:t>
              <w:br/>
              <w:t>• Real-estate availability in prime urban zones</w:t>
            </w:r>
          </w:p>
        </w:tc>
      </w:tr>
      <w:tr>
        <w:tc>
          <w:tcPr>
            <w:tcW w:type="dxa" w:w="4320"/>
          </w:tcPr>
          <w:p>
            <w:r>
              <w:rPr>
                <w:b/>
                <w:color w:val="007A3D"/>
                <w:sz w:val="22"/>
              </w:rPr>
              <w:t>OPPORTUNITIES</w:t>
            </w:r>
          </w:p>
          <w:p>
            <w:pPr>
              <w:spacing w:before="80"/>
            </w:pPr>
            <w:r>
              <w:t>• Massive unmet EV infrastructure demand</w:t>
              <w:br/>
              <w:t>• Fleet electrification wave (2025–2030)</w:t>
              <w:br/>
              <w:t>• Policy tailwinds (PM E-DRIVE, FAME II successor)</w:t>
              <w:br/>
              <w:t>• Export to SE Asia (Bangladesh, Vietnam, Indonesia)</w:t>
              <w:br/>
              <w:t>• V2G grid services revenue (future)</w:t>
            </w:r>
          </w:p>
        </w:tc>
        <w:tc>
          <w:tcPr>
            <w:tcW w:type="dxa" w:w="4320"/>
          </w:tcPr>
          <w:p>
            <w:r>
              <w:rPr>
                <w:b/>
                <w:color w:val="CC5500"/>
                <w:sz w:val="22"/>
              </w:rPr>
              <w:t>THREATS</w:t>
            </w:r>
          </w:p>
          <w:p>
            <w:pPr>
              <w:spacing w:before="80"/>
            </w:pPr>
            <w:r>
              <w:t>• Faster charging tech (≥10 min charges) maturing</w:t>
              <w:br/>
              <w:t>• OEM-owned proprietary swap ecosystems</w:t>
              <w:br/>
              <w:t>• Battery standardisation failing</w:t>
              <w:br/>
              <w:t>• Power tariff increases</w:t>
              <w:br/>
              <w:t>• Regulatory uncertainty on energy retail</w:t>
            </w:r>
          </w:p>
        </w:tc>
      </w:tr>
      <w:tr>
        <w:tc>
          <w:tcPr>
            <w:tcW w:type="dxa" w:w="4392"/>
          </w:tcPr>
          <w:p/>
        </w:tc>
        <w:tc>
          <w:tcPr>
            <w:tcW w:type="dxa" w:w="4392"/>
          </w:tcPr>
          <w:p/>
        </w:tc>
      </w:tr>
      <w:tr>
        <w:tc>
          <w:tcPr>
            <w:tcW w:type="dxa" w:w="4392"/>
          </w:tcPr>
          <w:p/>
        </w:tc>
        <w:tc>
          <w:tcPr>
            <w:tcW w:type="dxa" w:w="4392"/>
          </w:tcPr>
          <w:p/>
        </w:tc>
      </w:tr>
    </w:tbl>
    <w:p>
      <w:r>
        <w:br w:type="page"/>
      </w:r>
    </w:p>
    <w:p>
      <w:pPr>
        <w:pStyle w:val="Heading1"/>
        <w:jc w:val="left"/>
      </w:pPr>
      <w:r>
        <w:t>12. Conclusion</w:t>
      </w:r>
    </w:p>
    <w:p>
      <w:pPr>
        <w:jc w:val="both"/>
      </w:pPr>
      <w:r>
        <w:rPr>
          <w:rFonts w:ascii="Calibri" w:hAnsi="Calibri"/>
          <w:b w:val="0"/>
          <w:i w:val="0"/>
        </w:rPr>
        <w:t>Battery swapping as a service represents a structurally sound and timely business opportunity in India's electrification journey. The combination of a massive unserved commercial fleet market, favourable government policy, declining battery costs, and digital connectivity creates a fertile environment for a well-capitalised, technology-forward BSaaS operator to achieve meaningful scale.</w:t>
      </w:r>
    </w:p>
    <w:p>
      <w:pPr>
        <w:jc w:val="both"/>
      </w:pPr>
      <w:r>
        <w:rPr>
          <w:rFonts w:ascii="Calibri" w:hAnsi="Calibri"/>
          <w:b w:val="0"/>
          <w:i w:val="0"/>
        </w:rPr>
        <w:t>The proposed model—anchored in open battery standards, AI-powered health management, solar-hybrid energy supply, and fleet analytics software—goes beyond simple energy dispensing to create a defensible, multi-revenue ecosystem. The fleet-first MVP approach minimises early-stage risk while building the data and trust assets required for B2C expansion.</w:t>
      </w:r>
    </w:p>
    <w:p>
      <w:pPr>
        <w:jc w:val="both"/>
      </w:pPr>
      <w:r>
        <w:rPr>
          <w:rFonts w:ascii="Calibri" w:hAnsi="Calibri"/>
          <w:b w:val="0"/>
          <w:i w:val="0"/>
        </w:rPr>
        <w:t>Execution discipline, OEM ecosystem partnerships, and real-estate strategy will be the primary operational determinants of success. With prudent capital deployment, a 100-station network can be built and made cash-flow positive within 36 months, delivering meaningful returns to investors while accelerating India's transition to clean urban mobility.</w:t>
      </w:r>
    </w:p>
    <w:p>
      <w:r>
        <w:br w:type="page"/>
      </w:r>
    </w:p>
    <w:p>
      <w:pPr>
        <w:pStyle w:val="Heading1"/>
        <w:jc w:val="left"/>
      </w:pPr>
      <w:r>
        <w:t>13. References</w:t>
      </w:r>
    </w:p>
    <w:p>
      <w:pPr>
        <w:pStyle w:val="ListNumber"/>
        <w:ind w:left="360"/>
      </w:pPr>
      <w:r>
        <w:t>VAHAN Dashboard (2024). EV Registration Data FY2023–24. Ministry of Road Transport &amp; Highways, Government of India. https://vahan.parivahan.gov.in/</w:t>
      </w:r>
    </w:p>
    <w:p>
      <w:pPr>
        <w:pStyle w:val="ListNumber"/>
        <w:ind w:left="360"/>
      </w:pPr>
      <w:r>
        <w:t>NITI Aayog (2023). India's EV Transition: Policy Roadmap to 2030. Government of India. https://www.niti.gov.in/</w:t>
      </w:r>
    </w:p>
    <w:p>
      <w:pPr>
        <w:pStyle w:val="ListNumber"/>
        <w:ind w:left="360"/>
      </w:pPr>
      <w:r>
        <w:t>NITI Aayog (2022). Battery Swapping Policy (Draft). Government of India. https://www.niti.gov.in/sites/default/files/2022-04/Battery_Swapping_Policy.pdf</w:t>
      </w:r>
    </w:p>
    <w:p>
      <w:pPr>
        <w:pStyle w:val="ListNumber"/>
        <w:ind w:left="360"/>
      </w:pPr>
      <w:r>
        <w:t>Bureau of Energy Efficiency (BEE) (2024). National EV Charging Infrastructure Report. Ministry of Power, Government of India.</w:t>
      </w:r>
    </w:p>
    <w:p>
      <w:pPr>
        <w:pStyle w:val="ListNumber"/>
        <w:ind w:left="360"/>
      </w:pPr>
      <w:r>
        <w:t>Central Electricity Authority (CEA) (2023). National Electricity Plan Volume II: Transmission. Ministry of Power.</w:t>
      </w:r>
    </w:p>
    <w:p>
      <w:pPr>
        <w:pStyle w:val="ListNumber"/>
        <w:ind w:left="360"/>
      </w:pPr>
      <w:r>
        <w:t>Ministry of Heavy Industries (MHI) (2023). FAME India Phase II – Progress Report. Government of India. https://heavyindustries.gov.in/</w:t>
      </w:r>
    </w:p>
    <w:p>
      <w:pPr>
        <w:pStyle w:val="ListNumber"/>
        <w:ind w:left="360"/>
      </w:pPr>
      <w:r>
        <w:t>Ministry of Power (2024). PM E-DRIVE Scheme Notification. Government of India.</w:t>
      </w:r>
    </w:p>
    <w:p>
      <w:pPr>
        <w:pStyle w:val="ListNumber"/>
        <w:ind w:left="360"/>
      </w:pPr>
      <w:r>
        <w:t>BNEF – BloombergNEF (2024). Electric Vehicle Outlook 2024. Bloomberg Finance L.P. https://about.bnef.com/electric-vehicle-outlook/</w:t>
      </w:r>
    </w:p>
    <w:p>
      <w:pPr>
        <w:pStyle w:val="ListNumber"/>
        <w:ind w:left="360"/>
      </w:pPr>
      <w:r>
        <w:t>BNEF – BloombergNEF (2023). Lithium-ion Battery Price Survey 2023.</w:t>
      </w:r>
    </w:p>
    <w:p>
      <w:pPr>
        <w:pStyle w:val="ListNumber"/>
        <w:ind w:left="360"/>
      </w:pPr>
      <w:r>
        <w:t>IESA – India Energy Storage Alliance (2023). India Energy Storage Market Outlook 2023. https://indiaesa.info/</w:t>
      </w:r>
    </w:p>
    <w:p>
      <w:pPr>
        <w:pStyle w:val="ListNumber"/>
        <w:ind w:left="360"/>
      </w:pPr>
      <w:r>
        <w:t>SMEV – Society of Manufacturers of Electric Vehicles (2024). EV Sales Data FY2024. https://smev.in/</w:t>
      </w:r>
    </w:p>
    <w:p>
      <w:pPr>
        <w:pStyle w:val="ListNumber"/>
        <w:ind w:left="360"/>
      </w:pPr>
      <w:r>
        <w:t>CEEW – Council on Energy, Environment and Water (2023). Making Electric Vehicles Work for Gig Workers. https://www.ceew.in/</w:t>
      </w:r>
    </w:p>
    <w:p>
      <w:pPr>
        <w:pStyle w:val="ListNumber"/>
        <w:ind w:left="360"/>
      </w:pPr>
      <w:r>
        <w:t>Gogoro Inc. (2024). Annual Report FY2023. Nasdaq: GGR. https://ir.gogoro.com/</w:t>
      </w:r>
    </w:p>
    <w:p>
      <w:pPr>
        <w:pStyle w:val="ListNumber"/>
        <w:ind w:left="360"/>
      </w:pPr>
      <w:r>
        <w:t>Battery Smart (2023). Series B Funding Announcement &amp; Company Overview. Press release.</w:t>
      </w:r>
    </w:p>
    <w:p>
      <w:pPr>
        <w:pStyle w:val="ListNumber"/>
        <w:ind w:left="360"/>
      </w:pPr>
      <w:r>
        <w:t>Sun Mobility (2024). Company Website &amp; Press Releases. https://www.sunmobility.co.in/</w:t>
      </w:r>
    </w:p>
    <w:p>
      <w:pPr>
        <w:pStyle w:val="ListNumber"/>
        <w:ind w:left="360"/>
      </w:pPr>
      <w:r>
        <w:t>BIS – Bureau of Indian Standards (2023). IS 17893: Lithium-Ion Battery Packs for Electric Vehicles – Specification. New Delhi: BIS.</w:t>
      </w:r>
    </w:p>
    <w:p>
      <w:pPr>
        <w:pStyle w:val="ListNumber"/>
        <w:ind w:left="360"/>
      </w:pPr>
      <w:r>
        <w:t>Zomato Ltd. (2024). ESG Report FY2023–24. https://ir.zomato.com/</w:t>
      </w:r>
    </w:p>
    <w:p>
      <w:pPr>
        <w:pStyle w:val="ListNumber"/>
        <w:ind w:left="360"/>
      </w:pPr>
      <w:r>
        <w:t>CEEW (2023). EV Charging Infrastructure Gap Analysis – India 2023.</w:t>
      </w:r>
    </w:p>
    <w:p>
      <w:pPr>
        <w:pStyle w:val="ListNumber"/>
        <w:ind w:left="360"/>
      </w:pPr>
      <w:r>
        <w:t>BNEF (2024). Battery Technology Roadmap: LFP and Solid-State Outlook.</w:t>
      </w:r>
    </w:p>
    <w:p>
      <w:pPr>
        <w:pStyle w:val="ListNumber"/>
        <w:ind w:left="360"/>
      </w:pPr>
      <w:r>
        <w:t>CATL (2024). Annual Report. Contemporary Amperex Technology Co. Ltd.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2B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539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7A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