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Calibri" w:hAnsi="Calibri"/>
          <w:b/>
          <w:color w:val="1A509C"/>
          <w:sz w:val="52"/>
        </w:rPr>
        <w:t>FINALIZED DATA QUALITY FRAMEWORK</w:t>
      </w:r>
    </w:p>
    <w:p>
      <w:pPr>
        <w:jc w:val="center"/>
      </w:pPr>
      <w:r>
        <w:rPr>
          <w:rFonts w:ascii="Calibri" w:hAnsi="Calibri"/>
          <w:i/>
          <w:color w:val="00878A"/>
          <w:sz w:val="28"/>
        </w:rPr>
        <w:t>EdTech Platform — Governance, Standards &amp; Continuous Improvement</w:t>
      </w:r>
    </w:p>
    <w:p>
      <w:pPr>
        <w:spacing w:before="120"/>
        <w:jc w:val="center"/>
      </w:pPr>
      <w:r>
        <w:rPr>
          <w:color w:val="F5A623"/>
        </w:rPr>
        <w:t>━━━━━━━━━━━━━━━━━━━━━━━━━━━━━━━━━━━━━━━━━━</w:t>
      </w:r>
    </w:p>
    <w:p>
      <w:pPr>
        <w:jc w:val="center"/>
      </w:pPr>
      <w:r>
        <w:rPr>
          <w:rFonts w:ascii="Calibri" w:hAnsi="Calibri"/>
          <w:color w:val="55657A"/>
          <w:sz w:val="22"/>
        </w:rPr>
        <w:t>Business Strategy Consulting Division  |  March 2026  |  CONFIDENTIAL</w:t>
      </w:r>
    </w:p>
    <w:p>
      <w:r>
        <w:br w:type="page"/>
      </w:r>
    </w:p>
    <w:p>
      <w:pPr>
        <w:spacing w:before="400" w:after="40"/>
      </w:pPr>
      <w:r>
        <w:rPr>
          <w:rFonts w:ascii="Calibri" w:hAnsi="Calibri"/>
          <w:b/>
          <w:color w:val="1A509C"/>
          <w:sz w:val="36"/>
        </w:rPr>
        <w:t>1. Framework Overview</w:t>
      </w:r>
    </w:p>
    <w:p>
      <w:pPr>
        <w:spacing w:before="0" w:after="160"/>
      </w:pPr>
      <w:r>
        <w:rPr>
          <w:color w:val="00878A"/>
          <w:sz w:val="10"/>
        </w:rPr>
        <w:t>─────────────────────────────────────────────────────────────────────────────────────</w:t>
      </w:r>
    </w:p>
    <w:p>
      <w:pPr>
        <w:spacing w:before="40" w:after="120"/>
      </w:pPr>
      <w:r>
        <w:rPr>
          <w:rFonts w:ascii="Calibri" w:hAnsi="Calibri"/>
          <w:color w:val="1A1A2E"/>
          <w:sz w:val="22"/>
        </w:rPr>
        <w:t>This document defines the Finalized Data Quality Framework for EdTech platforms. It establishes the governance structure, data quality dimensions, validation rule library, monitoring processes, and continuous improvement mechanisms necessary to sustain high-quality data across all platform systems and data domains.</w:t>
      </w:r>
    </w:p>
    <w:p>
      <w:pPr>
        <w:spacing w:before="40" w:after="120"/>
      </w:pPr>
      <w:r>
        <w:rPr>
          <w:rFonts w:ascii="Calibri" w:hAnsi="Calibri"/>
          <w:color w:val="1A1A2E"/>
          <w:sz w:val="22"/>
        </w:rPr>
        <w:t>The framework is built on five interlocking pillars:</w:t>
      </w:r>
    </w:p>
    <w:p>
      <w:pPr>
        <w:spacing w:before="20" w:after="60"/>
        <w:ind w:left="432"/>
      </w:pPr>
      <w:r>
        <w:rPr>
          <w:rFonts w:ascii="Calibri" w:hAnsi="Calibri"/>
          <w:color w:val="1A1A2E"/>
          <w:sz w:val="22"/>
        </w:rPr>
        <w:t>▸  🏛️  Governance &amp; Ownership: Clear roles, accountability, and policy structures</w:t>
      </w:r>
    </w:p>
    <w:p>
      <w:pPr>
        <w:spacing w:before="20" w:after="60"/>
        <w:ind w:left="432"/>
      </w:pPr>
      <w:r>
        <w:rPr>
          <w:rFonts w:ascii="Calibri" w:hAnsi="Calibri"/>
          <w:color w:val="1A1A2E"/>
          <w:sz w:val="22"/>
        </w:rPr>
        <w:t>▸  📐  Standards &amp; Definitions: Unified data dictionary, formats, and naming conventions</w:t>
      </w:r>
    </w:p>
    <w:p>
      <w:pPr>
        <w:spacing w:before="20" w:after="60"/>
        <w:ind w:left="432"/>
      </w:pPr>
      <w:r>
        <w:rPr>
          <w:rFonts w:ascii="Calibri" w:hAnsi="Calibri"/>
          <w:color w:val="1A1A2E"/>
          <w:sz w:val="22"/>
        </w:rPr>
        <w:t>▸  🤖  Validation &amp; Rules: Automated checks covering completeness, integrity, format, and logic</w:t>
      </w:r>
    </w:p>
    <w:p>
      <w:pPr>
        <w:spacing w:before="20" w:after="60"/>
        <w:ind w:left="432"/>
      </w:pPr>
      <w:r>
        <w:rPr>
          <w:rFonts w:ascii="Calibri" w:hAnsi="Calibri"/>
          <w:color w:val="1A1A2E"/>
          <w:sz w:val="22"/>
        </w:rPr>
        <w:t>▸  📊  Monitoring &amp; Alerting: Real-time quality scoring, dashboards, and threshold alerts</w:t>
      </w:r>
    </w:p>
    <w:p>
      <w:pPr>
        <w:spacing w:before="20" w:after="60"/>
        <w:ind w:left="432"/>
      </w:pPr>
      <w:r>
        <w:rPr>
          <w:rFonts w:ascii="Calibri" w:hAnsi="Calibri"/>
          <w:color w:val="1A1A2E"/>
          <w:sz w:val="22"/>
        </w:rPr>
        <w:t>▸  🔁  Continuous Improvement: Feedback loops, root-cause resolution, and maturity progression</w:t>
      </w:r>
    </w:p>
    <w:tbl>
      <w:tblPr>
        <w:tblW w:type="auto" w:w="0"/>
        <w:jc w:val="left"/>
        <w:tblLook w:firstColumn="1" w:firstRow="1" w:lastColumn="0" w:lastRow="0" w:noHBand="0" w:noVBand="1" w:val="04A0"/>
      </w:tblPr>
      <w:tblGrid>
        <w:gridCol w:w="9406"/>
      </w:tblGrid>
      <w:tr>
        <w:tc>
          <w:tcPr>
            <w:tcW w:type="dxa" w:w="9406"/>
            <w:shd w:val="clear" w:color="auto" w:fill="E8F6F7"/>
          </w:tcPr>
          <w:p>
            <w:pPr>
              <w:spacing w:before="80" w:after="80"/>
              <w:ind w:left="173"/>
            </w:pPr>
            <w:r>
              <w:rPr>
                <w:b/>
                <w:color w:val="00878A"/>
                <w:sz w:val="22"/>
              </w:rPr>
              <w:t xml:space="preserve">Framework Scope:  </w:t>
            </w:r>
            <w:r>
              <w:rPr>
                <w:color w:val="1A1A2E"/>
                <w:sz w:val="22"/>
              </w:rPr>
              <w:t>Covers 6 core data entities: Learners, Courses, Assessments, Course Enrollments, Transactions, and Academic Calendar — the complete EdTech operational data model.</w:t>
            </w:r>
          </w:p>
        </w:tc>
      </w:tr>
    </w:tbl>
    <w:p/>
    <w:p>
      <w:pPr>
        <w:spacing w:before="400" w:after="40"/>
      </w:pPr>
      <w:r>
        <w:rPr>
          <w:rFonts w:ascii="Calibri" w:hAnsi="Calibri"/>
          <w:b/>
          <w:color w:val="1A509C"/>
          <w:sz w:val="36"/>
        </w:rPr>
        <w:t>2. Data Quality Dimensions</w:t>
      </w:r>
    </w:p>
    <w:p>
      <w:pPr>
        <w:spacing w:before="0" w:after="160"/>
      </w:pPr>
      <w:r>
        <w:rPr>
          <w:color w:val="00878A"/>
          <w:sz w:val="10"/>
        </w:rPr>
        <w:t>─────────────────────────────────────────────────────────────────────────────────────</w:t>
      </w:r>
    </w:p>
    <w:p>
      <w:pPr>
        <w:spacing w:before="40" w:after="120"/>
      </w:pPr>
      <w:r>
        <w:rPr>
          <w:rFonts w:ascii="Calibri" w:hAnsi="Calibri"/>
          <w:color w:val="1A1A2E"/>
          <w:sz w:val="22"/>
        </w:rPr>
        <w:t>The framework assesses data across seven quality dimensions. Each dimension maps to specific validation rules applied during automated checks.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160"/>
            <w:shd w:val="clear" w:color="auto" w:fill="1A509C"/>
          </w:tcPr>
          <w:p>
            <w:pPr>
              <w:spacing w:before="60" w:after="60"/>
            </w:pPr>
            <w:r>
              <w:rPr>
                <w:rFonts w:ascii="Calibri" w:hAnsi="Calibri"/>
                <w:b/>
                <w:color w:val="FFFFFF"/>
                <w:sz w:val="20"/>
              </w:rPr>
              <w:t>Dimension</w:t>
            </w:r>
          </w:p>
        </w:tc>
        <w:tc>
          <w:tcPr>
            <w:tcW w:type="dxa" w:w="3168"/>
            <w:shd w:val="clear" w:color="auto" w:fill="1A509C"/>
          </w:tcPr>
          <w:p>
            <w:pPr>
              <w:spacing w:before="60" w:after="60"/>
            </w:pPr>
            <w:r>
              <w:rPr>
                <w:rFonts w:ascii="Calibri" w:hAnsi="Calibri"/>
                <w:b/>
                <w:color w:val="FFFFFF"/>
                <w:sz w:val="20"/>
              </w:rPr>
              <w:t>Definition</w:t>
            </w:r>
          </w:p>
        </w:tc>
        <w:tc>
          <w:tcPr>
            <w:tcW w:type="dxa" w:w="4032"/>
            <w:shd w:val="clear" w:color="auto" w:fill="1A509C"/>
          </w:tcPr>
          <w:p>
            <w:pPr>
              <w:spacing w:before="60" w:after="60"/>
            </w:pPr>
            <w:r>
              <w:rPr>
                <w:rFonts w:ascii="Calibri" w:hAnsi="Calibri"/>
                <w:b/>
                <w:color w:val="FFFFFF"/>
                <w:sz w:val="20"/>
              </w:rPr>
              <w:t>Example Rule</w:t>
            </w:r>
          </w:p>
        </w:tc>
        <w:tc>
          <w:tcPr>
            <w:tcW w:type="dxa" w:w="1296"/>
            <w:shd w:val="clear" w:color="auto" w:fill="1A509C"/>
          </w:tcPr>
          <w:p>
            <w:pPr>
              <w:spacing w:before="60" w:after="60"/>
            </w:pPr>
            <w:r>
              <w:rPr>
                <w:rFonts w:ascii="Calibri" w:hAnsi="Calibri"/>
                <w:b/>
                <w:color w:val="FFFFFF"/>
                <w:sz w:val="20"/>
              </w:rPr>
              <w:t>Priority</w:t>
            </w:r>
          </w:p>
        </w:tc>
      </w:tr>
      <w:tr>
        <w:tc>
          <w:tcPr>
            <w:tcW w:type="dxa" w:w="2160"/>
            <w:shd w:val="clear" w:color="auto" w:fill="E9F1FB"/>
          </w:tcPr>
          <w:p>
            <w:pPr>
              <w:spacing w:before="40" w:after="40"/>
            </w:pPr>
            <w:r>
              <w:rPr>
                <w:rFonts w:ascii="Calibri" w:hAnsi="Calibri"/>
                <w:color w:val="1A1A2E"/>
                <w:sz w:val="20"/>
              </w:rPr>
              <w:t>Completeness</w:t>
            </w:r>
          </w:p>
        </w:tc>
        <w:tc>
          <w:tcPr>
            <w:tcW w:type="dxa" w:w="3168"/>
            <w:shd w:val="clear" w:color="auto" w:fill="E9F1FB"/>
          </w:tcPr>
          <w:p>
            <w:pPr>
              <w:spacing w:before="40" w:after="40"/>
            </w:pPr>
            <w:r>
              <w:rPr>
                <w:rFonts w:ascii="Calibri" w:hAnsi="Calibri"/>
                <w:color w:val="1A1A2E"/>
                <w:sz w:val="20"/>
              </w:rPr>
              <w:t>Required fields must not be null or empty</w:t>
            </w:r>
          </w:p>
        </w:tc>
        <w:tc>
          <w:tcPr>
            <w:tcW w:type="dxa" w:w="4032"/>
            <w:shd w:val="clear" w:color="auto" w:fill="E9F1FB"/>
          </w:tcPr>
          <w:p>
            <w:pPr>
              <w:spacing w:before="40" w:after="40"/>
            </w:pPr>
            <w:r>
              <w:rPr>
                <w:rFonts w:ascii="Calibri" w:hAnsi="Calibri"/>
                <w:color w:val="1A1A2E"/>
                <w:sz w:val="20"/>
              </w:rPr>
              <w:t>learner_id, email, enrollment_date must not be blank</w:t>
            </w:r>
          </w:p>
        </w:tc>
        <w:tc>
          <w:tcPr>
            <w:tcW w:type="dxa" w:w="1296"/>
            <w:shd w:val="clear" w:color="auto" w:fill="E9F1FB"/>
          </w:tcPr>
          <w:p>
            <w:pPr>
              <w:spacing w:before="40" w:after="40"/>
            </w:pPr>
            <w:r>
              <w:rPr>
                <w:rFonts w:ascii="Calibri" w:hAnsi="Calibri"/>
                <w:color w:val="1A1A2E"/>
                <w:sz w:val="20"/>
              </w:rPr>
              <w:t>Critical</w:t>
            </w:r>
          </w:p>
        </w:tc>
      </w:tr>
      <w:tr>
        <w:tc>
          <w:tcPr>
            <w:tcW w:type="dxa" w:w="2160"/>
            <w:shd w:val="clear" w:color="auto" w:fill="FFFFFF"/>
          </w:tcPr>
          <w:p>
            <w:pPr>
              <w:spacing w:before="40" w:after="40"/>
            </w:pPr>
            <w:r>
              <w:rPr>
                <w:rFonts w:ascii="Calibri" w:hAnsi="Calibri"/>
                <w:color w:val="1A1A2E"/>
                <w:sz w:val="20"/>
              </w:rPr>
              <w:t>Uniqueness</w:t>
            </w:r>
          </w:p>
        </w:tc>
        <w:tc>
          <w:tcPr>
            <w:tcW w:type="dxa" w:w="3168"/>
            <w:shd w:val="clear" w:color="auto" w:fill="FFFFFF"/>
          </w:tcPr>
          <w:p>
            <w:pPr>
              <w:spacing w:before="40" w:after="40"/>
            </w:pPr>
            <w:r>
              <w:rPr>
                <w:rFonts w:ascii="Calibri" w:hAnsi="Calibri"/>
                <w:color w:val="1A1A2E"/>
                <w:sz w:val="20"/>
              </w:rPr>
              <w:t>Primary keys and unique identifiers must not repeat</w:t>
            </w:r>
          </w:p>
        </w:tc>
        <w:tc>
          <w:tcPr>
            <w:tcW w:type="dxa" w:w="4032"/>
            <w:shd w:val="clear" w:color="auto" w:fill="FFFFFF"/>
          </w:tcPr>
          <w:p>
            <w:pPr>
              <w:spacing w:before="40" w:after="40"/>
            </w:pPr>
            <w:r>
              <w:rPr>
                <w:rFonts w:ascii="Calibri" w:hAnsi="Calibri"/>
                <w:color w:val="1A1A2E"/>
                <w:sz w:val="20"/>
              </w:rPr>
              <w:t>No duplicate learner_id, transaction_id, or enrollment_id</w:t>
            </w:r>
          </w:p>
        </w:tc>
        <w:tc>
          <w:tcPr>
            <w:tcW w:type="dxa" w:w="1296"/>
            <w:shd w:val="clear" w:color="auto" w:fill="FFFFFF"/>
          </w:tcPr>
          <w:p>
            <w:pPr>
              <w:spacing w:before="40" w:after="40"/>
            </w:pPr>
            <w:r>
              <w:rPr>
                <w:rFonts w:ascii="Calibri" w:hAnsi="Calibri"/>
                <w:color w:val="1A1A2E"/>
                <w:sz w:val="20"/>
              </w:rPr>
              <w:t>Critical</w:t>
            </w:r>
          </w:p>
        </w:tc>
      </w:tr>
      <w:tr>
        <w:tc>
          <w:tcPr>
            <w:tcW w:type="dxa" w:w="2160"/>
            <w:shd w:val="clear" w:color="auto" w:fill="E9F1FB"/>
          </w:tcPr>
          <w:p>
            <w:pPr>
              <w:spacing w:before="40" w:after="40"/>
            </w:pPr>
            <w:r>
              <w:rPr>
                <w:rFonts w:ascii="Calibri" w:hAnsi="Calibri"/>
                <w:color w:val="1A1A2E"/>
                <w:sz w:val="20"/>
              </w:rPr>
              <w:t>Validity</w:t>
            </w:r>
          </w:p>
        </w:tc>
        <w:tc>
          <w:tcPr>
            <w:tcW w:type="dxa" w:w="3168"/>
            <w:shd w:val="clear" w:color="auto" w:fill="E9F1FB"/>
          </w:tcPr>
          <w:p>
            <w:pPr>
              <w:spacing w:before="40" w:after="40"/>
            </w:pPr>
            <w:r>
              <w:rPr>
                <w:rFonts w:ascii="Calibri" w:hAnsi="Calibri"/>
                <w:color w:val="1A1A2E"/>
                <w:sz w:val="20"/>
              </w:rPr>
              <w:t>Values must conform to defined formats and ranges</w:t>
            </w:r>
          </w:p>
        </w:tc>
        <w:tc>
          <w:tcPr>
            <w:tcW w:type="dxa" w:w="4032"/>
            <w:shd w:val="clear" w:color="auto" w:fill="E9F1FB"/>
          </w:tcPr>
          <w:p>
            <w:pPr>
              <w:spacing w:before="40" w:after="40"/>
            </w:pPr>
            <w:r>
              <w:rPr>
                <w:rFonts w:ascii="Calibri" w:hAnsi="Calibri"/>
                <w:color w:val="1A1A2E"/>
                <w:sz w:val="20"/>
              </w:rPr>
              <w:t>Email matches regex; grade between 0–100; price ≥ 0</w:t>
            </w:r>
          </w:p>
        </w:tc>
        <w:tc>
          <w:tcPr>
            <w:tcW w:type="dxa" w:w="1296"/>
            <w:shd w:val="clear" w:color="auto" w:fill="E9F1FB"/>
          </w:tcPr>
          <w:p>
            <w:pPr>
              <w:spacing w:before="40" w:after="40"/>
            </w:pPr>
            <w:r>
              <w:rPr>
                <w:rFonts w:ascii="Calibri" w:hAnsi="Calibri"/>
                <w:color w:val="1A1A2E"/>
                <w:sz w:val="20"/>
              </w:rPr>
              <w:t>High</w:t>
            </w:r>
          </w:p>
        </w:tc>
      </w:tr>
      <w:tr>
        <w:tc>
          <w:tcPr>
            <w:tcW w:type="dxa" w:w="2160"/>
            <w:shd w:val="clear" w:color="auto" w:fill="FFFFFF"/>
          </w:tcPr>
          <w:p>
            <w:pPr>
              <w:spacing w:before="40" w:after="40"/>
            </w:pPr>
            <w:r>
              <w:rPr>
                <w:rFonts w:ascii="Calibri" w:hAnsi="Calibri"/>
                <w:color w:val="1A1A2E"/>
                <w:sz w:val="20"/>
              </w:rPr>
              <w:t>Consistency</w:t>
            </w:r>
          </w:p>
        </w:tc>
        <w:tc>
          <w:tcPr>
            <w:tcW w:type="dxa" w:w="3168"/>
            <w:shd w:val="clear" w:color="auto" w:fill="FFFFFF"/>
          </w:tcPr>
          <w:p>
            <w:pPr>
              <w:spacing w:before="40" w:after="40"/>
            </w:pPr>
            <w:r>
              <w:rPr>
                <w:rFonts w:ascii="Calibri" w:hAnsi="Calibri"/>
                <w:color w:val="1A1A2E"/>
                <w:sz w:val="20"/>
              </w:rPr>
              <w:t>Values across related records must not conflict</w:t>
            </w:r>
          </w:p>
        </w:tc>
        <w:tc>
          <w:tcPr>
            <w:tcW w:type="dxa" w:w="4032"/>
            <w:shd w:val="clear" w:color="auto" w:fill="FFFFFF"/>
          </w:tcPr>
          <w:p>
            <w:pPr>
              <w:spacing w:before="40" w:after="40"/>
            </w:pPr>
            <w:r>
              <w:rPr>
                <w:rFonts w:ascii="Calibri" w:hAnsi="Calibri"/>
                <w:color w:val="1A1A2E"/>
                <w:sz w:val="20"/>
              </w:rPr>
              <w:t>Completion date must be after enrollment date</w:t>
            </w:r>
          </w:p>
        </w:tc>
        <w:tc>
          <w:tcPr>
            <w:tcW w:type="dxa" w:w="1296"/>
            <w:shd w:val="clear" w:color="auto" w:fill="FFFFFF"/>
          </w:tcPr>
          <w:p>
            <w:pPr>
              <w:spacing w:before="40" w:after="40"/>
            </w:pPr>
            <w:r>
              <w:rPr>
                <w:rFonts w:ascii="Calibri" w:hAnsi="Calibri"/>
                <w:color w:val="1A1A2E"/>
                <w:sz w:val="20"/>
              </w:rPr>
              <w:t>High</w:t>
            </w:r>
          </w:p>
        </w:tc>
      </w:tr>
      <w:tr>
        <w:tc>
          <w:tcPr>
            <w:tcW w:type="dxa" w:w="2160"/>
            <w:shd w:val="clear" w:color="auto" w:fill="E9F1FB"/>
          </w:tcPr>
          <w:p>
            <w:pPr>
              <w:spacing w:before="40" w:after="40"/>
            </w:pPr>
            <w:r>
              <w:rPr>
                <w:rFonts w:ascii="Calibri" w:hAnsi="Calibri"/>
                <w:color w:val="1A1A2E"/>
                <w:sz w:val="20"/>
              </w:rPr>
              <w:t>Referential Integrity</w:t>
            </w:r>
          </w:p>
        </w:tc>
        <w:tc>
          <w:tcPr>
            <w:tcW w:type="dxa" w:w="3168"/>
            <w:shd w:val="clear" w:color="auto" w:fill="E9F1FB"/>
          </w:tcPr>
          <w:p>
            <w:pPr>
              <w:spacing w:before="40" w:after="40"/>
            </w:pPr>
            <w:r>
              <w:rPr>
                <w:rFonts w:ascii="Calibri" w:hAnsi="Calibri"/>
                <w:color w:val="1A1A2E"/>
                <w:sz w:val="20"/>
              </w:rPr>
              <w:t>Foreign keys must reference existing parent records</w:t>
            </w:r>
          </w:p>
        </w:tc>
        <w:tc>
          <w:tcPr>
            <w:tcW w:type="dxa" w:w="4032"/>
            <w:shd w:val="clear" w:color="auto" w:fill="E9F1FB"/>
          </w:tcPr>
          <w:p>
            <w:pPr>
              <w:spacing w:before="40" w:after="40"/>
            </w:pPr>
            <w:r>
              <w:rPr>
                <w:rFonts w:ascii="Calibri" w:hAnsi="Calibri"/>
                <w:color w:val="1A1A2E"/>
                <w:sz w:val="20"/>
              </w:rPr>
              <w:t>Every enrollment must have a valid learner_id and course_id</w:t>
            </w:r>
          </w:p>
        </w:tc>
        <w:tc>
          <w:tcPr>
            <w:tcW w:type="dxa" w:w="1296"/>
            <w:shd w:val="clear" w:color="auto" w:fill="E9F1FB"/>
          </w:tcPr>
          <w:p>
            <w:pPr>
              <w:spacing w:before="40" w:after="40"/>
            </w:pPr>
            <w:r>
              <w:rPr>
                <w:rFonts w:ascii="Calibri" w:hAnsi="Calibri"/>
                <w:color w:val="1A1A2E"/>
                <w:sz w:val="20"/>
              </w:rPr>
              <w:t>Critical</w:t>
            </w:r>
          </w:p>
        </w:tc>
      </w:tr>
      <w:tr>
        <w:tc>
          <w:tcPr>
            <w:tcW w:type="dxa" w:w="2160"/>
            <w:shd w:val="clear" w:color="auto" w:fill="FFFFFF"/>
          </w:tcPr>
          <w:p>
            <w:pPr>
              <w:spacing w:before="40" w:after="40"/>
            </w:pPr>
            <w:r>
              <w:rPr>
                <w:rFonts w:ascii="Calibri" w:hAnsi="Calibri"/>
                <w:color w:val="1A1A2E"/>
                <w:sz w:val="20"/>
              </w:rPr>
              <w:t>Timeliness</w:t>
            </w:r>
          </w:p>
        </w:tc>
        <w:tc>
          <w:tcPr>
            <w:tcW w:type="dxa" w:w="3168"/>
            <w:shd w:val="clear" w:color="auto" w:fill="FFFFFF"/>
          </w:tcPr>
          <w:p>
            <w:pPr>
              <w:spacing w:before="40" w:after="40"/>
            </w:pPr>
            <w:r>
              <w:rPr>
                <w:rFonts w:ascii="Calibri" w:hAnsi="Calibri"/>
                <w:color w:val="1A1A2E"/>
                <w:sz w:val="20"/>
              </w:rPr>
              <w:t>Data must be updated within defined SLA windows</w:t>
            </w:r>
          </w:p>
        </w:tc>
        <w:tc>
          <w:tcPr>
            <w:tcW w:type="dxa" w:w="4032"/>
            <w:shd w:val="clear" w:color="auto" w:fill="FFFFFF"/>
          </w:tcPr>
          <w:p>
            <w:pPr>
              <w:spacing w:before="40" w:after="40"/>
            </w:pPr>
            <w:r>
              <w:rPr>
                <w:rFonts w:ascii="Calibri" w:hAnsi="Calibri"/>
                <w:color w:val="1A1A2E"/>
                <w:sz w:val="20"/>
              </w:rPr>
              <w:t>Assessment scores updated within 48hrs of submission</w:t>
            </w:r>
          </w:p>
        </w:tc>
        <w:tc>
          <w:tcPr>
            <w:tcW w:type="dxa" w:w="1296"/>
            <w:shd w:val="clear" w:color="auto" w:fill="FFFFFF"/>
          </w:tcPr>
          <w:p>
            <w:pPr>
              <w:spacing w:before="40" w:after="40"/>
            </w:pPr>
            <w:r>
              <w:rPr>
                <w:rFonts w:ascii="Calibri" w:hAnsi="Calibri"/>
                <w:color w:val="1A1A2E"/>
                <w:sz w:val="20"/>
              </w:rPr>
              <w:t>Medium</w:t>
            </w:r>
          </w:p>
        </w:tc>
      </w:tr>
      <w:tr>
        <w:tc>
          <w:tcPr>
            <w:tcW w:type="dxa" w:w="2160"/>
            <w:shd w:val="clear" w:color="auto" w:fill="E9F1FB"/>
          </w:tcPr>
          <w:p>
            <w:pPr>
              <w:spacing w:before="40" w:after="40"/>
            </w:pPr>
            <w:r>
              <w:rPr>
                <w:rFonts w:ascii="Calibri" w:hAnsi="Calibri"/>
                <w:color w:val="1A1A2E"/>
                <w:sz w:val="20"/>
              </w:rPr>
              <w:t>Accuracy</w:t>
            </w:r>
          </w:p>
        </w:tc>
        <w:tc>
          <w:tcPr>
            <w:tcW w:type="dxa" w:w="3168"/>
            <w:shd w:val="clear" w:color="auto" w:fill="E9F1FB"/>
          </w:tcPr>
          <w:p>
            <w:pPr>
              <w:spacing w:before="40" w:after="40"/>
            </w:pPr>
            <w:r>
              <w:rPr>
                <w:rFonts w:ascii="Calibri" w:hAnsi="Calibri"/>
                <w:color w:val="1A1A2E"/>
                <w:sz w:val="20"/>
              </w:rPr>
              <w:t>Values must reflect the true real-world state</w:t>
            </w:r>
          </w:p>
        </w:tc>
        <w:tc>
          <w:tcPr>
            <w:tcW w:type="dxa" w:w="4032"/>
            <w:shd w:val="clear" w:color="auto" w:fill="E9F1FB"/>
          </w:tcPr>
          <w:p>
            <w:pPr>
              <w:spacing w:before="40" w:after="40"/>
            </w:pPr>
            <w:r>
              <w:rPr>
                <w:rFonts w:ascii="Calibri" w:hAnsi="Calibri"/>
                <w:color w:val="1A1A2E"/>
                <w:sz w:val="20"/>
              </w:rPr>
              <w:t>Transaction amount reconciles with payment gateway receipt</w:t>
            </w:r>
          </w:p>
        </w:tc>
        <w:tc>
          <w:tcPr>
            <w:tcW w:type="dxa" w:w="1296"/>
            <w:shd w:val="clear" w:color="auto" w:fill="E9F1FB"/>
          </w:tcPr>
          <w:p>
            <w:pPr>
              <w:spacing w:before="40" w:after="40"/>
            </w:pPr>
            <w:r>
              <w:rPr>
                <w:rFonts w:ascii="Calibri" w:hAnsi="Calibri"/>
                <w:color w:val="1A1A2E"/>
                <w:sz w:val="20"/>
              </w:rPr>
              <w:t>High</w:t>
            </w:r>
          </w:p>
        </w:tc>
      </w:tr>
    </w:tbl>
    <w:p/>
    <w:p>
      <w:pPr>
        <w:spacing w:before="400" w:after="40"/>
      </w:pPr>
      <w:r>
        <w:rPr>
          <w:rFonts w:ascii="Calibri" w:hAnsi="Calibri"/>
          <w:b/>
          <w:color w:val="1A509C"/>
          <w:sz w:val="36"/>
        </w:rPr>
        <w:t>3. Governance Model</w:t>
      </w:r>
    </w:p>
    <w:p>
      <w:pPr>
        <w:spacing w:before="0" w:after="160"/>
      </w:pPr>
      <w:r>
        <w:rPr>
          <w:color w:val="00878A"/>
          <w:sz w:val="10"/>
        </w:rPr>
        <w:t>─────────────────────────────────────────────────────────────────────────────────────</w:t>
      </w:r>
    </w:p>
    <w:p>
      <w:pPr>
        <w:spacing w:before="40" w:after="120"/>
      </w:pPr>
      <w:r>
        <w:rPr>
          <w:rFonts w:ascii="Calibri" w:hAnsi="Calibri"/>
          <w:color w:val="1A1A2E"/>
          <w:sz w:val="22"/>
        </w:rPr>
        <w:t>Data quality governance distributes accountability across three tiers, ensuring that no single team owns the entire quality burden.</w:t>
      </w:r>
    </w:p>
    <w:p>
      <w:pPr>
        <w:spacing w:before="200" w:after="80"/>
      </w:pPr>
      <w:r>
        <w:rPr>
          <w:rFonts w:ascii="Calibri" w:hAnsi="Calibri"/>
          <w:b/>
          <w:color w:val="00878A"/>
          <w:sz w:val="26"/>
        </w:rPr>
        <w:t>3.1  Governance Roles &amp; RACI</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2880"/>
            <w:shd w:val="clear" w:color="auto" w:fill="1A509C"/>
          </w:tcPr>
          <w:p>
            <w:pPr>
              <w:spacing w:before="60" w:after="60"/>
            </w:pPr>
            <w:r>
              <w:rPr>
                <w:rFonts w:ascii="Calibri" w:hAnsi="Calibri"/>
                <w:b/>
                <w:color w:val="FFFFFF"/>
                <w:sz w:val="20"/>
              </w:rPr>
              <w:t>Role</w:t>
            </w:r>
          </w:p>
        </w:tc>
        <w:tc>
          <w:tcPr>
            <w:tcW w:type="dxa" w:w="3600"/>
            <w:shd w:val="clear" w:color="auto" w:fill="1A509C"/>
          </w:tcPr>
          <w:p>
            <w:pPr>
              <w:spacing w:before="60" w:after="60"/>
            </w:pPr>
            <w:r>
              <w:rPr>
                <w:rFonts w:ascii="Calibri" w:hAnsi="Calibri"/>
                <w:b/>
                <w:color w:val="FFFFFF"/>
                <w:sz w:val="20"/>
              </w:rPr>
              <w:t>Responsible</w:t>
            </w:r>
          </w:p>
        </w:tc>
        <w:tc>
          <w:tcPr>
            <w:tcW w:type="dxa" w:w="1008"/>
            <w:shd w:val="clear" w:color="auto" w:fill="1A509C"/>
          </w:tcPr>
          <w:p>
            <w:pPr>
              <w:spacing w:before="60" w:after="60"/>
            </w:pPr>
            <w:r>
              <w:rPr>
                <w:rFonts w:ascii="Calibri" w:hAnsi="Calibri"/>
                <w:b/>
                <w:color w:val="FFFFFF"/>
                <w:sz w:val="20"/>
              </w:rPr>
              <w:t>Accountable</w:t>
            </w:r>
          </w:p>
        </w:tc>
        <w:tc>
          <w:tcPr>
            <w:tcW w:type="dxa" w:w="2160"/>
            <w:shd w:val="clear" w:color="auto" w:fill="1A509C"/>
          </w:tcPr>
          <w:p>
            <w:pPr>
              <w:spacing w:before="60" w:after="60"/>
            </w:pPr>
            <w:r>
              <w:rPr>
                <w:rFonts w:ascii="Calibri" w:hAnsi="Calibri"/>
                <w:b/>
                <w:color w:val="FFFFFF"/>
                <w:sz w:val="20"/>
              </w:rPr>
              <w:t>Consulted</w:t>
            </w:r>
          </w:p>
        </w:tc>
        <w:tc>
          <w:tcPr>
            <w:tcW w:type="dxa" w:w="2448"/>
            <w:shd w:val="clear" w:color="auto" w:fill="1A509C"/>
          </w:tcPr>
          <w:p>
            <w:pPr>
              <w:spacing w:before="60" w:after="60"/>
            </w:pPr>
            <w:r>
              <w:rPr>
                <w:rFonts w:ascii="Calibri" w:hAnsi="Calibri"/>
                <w:b/>
                <w:color w:val="FFFFFF"/>
                <w:sz w:val="20"/>
              </w:rPr>
              <w:t>Informed</w:t>
            </w:r>
          </w:p>
        </w:tc>
      </w:tr>
      <w:tr>
        <w:tc>
          <w:tcPr>
            <w:tcW w:type="dxa" w:w="2880"/>
            <w:shd w:val="clear" w:color="auto" w:fill="E9F1FB"/>
          </w:tcPr>
          <w:p>
            <w:pPr>
              <w:spacing w:before="40" w:after="40"/>
            </w:pPr>
            <w:r>
              <w:rPr>
                <w:rFonts w:ascii="Calibri" w:hAnsi="Calibri"/>
                <w:color w:val="1A1A2E"/>
                <w:sz w:val="20"/>
              </w:rPr>
              <w:t>Chief Data Officer</w:t>
            </w:r>
          </w:p>
        </w:tc>
        <w:tc>
          <w:tcPr>
            <w:tcW w:type="dxa" w:w="3600"/>
            <w:shd w:val="clear" w:color="auto" w:fill="E9F1FB"/>
          </w:tcPr>
          <w:p>
            <w:pPr>
              <w:spacing w:before="40" w:after="40"/>
            </w:pPr>
            <w:r>
              <w:rPr>
                <w:rFonts w:ascii="Calibri" w:hAnsi="Calibri"/>
                <w:color w:val="1A1A2E"/>
                <w:sz w:val="20"/>
              </w:rPr>
              <w:t>DQ strategy &amp; policy</w:t>
            </w:r>
          </w:p>
        </w:tc>
        <w:tc>
          <w:tcPr>
            <w:tcW w:type="dxa" w:w="1008"/>
            <w:shd w:val="clear" w:color="auto" w:fill="E9F1FB"/>
          </w:tcPr>
          <w:p>
            <w:pPr>
              <w:spacing w:before="40" w:after="40"/>
            </w:pPr>
            <w:r>
              <w:rPr>
                <w:rFonts w:ascii="Calibri" w:hAnsi="Calibri"/>
                <w:color w:val="1A1A2E"/>
                <w:sz w:val="20"/>
              </w:rPr>
              <w:t>✅</w:t>
            </w:r>
          </w:p>
        </w:tc>
        <w:tc>
          <w:tcPr>
            <w:tcW w:type="dxa" w:w="2160"/>
            <w:shd w:val="clear" w:color="auto" w:fill="E9F1FB"/>
          </w:tcPr>
          <w:p>
            <w:pPr>
              <w:spacing w:before="40" w:after="40"/>
            </w:pPr>
            <w:r>
              <w:rPr>
                <w:rFonts w:ascii="Calibri" w:hAnsi="Calibri"/>
                <w:color w:val="1A1A2E"/>
                <w:sz w:val="20"/>
              </w:rPr>
              <w:t>Board, CEO</w:t>
            </w:r>
          </w:p>
        </w:tc>
        <w:tc>
          <w:tcPr>
            <w:tcW w:type="dxa" w:w="2448"/>
            <w:shd w:val="clear" w:color="auto" w:fill="E9F1FB"/>
          </w:tcPr>
          <w:p>
            <w:pPr>
              <w:spacing w:before="40" w:after="40"/>
            </w:pPr>
            <w:r>
              <w:rPr>
                <w:rFonts w:ascii="Calibri" w:hAnsi="Calibri"/>
                <w:color w:val="1A1A2E"/>
                <w:sz w:val="20"/>
              </w:rPr>
              <w:t>All stakeholders</w:t>
            </w:r>
          </w:p>
        </w:tc>
      </w:tr>
      <w:tr>
        <w:tc>
          <w:tcPr>
            <w:tcW w:type="dxa" w:w="2880"/>
            <w:shd w:val="clear" w:color="auto" w:fill="FFFFFF"/>
          </w:tcPr>
          <w:p>
            <w:pPr>
              <w:spacing w:before="40" w:after="40"/>
            </w:pPr>
            <w:r>
              <w:rPr>
                <w:rFonts w:ascii="Calibri" w:hAnsi="Calibri"/>
                <w:color w:val="1A1A2E"/>
                <w:sz w:val="20"/>
              </w:rPr>
              <w:t>Data Quality Council</w:t>
            </w:r>
          </w:p>
        </w:tc>
        <w:tc>
          <w:tcPr>
            <w:tcW w:type="dxa" w:w="3600"/>
            <w:shd w:val="clear" w:color="auto" w:fill="FFFFFF"/>
          </w:tcPr>
          <w:p>
            <w:pPr>
              <w:spacing w:before="40" w:after="40"/>
            </w:pPr>
            <w:r>
              <w:rPr>
                <w:rFonts w:ascii="Calibri" w:hAnsi="Calibri"/>
                <w:color w:val="1A1A2E"/>
                <w:sz w:val="20"/>
              </w:rPr>
              <w:t>Monthly review &amp; prioritisation</w:t>
            </w:r>
          </w:p>
        </w:tc>
        <w:tc>
          <w:tcPr>
            <w:tcW w:type="dxa" w:w="1008"/>
            <w:shd w:val="clear" w:color="auto" w:fill="FFFFFF"/>
          </w:tcPr>
          <w:p>
            <w:pPr>
              <w:spacing w:before="40" w:after="40"/>
            </w:pPr>
            <w:r>
              <w:rPr>
                <w:rFonts w:ascii="Calibri" w:hAnsi="Calibri"/>
                <w:color w:val="1A1A2E"/>
                <w:sz w:val="20"/>
              </w:rPr>
              <w:t>✅</w:t>
            </w:r>
          </w:p>
        </w:tc>
        <w:tc>
          <w:tcPr>
            <w:tcW w:type="dxa" w:w="2160"/>
            <w:shd w:val="clear" w:color="auto" w:fill="FFFFFF"/>
          </w:tcPr>
          <w:p>
            <w:pPr>
              <w:spacing w:before="40" w:after="40"/>
            </w:pPr>
            <w:r>
              <w:rPr>
                <w:rFonts w:ascii="Calibri" w:hAnsi="Calibri"/>
                <w:color w:val="1A1A2E"/>
                <w:sz w:val="20"/>
              </w:rPr>
              <w:t>All stewards</w:t>
            </w:r>
          </w:p>
        </w:tc>
        <w:tc>
          <w:tcPr>
            <w:tcW w:type="dxa" w:w="2448"/>
            <w:shd w:val="clear" w:color="auto" w:fill="FFFFFF"/>
          </w:tcPr>
          <w:p>
            <w:pPr>
              <w:spacing w:before="40" w:after="40"/>
            </w:pPr>
            <w:r>
              <w:rPr>
                <w:rFonts w:ascii="Calibri" w:hAnsi="Calibri"/>
                <w:color w:val="1A1A2E"/>
                <w:sz w:val="20"/>
              </w:rPr>
              <w:t>Engineering leads</w:t>
            </w:r>
          </w:p>
        </w:tc>
      </w:tr>
      <w:tr>
        <w:tc>
          <w:tcPr>
            <w:tcW w:type="dxa" w:w="2880"/>
            <w:shd w:val="clear" w:color="auto" w:fill="E9F1FB"/>
          </w:tcPr>
          <w:p>
            <w:pPr>
              <w:spacing w:before="40" w:after="40"/>
            </w:pPr>
            <w:r>
              <w:rPr>
                <w:rFonts w:ascii="Calibri" w:hAnsi="Calibri"/>
                <w:color w:val="1A1A2E"/>
                <w:sz w:val="20"/>
              </w:rPr>
              <w:t>Domain Data Stewards</w:t>
            </w:r>
          </w:p>
        </w:tc>
        <w:tc>
          <w:tcPr>
            <w:tcW w:type="dxa" w:w="3600"/>
            <w:shd w:val="clear" w:color="auto" w:fill="E9F1FB"/>
          </w:tcPr>
          <w:p>
            <w:pPr>
              <w:spacing w:before="40" w:after="40"/>
            </w:pPr>
            <w:r>
              <w:rPr>
                <w:rFonts w:ascii="Calibri" w:hAnsi="Calibri"/>
                <w:color w:val="1A1A2E"/>
                <w:sz w:val="20"/>
              </w:rPr>
              <w:t>Field-level rules, exception handling</w:t>
            </w:r>
          </w:p>
        </w:tc>
        <w:tc>
          <w:tcPr>
            <w:tcW w:type="dxa" w:w="1008"/>
            <w:shd w:val="clear" w:color="auto" w:fill="E9F1FB"/>
          </w:tcPr>
          <w:p>
            <w:pPr>
              <w:spacing w:before="40" w:after="40"/>
            </w:pPr>
            <w:r>
              <w:rPr>
                <w:rFonts w:ascii="Calibri" w:hAnsi="Calibri"/>
                <w:color w:val="1A1A2E"/>
                <w:sz w:val="20"/>
              </w:rPr>
              <w:t>✅</w:t>
            </w:r>
          </w:p>
        </w:tc>
        <w:tc>
          <w:tcPr>
            <w:tcW w:type="dxa" w:w="2160"/>
            <w:shd w:val="clear" w:color="auto" w:fill="E9F1FB"/>
          </w:tcPr>
          <w:p>
            <w:pPr>
              <w:spacing w:before="40" w:after="40"/>
            </w:pPr>
            <w:r>
              <w:rPr>
                <w:rFonts w:ascii="Calibri" w:hAnsi="Calibri"/>
                <w:color w:val="1A1A2E"/>
                <w:sz w:val="20"/>
              </w:rPr>
              <w:t>BAs, Analysts</w:t>
            </w:r>
          </w:p>
        </w:tc>
        <w:tc>
          <w:tcPr>
            <w:tcW w:type="dxa" w:w="2448"/>
            <w:shd w:val="clear" w:color="auto" w:fill="E9F1FB"/>
          </w:tcPr>
          <w:p>
            <w:pPr>
              <w:spacing w:before="40" w:after="40"/>
            </w:pPr>
            <w:r>
              <w:rPr>
                <w:rFonts w:ascii="Calibri" w:hAnsi="Calibri"/>
                <w:color w:val="1A1A2E"/>
                <w:sz w:val="20"/>
              </w:rPr>
              <w:t>CDO</w:t>
            </w:r>
          </w:p>
        </w:tc>
      </w:tr>
      <w:tr>
        <w:tc>
          <w:tcPr>
            <w:tcW w:type="dxa" w:w="2880"/>
            <w:shd w:val="clear" w:color="auto" w:fill="FFFFFF"/>
          </w:tcPr>
          <w:p>
            <w:pPr>
              <w:spacing w:before="40" w:after="40"/>
            </w:pPr>
            <w:r>
              <w:rPr>
                <w:rFonts w:ascii="Calibri" w:hAnsi="Calibri"/>
                <w:color w:val="1A1A2E"/>
                <w:sz w:val="20"/>
              </w:rPr>
              <w:t>Data Engineering Team</w:t>
            </w:r>
          </w:p>
        </w:tc>
        <w:tc>
          <w:tcPr>
            <w:tcW w:type="dxa" w:w="3600"/>
            <w:shd w:val="clear" w:color="auto" w:fill="FFFFFF"/>
          </w:tcPr>
          <w:p>
            <w:pPr>
              <w:spacing w:before="40" w:after="40"/>
            </w:pPr>
            <w:r>
              <w:rPr>
                <w:rFonts w:ascii="Calibri" w:hAnsi="Calibri"/>
                <w:color w:val="1A1A2E"/>
                <w:sz w:val="20"/>
              </w:rPr>
              <w:t>Pipeline validation, monitoring builds</w:t>
            </w:r>
          </w:p>
        </w:tc>
        <w:tc>
          <w:tcPr>
            <w:tcW w:type="dxa" w:w="1008"/>
            <w:shd w:val="clear" w:color="auto" w:fill="FFFFFF"/>
          </w:tcPr>
          <w:p>
            <w:pPr>
              <w:spacing w:before="40" w:after="40"/>
            </w:pPr>
            <w:r>
              <w:rPr>
                <w:rFonts w:ascii="Calibri" w:hAnsi="Calibri"/>
                <w:color w:val="1A1A2E"/>
                <w:sz w:val="20"/>
              </w:rPr>
              <w:t>✅</w:t>
            </w:r>
          </w:p>
        </w:tc>
        <w:tc>
          <w:tcPr>
            <w:tcW w:type="dxa" w:w="2160"/>
            <w:shd w:val="clear" w:color="auto" w:fill="FFFFFF"/>
          </w:tcPr>
          <w:p>
            <w:pPr>
              <w:spacing w:before="40" w:after="40"/>
            </w:pPr>
            <w:r>
              <w:rPr>
                <w:rFonts w:ascii="Calibri" w:hAnsi="Calibri"/>
                <w:color w:val="1A1A2E"/>
                <w:sz w:val="20"/>
              </w:rPr>
              <w:t>Stewards</w:t>
            </w:r>
          </w:p>
        </w:tc>
        <w:tc>
          <w:tcPr>
            <w:tcW w:type="dxa" w:w="2448"/>
            <w:shd w:val="clear" w:color="auto" w:fill="FFFFFF"/>
          </w:tcPr>
          <w:p>
            <w:pPr>
              <w:spacing w:before="40" w:after="40"/>
            </w:pPr>
            <w:r>
              <w:rPr>
                <w:rFonts w:ascii="Calibri" w:hAnsi="Calibri"/>
                <w:color w:val="1A1A2E"/>
                <w:sz w:val="20"/>
              </w:rPr>
              <w:t>CDO</w:t>
            </w:r>
          </w:p>
        </w:tc>
      </w:tr>
      <w:tr>
        <w:tc>
          <w:tcPr>
            <w:tcW w:type="dxa" w:w="2880"/>
            <w:shd w:val="clear" w:color="auto" w:fill="E9F1FB"/>
          </w:tcPr>
          <w:p>
            <w:pPr>
              <w:spacing w:before="40" w:after="40"/>
            </w:pPr>
            <w:r>
              <w:rPr>
                <w:rFonts w:ascii="Calibri" w:hAnsi="Calibri"/>
                <w:color w:val="1A1A2E"/>
                <w:sz w:val="20"/>
              </w:rPr>
              <w:t>Business Analysts</w:t>
            </w:r>
          </w:p>
        </w:tc>
        <w:tc>
          <w:tcPr>
            <w:tcW w:type="dxa" w:w="3600"/>
            <w:shd w:val="clear" w:color="auto" w:fill="E9F1FB"/>
          </w:tcPr>
          <w:p>
            <w:pPr>
              <w:spacing w:before="40" w:after="40"/>
            </w:pPr>
            <w:r>
              <w:rPr>
                <w:rFonts w:ascii="Calibri" w:hAnsi="Calibri"/>
                <w:color w:val="1A1A2E"/>
                <w:sz w:val="20"/>
              </w:rPr>
              <w:t>Dashboard validation, insight sign-off</w:t>
            </w:r>
          </w:p>
        </w:tc>
        <w:tc>
          <w:tcPr>
            <w:tcW w:type="dxa" w:w="1008"/>
            <w:shd w:val="clear" w:color="auto" w:fill="E9F1FB"/>
          </w:tcPr>
          <w:p>
            <w:pPr>
              <w:spacing w:before="40" w:after="40"/>
            </w:pPr>
            <w:r>
              <w:rPr>
                <w:rFonts w:ascii="Calibri" w:hAnsi="Calibri"/>
                <w:color w:val="1A1A2E"/>
                <w:sz w:val="20"/>
              </w:rPr>
              <w:t>✅</w:t>
            </w:r>
          </w:p>
        </w:tc>
        <w:tc>
          <w:tcPr>
            <w:tcW w:type="dxa" w:w="2160"/>
            <w:shd w:val="clear" w:color="auto" w:fill="E9F1FB"/>
          </w:tcPr>
          <w:p>
            <w:pPr>
              <w:spacing w:before="40" w:after="40"/>
            </w:pPr>
            <w:r>
              <w:rPr>
                <w:rFonts w:ascii="Calibri" w:hAnsi="Calibri"/>
                <w:color w:val="1A1A2E"/>
                <w:sz w:val="20"/>
              </w:rPr>
              <w:t>Stewards</w:t>
            </w:r>
          </w:p>
        </w:tc>
        <w:tc>
          <w:tcPr>
            <w:tcW w:type="dxa" w:w="2448"/>
            <w:shd w:val="clear" w:color="auto" w:fill="E9F1FB"/>
          </w:tcPr>
          <w:p>
            <w:pPr>
              <w:spacing w:before="40" w:after="40"/>
            </w:pPr>
            <w:r>
              <w:rPr>
                <w:rFonts w:ascii="Calibri" w:hAnsi="Calibri"/>
                <w:color w:val="1A1A2E"/>
                <w:sz w:val="20"/>
              </w:rPr>
              <w:t>Leadership</w:t>
            </w:r>
          </w:p>
        </w:tc>
      </w:tr>
      <w:tr>
        <w:tc>
          <w:tcPr>
            <w:tcW w:type="dxa" w:w="2880"/>
            <w:shd w:val="clear" w:color="auto" w:fill="FFFFFF"/>
          </w:tcPr>
          <w:p>
            <w:pPr>
              <w:spacing w:before="40" w:after="40"/>
            </w:pPr>
            <w:r>
              <w:rPr>
                <w:rFonts w:ascii="Calibri" w:hAnsi="Calibri"/>
                <w:color w:val="1A1A2E"/>
                <w:sz w:val="20"/>
              </w:rPr>
              <w:t>Product Managers</w:t>
            </w:r>
          </w:p>
        </w:tc>
        <w:tc>
          <w:tcPr>
            <w:tcW w:type="dxa" w:w="3600"/>
            <w:shd w:val="clear" w:color="auto" w:fill="FFFFFF"/>
          </w:tcPr>
          <w:p>
            <w:pPr>
              <w:spacing w:before="40" w:after="40"/>
            </w:pPr>
            <w:r>
              <w:rPr>
                <w:rFonts w:ascii="Calibri" w:hAnsi="Calibri"/>
                <w:color w:val="1A1A2E"/>
                <w:sz w:val="20"/>
              </w:rPr>
              <w:t>Source-system data accuracy</w:t>
            </w:r>
          </w:p>
        </w:tc>
        <w:tc>
          <w:tcPr>
            <w:tcW w:type="dxa" w:w="1008"/>
            <w:shd w:val="clear" w:color="auto" w:fill="FFFFFF"/>
          </w:tcPr>
          <w:p>
            <w:pPr>
              <w:spacing w:before="40" w:after="40"/>
            </w:pPr>
            <w:r>
              <w:rPr>
                <w:rFonts w:ascii="Calibri" w:hAnsi="Calibri"/>
                <w:color w:val="1A1A2E"/>
                <w:sz w:val="20"/>
              </w:rPr>
              <w:t>✅</w:t>
            </w:r>
          </w:p>
        </w:tc>
        <w:tc>
          <w:tcPr>
            <w:tcW w:type="dxa" w:w="2160"/>
            <w:shd w:val="clear" w:color="auto" w:fill="FFFFFF"/>
          </w:tcPr>
          <w:p>
            <w:pPr>
              <w:spacing w:before="40" w:after="40"/>
            </w:pPr>
            <w:r>
              <w:rPr>
                <w:rFonts w:ascii="Calibri" w:hAnsi="Calibri"/>
                <w:color w:val="1A1A2E"/>
                <w:sz w:val="20"/>
              </w:rPr>
              <w:t>Engineering</w:t>
            </w:r>
          </w:p>
        </w:tc>
        <w:tc>
          <w:tcPr>
            <w:tcW w:type="dxa" w:w="2448"/>
            <w:shd w:val="clear" w:color="auto" w:fill="FFFFFF"/>
          </w:tcPr>
          <w:p>
            <w:pPr>
              <w:spacing w:before="40" w:after="40"/>
            </w:pPr>
            <w:r>
              <w:rPr>
                <w:rFonts w:ascii="Calibri" w:hAnsi="Calibri"/>
                <w:color w:val="1A1A2E"/>
                <w:sz w:val="20"/>
              </w:rPr>
              <w:t>Stewards</w:t>
            </w:r>
          </w:p>
        </w:tc>
      </w:tr>
    </w:tbl>
    <w:p/>
    <w:p>
      <w:pPr>
        <w:spacing w:before="200" w:after="80"/>
      </w:pPr>
      <w:r>
        <w:rPr>
          <w:rFonts w:ascii="Calibri" w:hAnsi="Calibri"/>
          <w:b/>
          <w:color w:val="00878A"/>
          <w:sz w:val="26"/>
        </w:rPr>
        <w:t>3.2  Data Quality Council Charter</w:t>
      </w:r>
    </w:p>
    <w:p>
      <w:pPr>
        <w:spacing w:before="20" w:after="60"/>
        <w:ind w:left="432"/>
      </w:pPr>
      <w:r>
        <w:rPr>
          <w:rFonts w:ascii="Calibri" w:hAnsi="Calibri"/>
          <w:color w:val="1A1A2E"/>
          <w:sz w:val="22"/>
        </w:rPr>
        <w:t>▸  Meeting cadence: Monthly (standing agenda: quality scores, open issues, resolution tracking)</w:t>
      </w:r>
    </w:p>
    <w:p>
      <w:pPr>
        <w:spacing w:before="20" w:after="60"/>
        <w:ind w:left="432"/>
      </w:pPr>
      <w:r>
        <w:rPr>
          <w:rFonts w:ascii="Calibri" w:hAnsi="Calibri"/>
          <w:color w:val="1A1A2E"/>
          <w:sz w:val="22"/>
        </w:rPr>
        <w:t>▸  Quorum: CDO + at least 3 domain stewards</w:t>
      </w:r>
    </w:p>
    <w:p>
      <w:pPr>
        <w:spacing w:before="20" w:after="60"/>
        <w:ind w:left="432"/>
      </w:pPr>
      <w:r>
        <w:rPr>
          <w:rFonts w:ascii="Calibri" w:hAnsi="Calibri"/>
          <w:color w:val="1A1A2E"/>
          <w:sz w:val="22"/>
        </w:rPr>
        <w:t>▸  Escalation path: Unresolved Critical issues escalate to CEO within 5 business days</w:t>
      </w:r>
    </w:p>
    <w:p>
      <w:pPr>
        <w:spacing w:before="20" w:after="60"/>
        <w:ind w:left="432"/>
      </w:pPr>
      <w:r>
        <w:rPr>
          <w:rFonts w:ascii="Calibri" w:hAnsi="Calibri"/>
          <w:color w:val="1A1A2E"/>
          <w:sz w:val="22"/>
        </w:rPr>
        <w:t>▸  Decisions: Quality rule changes, governance exceptions, tool investment</w:t>
      </w:r>
    </w:p>
    <w:p>
      <w:pPr>
        <w:spacing w:before="400" w:after="40"/>
      </w:pPr>
      <w:r>
        <w:rPr>
          <w:rFonts w:ascii="Calibri" w:hAnsi="Calibri"/>
          <w:b/>
          <w:color w:val="1A509C"/>
          <w:sz w:val="36"/>
        </w:rPr>
        <w:t>4. Validation Rules Library</w:t>
      </w:r>
    </w:p>
    <w:p>
      <w:pPr>
        <w:spacing w:before="0" w:after="160"/>
      </w:pPr>
      <w:r>
        <w:rPr>
          <w:color w:val="00878A"/>
          <w:sz w:val="10"/>
        </w:rPr>
        <w:t>─────────────────────────────────────────────────────────────────────────────────────</w:t>
      </w:r>
    </w:p>
    <w:p>
      <w:pPr>
        <w:spacing w:before="40" w:after="120"/>
      </w:pPr>
      <w:r>
        <w:rPr>
          <w:rFonts w:ascii="Calibri" w:hAnsi="Calibri"/>
          <w:color w:val="1A1A2E"/>
          <w:sz w:val="22"/>
        </w:rPr>
        <w:t>The following rules are implemented as automated checks in the data pipeline. Each rule carries a severity level and a defined remediation action.</w:t>
      </w:r>
    </w:p>
    <w:p>
      <w:pPr>
        <w:spacing w:before="200" w:after="80"/>
      </w:pPr>
      <w:r>
        <w:rPr>
          <w:rFonts w:ascii="Calibri" w:hAnsi="Calibri"/>
          <w:b/>
          <w:color w:val="00878A"/>
          <w:sz w:val="26"/>
        </w:rPr>
        <w:t>4.1  Learners</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936"/>
            <w:shd w:val="clear" w:color="auto" w:fill="1A509C"/>
          </w:tcPr>
          <w:p>
            <w:pPr>
              <w:spacing w:before="60" w:after="60"/>
            </w:pPr>
            <w:r>
              <w:rPr>
                <w:rFonts w:ascii="Calibri" w:hAnsi="Calibri"/>
                <w:b/>
                <w:color w:val="FFFFFF"/>
                <w:sz w:val="20"/>
              </w:rPr>
              <w:t>Rule ID</w:t>
            </w:r>
          </w:p>
        </w:tc>
        <w:tc>
          <w:tcPr>
            <w:tcW w:type="dxa" w:w="1872"/>
            <w:shd w:val="clear" w:color="auto" w:fill="1A509C"/>
          </w:tcPr>
          <w:p>
            <w:pPr>
              <w:spacing w:before="60" w:after="60"/>
            </w:pPr>
            <w:r>
              <w:rPr>
                <w:rFonts w:ascii="Calibri" w:hAnsi="Calibri"/>
                <w:b/>
                <w:color w:val="FFFFFF"/>
                <w:sz w:val="20"/>
              </w:rPr>
              <w:t>Field</w:t>
            </w:r>
          </w:p>
        </w:tc>
        <w:tc>
          <w:tcPr>
            <w:tcW w:type="dxa" w:w="1440"/>
            <w:shd w:val="clear" w:color="auto" w:fill="1A509C"/>
          </w:tcPr>
          <w:p>
            <w:pPr>
              <w:spacing w:before="60" w:after="60"/>
            </w:pPr>
            <w:r>
              <w:rPr>
                <w:rFonts w:ascii="Calibri" w:hAnsi="Calibri"/>
                <w:b/>
                <w:color w:val="FFFFFF"/>
                <w:sz w:val="20"/>
              </w:rPr>
              <w:t>Dimension</w:t>
            </w:r>
          </w:p>
        </w:tc>
        <w:tc>
          <w:tcPr>
            <w:tcW w:type="dxa" w:w="3312"/>
            <w:shd w:val="clear" w:color="auto" w:fill="1A509C"/>
          </w:tcPr>
          <w:p>
            <w:pPr>
              <w:spacing w:before="60" w:after="60"/>
            </w:pPr>
            <w:r>
              <w:rPr>
                <w:rFonts w:ascii="Calibri" w:hAnsi="Calibri"/>
                <w:b/>
                <w:color w:val="FFFFFF"/>
                <w:sz w:val="20"/>
              </w:rPr>
              <w:t>Rule Description</w:t>
            </w:r>
          </w:p>
        </w:tc>
        <w:tc>
          <w:tcPr>
            <w:tcW w:type="dxa" w:w="1080"/>
            <w:shd w:val="clear" w:color="auto" w:fill="1A509C"/>
          </w:tcPr>
          <w:p>
            <w:pPr>
              <w:spacing w:before="60" w:after="60"/>
            </w:pPr>
            <w:r>
              <w:rPr>
                <w:rFonts w:ascii="Calibri" w:hAnsi="Calibri"/>
                <w:b/>
                <w:color w:val="FFFFFF"/>
                <w:sz w:val="20"/>
              </w:rPr>
              <w:t>Severity</w:t>
            </w:r>
          </w:p>
        </w:tc>
        <w:tc>
          <w:tcPr>
            <w:tcW w:type="dxa" w:w="3312"/>
            <w:shd w:val="clear" w:color="auto" w:fill="1A509C"/>
          </w:tcPr>
          <w:p>
            <w:pPr>
              <w:spacing w:before="60" w:after="60"/>
            </w:pPr>
            <w:r>
              <w:rPr>
                <w:rFonts w:ascii="Calibri" w:hAnsi="Calibri"/>
                <w:b/>
                <w:color w:val="FFFFFF"/>
                <w:sz w:val="20"/>
              </w:rPr>
              <w:t>Remediation</w:t>
            </w:r>
          </w:p>
        </w:tc>
      </w:tr>
      <w:tr>
        <w:tc>
          <w:tcPr>
            <w:tcW w:type="dxa" w:w="936"/>
            <w:shd w:val="clear" w:color="auto" w:fill="E9F1FB"/>
          </w:tcPr>
          <w:p>
            <w:pPr>
              <w:spacing w:before="40" w:after="40"/>
            </w:pPr>
            <w:r>
              <w:rPr>
                <w:rFonts w:ascii="Calibri" w:hAnsi="Calibri"/>
                <w:color w:val="1A1A2E"/>
                <w:sz w:val="20"/>
              </w:rPr>
              <w:t>LRN-01</w:t>
            </w:r>
          </w:p>
        </w:tc>
        <w:tc>
          <w:tcPr>
            <w:tcW w:type="dxa" w:w="1872"/>
            <w:shd w:val="clear" w:color="auto" w:fill="E9F1FB"/>
          </w:tcPr>
          <w:p>
            <w:pPr>
              <w:spacing w:before="40" w:after="40"/>
            </w:pPr>
            <w:r>
              <w:rPr>
                <w:rFonts w:ascii="Calibri" w:hAnsi="Calibri"/>
                <w:color w:val="1A1A2E"/>
                <w:sz w:val="20"/>
              </w:rPr>
              <w:t>learner_id</w:t>
            </w:r>
          </w:p>
        </w:tc>
        <w:tc>
          <w:tcPr>
            <w:tcW w:type="dxa" w:w="1440"/>
            <w:shd w:val="clear" w:color="auto" w:fill="E9F1FB"/>
          </w:tcPr>
          <w:p>
            <w:pPr>
              <w:spacing w:before="40" w:after="40"/>
            </w:pPr>
            <w:r>
              <w:rPr>
                <w:rFonts w:ascii="Calibri" w:hAnsi="Calibri"/>
                <w:color w:val="1A1A2E"/>
                <w:sz w:val="20"/>
              </w:rPr>
              <w:t>Uniqueness</w:t>
            </w:r>
          </w:p>
        </w:tc>
        <w:tc>
          <w:tcPr>
            <w:tcW w:type="dxa" w:w="3312"/>
            <w:shd w:val="clear" w:color="auto" w:fill="E9F1FB"/>
          </w:tcPr>
          <w:p>
            <w:pPr>
              <w:spacing w:before="40" w:after="40"/>
            </w:pPr>
            <w:r>
              <w:rPr>
                <w:rFonts w:ascii="Calibri" w:hAnsi="Calibri"/>
                <w:color w:val="1A1A2E"/>
                <w:sz w:val="20"/>
              </w:rPr>
              <w:t>learner_id must be unique</w:t>
            </w:r>
          </w:p>
        </w:tc>
        <w:tc>
          <w:tcPr>
            <w:tcW w:type="dxa" w:w="1080"/>
            <w:shd w:val="clear" w:color="auto" w:fill="E9F1FB"/>
          </w:tcPr>
          <w:p>
            <w:pPr>
              <w:spacing w:before="40" w:after="40"/>
            </w:pPr>
            <w:r>
              <w:rPr>
                <w:rFonts w:ascii="Calibri" w:hAnsi="Calibri"/>
                <w:color w:val="1A1A2E"/>
                <w:sz w:val="20"/>
              </w:rPr>
              <w:t>Critical</w:t>
            </w:r>
          </w:p>
        </w:tc>
        <w:tc>
          <w:tcPr>
            <w:tcW w:type="dxa" w:w="3312"/>
            <w:shd w:val="clear" w:color="auto" w:fill="E9F1FB"/>
          </w:tcPr>
          <w:p>
            <w:pPr>
              <w:spacing w:before="40" w:after="40"/>
            </w:pPr>
            <w:r>
              <w:rPr>
                <w:rFonts w:ascii="Calibri" w:hAnsi="Calibri"/>
                <w:color w:val="1A1A2E"/>
                <w:sz w:val="20"/>
              </w:rPr>
              <w:t>Delete or merge duplicate; reassign FK refs</w:t>
            </w:r>
          </w:p>
        </w:tc>
      </w:tr>
      <w:tr>
        <w:tc>
          <w:tcPr>
            <w:tcW w:type="dxa" w:w="936"/>
            <w:shd w:val="clear" w:color="auto" w:fill="FFFFFF"/>
          </w:tcPr>
          <w:p>
            <w:pPr>
              <w:spacing w:before="40" w:after="40"/>
            </w:pPr>
            <w:r>
              <w:rPr>
                <w:rFonts w:ascii="Calibri" w:hAnsi="Calibri"/>
                <w:color w:val="1A1A2E"/>
                <w:sz w:val="20"/>
              </w:rPr>
              <w:t>LRN-02</w:t>
            </w:r>
          </w:p>
        </w:tc>
        <w:tc>
          <w:tcPr>
            <w:tcW w:type="dxa" w:w="1872"/>
            <w:shd w:val="clear" w:color="auto" w:fill="FFFFFF"/>
          </w:tcPr>
          <w:p>
            <w:pPr>
              <w:spacing w:before="40" w:after="40"/>
            </w:pPr>
            <w:r>
              <w:rPr>
                <w:rFonts w:ascii="Calibri" w:hAnsi="Calibri"/>
                <w:color w:val="1A1A2E"/>
                <w:sz w:val="20"/>
              </w:rPr>
              <w:t>email</w:t>
            </w:r>
          </w:p>
        </w:tc>
        <w:tc>
          <w:tcPr>
            <w:tcW w:type="dxa" w:w="1440"/>
            <w:shd w:val="clear" w:color="auto" w:fill="FFFFFF"/>
          </w:tcPr>
          <w:p>
            <w:pPr>
              <w:spacing w:before="40" w:after="40"/>
            </w:pPr>
            <w:r>
              <w:rPr>
                <w:rFonts w:ascii="Calibri" w:hAnsi="Calibri"/>
                <w:color w:val="1A1A2E"/>
                <w:sz w:val="20"/>
              </w:rPr>
              <w:t>Completeness</w:t>
            </w:r>
          </w:p>
        </w:tc>
        <w:tc>
          <w:tcPr>
            <w:tcW w:type="dxa" w:w="3312"/>
            <w:shd w:val="clear" w:color="auto" w:fill="FFFFFF"/>
          </w:tcPr>
          <w:p>
            <w:pPr>
              <w:spacing w:before="40" w:after="40"/>
            </w:pPr>
            <w:r>
              <w:rPr>
                <w:rFonts w:ascii="Calibri" w:hAnsi="Calibri"/>
                <w:color w:val="1A1A2E"/>
                <w:sz w:val="20"/>
              </w:rPr>
              <w:t>email must not be null</w:t>
            </w:r>
          </w:p>
        </w:tc>
        <w:tc>
          <w:tcPr>
            <w:tcW w:type="dxa" w:w="1080"/>
            <w:shd w:val="clear" w:color="auto" w:fill="FFFFFF"/>
          </w:tcPr>
          <w:p>
            <w:pPr>
              <w:spacing w:before="40" w:after="40"/>
            </w:pPr>
            <w:r>
              <w:rPr>
                <w:rFonts w:ascii="Calibri" w:hAnsi="Calibri"/>
                <w:color w:val="1A1A2E"/>
                <w:sz w:val="20"/>
              </w:rPr>
              <w:t>High</w:t>
            </w:r>
          </w:p>
        </w:tc>
        <w:tc>
          <w:tcPr>
            <w:tcW w:type="dxa" w:w="3312"/>
            <w:shd w:val="clear" w:color="auto" w:fill="FFFFFF"/>
          </w:tcPr>
          <w:p>
            <w:pPr>
              <w:spacing w:before="40" w:after="40"/>
            </w:pPr>
            <w:r>
              <w:rPr>
                <w:rFonts w:ascii="Calibri" w:hAnsi="Calibri"/>
                <w:color w:val="1A1A2E"/>
                <w:sz w:val="20"/>
              </w:rPr>
              <w:t>Populate from source; mark uncontactable</w:t>
            </w:r>
          </w:p>
        </w:tc>
      </w:tr>
      <w:tr>
        <w:tc>
          <w:tcPr>
            <w:tcW w:type="dxa" w:w="936"/>
            <w:shd w:val="clear" w:color="auto" w:fill="E9F1FB"/>
          </w:tcPr>
          <w:p>
            <w:pPr>
              <w:spacing w:before="40" w:after="40"/>
            </w:pPr>
            <w:r>
              <w:rPr>
                <w:rFonts w:ascii="Calibri" w:hAnsi="Calibri"/>
                <w:color w:val="1A1A2E"/>
                <w:sz w:val="20"/>
              </w:rPr>
              <w:t>LRN-03</w:t>
            </w:r>
          </w:p>
        </w:tc>
        <w:tc>
          <w:tcPr>
            <w:tcW w:type="dxa" w:w="1872"/>
            <w:shd w:val="clear" w:color="auto" w:fill="E9F1FB"/>
          </w:tcPr>
          <w:p>
            <w:pPr>
              <w:spacing w:before="40" w:after="40"/>
            </w:pPr>
            <w:r>
              <w:rPr>
                <w:rFonts w:ascii="Calibri" w:hAnsi="Calibri"/>
                <w:color w:val="1A1A2E"/>
                <w:sz w:val="20"/>
              </w:rPr>
              <w:t>email</w:t>
            </w:r>
          </w:p>
        </w:tc>
        <w:tc>
          <w:tcPr>
            <w:tcW w:type="dxa" w:w="1440"/>
            <w:shd w:val="clear" w:color="auto" w:fill="E9F1FB"/>
          </w:tcPr>
          <w:p>
            <w:pPr>
              <w:spacing w:before="40" w:after="40"/>
            </w:pPr>
            <w:r>
              <w:rPr>
                <w:rFonts w:ascii="Calibri" w:hAnsi="Calibri"/>
                <w:color w:val="1A1A2E"/>
                <w:sz w:val="20"/>
              </w:rPr>
              <w:t>Validity</w:t>
            </w:r>
          </w:p>
        </w:tc>
        <w:tc>
          <w:tcPr>
            <w:tcW w:type="dxa" w:w="3312"/>
            <w:shd w:val="clear" w:color="auto" w:fill="E9F1FB"/>
          </w:tcPr>
          <w:p>
            <w:pPr>
              <w:spacing w:before="40" w:after="40"/>
            </w:pPr>
            <w:r>
              <w:rPr>
                <w:rFonts w:ascii="Calibri" w:hAnsi="Calibri"/>
                <w:color w:val="1A1A2E"/>
                <w:sz w:val="20"/>
              </w:rPr>
              <w:t>email must match RFC 5322 pattern</w:t>
            </w:r>
          </w:p>
        </w:tc>
        <w:tc>
          <w:tcPr>
            <w:tcW w:type="dxa" w:w="1080"/>
            <w:shd w:val="clear" w:color="auto" w:fill="E9F1FB"/>
          </w:tcPr>
          <w:p>
            <w:pPr>
              <w:spacing w:before="40" w:after="40"/>
            </w:pPr>
            <w:r>
              <w:rPr>
                <w:rFonts w:ascii="Calibri" w:hAnsi="Calibri"/>
                <w:color w:val="1A1A2E"/>
                <w:sz w:val="20"/>
              </w:rPr>
              <w:t>High</w:t>
            </w:r>
          </w:p>
        </w:tc>
        <w:tc>
          <w:tcPr>
            <w:tcW w:type="dxa" w:w="3312"/>
            <w:shd w:val="clear" w:color="auto" w:fill="E9F1FB"/>
          </w:tcPr>
          <w:p>
            <w:pPr>
              <w:spacing w:before="40" w:after="40"/>
            </w:pPr>
            <w:r>
              <w:rPr>
                <w:rFonts w:ascii="Calibri" w:hAnsi="Calibri"/>
                <w:color w:val="1A1A2E"/>
                <w:sz w:val="20"/>
              </w:rPr>
              <w:t>Correct or flag for outreach team</w:t>
            </w:r>
          </w:p>
        </w:tc>
      </w:tr>
      <w:tr>
        <w:tc>
          <w:tcPr>
            <w:tcW w:type="dxa" w:w="936"/>
            <w:shd w:val="clear" w:color="auto" w:fill="FFFFFF"/>
          </w:tcPr>
          <w:p>
            <w:pPr>
              <w:spacing w:before="40" w:after="40"/>
            </w:pPr>
            <w:r>
              <w:rPr>
                <w:rFonts w:ascii="Calibri" w:hAnsi="Calibri"/>
                <w:color w:val="1A1A2E"/>
                <w:sz w:val="20"/>
              </w:rPr>
              <w:t>LRN-04</w:t>
            </w:r>
          </w:p>
        </w:tc>
        <w:tc>
          <w:tcPr>
            <w:tcW w:type="dxa" w:w="1872"/>
            <w:shd w:val="clear" w:color="auto" w:fill="FFFFFF"/>
          </w:tcPr>
          <w:p>
            <w:pPr>
              <w:spacing w:before="40" w:after="40"/>
            </w:pPr>
            <w:r>
              <w:rPr>
                <w:rFonts w:ascii="Calibri" w:hAnsi="Calibri"/>
                <w:color w:val="1A1A2E"/>
                <w:sz w:val="20"/>
              </w:rPr>
              <w:t>date_of_birth</w:t>
            </w:r>
          </w:p>
        </w:tc>
        <w:tc>
          <w:tcPr>
            <w:tcW w:type="dxa" w:w="1440"/>
            <w:shd w:val="clear" w:color="auto" w:fill="FFFFFF"/>
          </w:tcPr>
          <w:p>
            <w:pPr>
              <w:spacing w:before="40" w:after="40"/>
            </w:pPr>
            <w:r>
              <w:rPr>
                <w:rFonts w:ascii="Calibri" w:hAnsi="Calibri"/>
                <w:color w:val="1A1A2E"/>
                <w:sz w:val="20"/>
              </w:rPr>
              <w:t>Validity</w:t>
            </w:r>
          </w:p>
        </w:tc>
        <w:tc>
          <w:tcPr>
            <w:tcW w:type="dxa" w:w="3312"/>
            <w:shd w:val="clear" w:color="auto" w:fill="FFFFFF"/>
          </w:tcPr>
          <w:p>
            <w:pPr>
              <w:spacing w:before="40" w:after="40"/>
            </w:pPr>
            <w:r>
              <w:rPr>
                <w:rFonts w:ascii="Calibri" w:hAnsi="Calibri"/>
                <w:color w:val="1A1A2E"/>
                <w:sz w:val="20"/>
              </w:rPr>
              <w:t>DOB must not be in the future</w:t>
            </w:r>
          </w:p>
        </w:tc>
        <w:tc>
          <w:tcPr>
            <w:tcW w:type="dxa" w:w="1080"/>
            <w:shd w:val="clear" w:color="auto" w:fill="FFFFFF"/>
          </w:tcPr>
          <w:p>
            <w:pPr>
              <w:spacing w:before="40" w:after="40"/>
            </w:pPr>
            <w:r>
              <w:rPr>
                <w:rFonts w:ascii="Calibri" w:hAnsi="Calibri"/>
                <w:color w:val="1A1A2E"/>
                <w:sz w:val="20"/>
              </w:rPr>
              <w:t>High</w:t>
            </w:r>
          </w:p>
        </w:tc>
        <w:tc>
          <w:tcPr>
            <w:tcW w:type="dxa" w:w="3312"/>
            <w:shd w:val="clear" w:color="auto" w:fill="FFFFFF"/>
          </w:tcPr>
          <w:p>
            <w:pPr>
              <w:spacing w:before="40" w:after="40"/>
            </w:pPr>
            <w:r>
              <w:rPr>
                <w:rFonts w:ascii="Calibri" w:hAnsi="Calibri"/>
                <w:color w:val="1A1A2E"/>
                <w:sz w:val="20"/>
              </w:rPr>
              <w:t>Correct to actual date; investigate data entry</w:t>
            </w:r>
          </w:p>
        </w:tc>
      </w:tr>
      <w:tr>
        <w:tc>
          <w:tcPr>
            <w:tcW w:type="dxa" w:w="936"/>
            <w:shd w:val="clear" w:color="auto" w:fill="E9F1FB"/>
          </w:tcPr>
          <w:p>
            <w:pPr>
              <w:spacing w:before="40" w:after="40"/>
            </w:pPr>
            <w:r>
              <w:rPr>
                <w:rFonts w:ascii="Calibri" w:hAnsi="Calibri"/>
                <w:color w:val="1A1A2E"/>
                <w:sz w:val="20"/>
              </w:rPr>
              <w:t>LRN-05</w:t>
            </w:r>
          </w:p>
        </w:tc>
        <w:tc>
          <w:tcPr>
            <w:tcW w:type="dxa" w:w="1872"/>
            <w:shd w:val="clear" w:color="auto" w:fill="E9F1FB"/>
          </w:tcPr>
          <w:p>
            <w:pPr>
              <w:spacing w:before="40" w:after="40"/>
            </w:pPr>
            <w:r>
              <w:rPr>
                <w:rFonts w:ascii="Calibri" w:hAnsi="Calibri"/>
                <w:color w:val="1A1A2E"/>
                <w:sz w:val="20"/>
              </w:rPr>
              <w:t>status</w:t>
            </w:r>
          </w:p>
        </w:tc>
        <w:tc>
          <w:tcPr>
            <w:tcW w:type="dxa" w:w="1440"/>
            <w:shd w:val="clear" w:color="auto" w:fill="E9F1FB"/>
          </w:tcPr>
          <w:p>
            <w:pPr>
              <w:spacing w:before="40" w:after="40"/>
            </w:pPr>
            <w:r>
              <w:rPr>
                <w:rFonts w:ascii="Calibri" w:hAnsi="Calibri"/>
                <w:color w:val="1A1A2E"/>
                <w:sz w:val="20"/>
              </w:rPr>
              <w:t>Consistency</w:t>
            </w:r>
          </w:p>
        </w:tc>
        <w:tc>
          <w:tcPr>
            <w:tcW w:type="dxa" w:w="3312"/>
            <w:shd w:val="clear" w:color="auto" w:fill="E9F1FB"/>
          </w:tcPr>
          <w:p>
            <w:pPr>
              <w:spacing w:before="40" w:after="40"/>
            </w:pPr>
            <w:r>
              <w:rPr>
                <w:rFonts w:ascii="Calibri" w:hAnsi="Calibri"/>
                <w:color w:val="1A1A2E"/>
                <w:sz w:val="20"/>
              </w:rPr>
              <w:t>status must be Active / Inactive / Pending</w:t>
            </w:r>
          </w:p>
        </w:tc>
        <w:tc>
          <w:tcPr>
            <w:tcW w:type="dxa" w:w="1080"/>
            <w:shd w:val="clear" w:color="auto" w:fill="E9F1FB"/>
          </w:tcPr>
          <w:p>
            <w:pPr>
              <w:spacing w:before="40" w:after="40"/>
            </w:pPr>
            <w:r>
              <w:rPr>
                <w:rFonts w:ascii="Calibri" w:hAnsi="Calibri"/>
                <w:color w:val="1A1A2E"/>
                <w:sz w:val="20"/>
              </w:rPr>
              <w:t>Low</w:t>
            </w:r>
          </w:p>
        </w:tc>
        <w:tc>
          <w:tcPr>
            <w:tcW w:type="dxa" w:w="3312"/>
            <w:shd w:val="clear" w:color="auto" w:fill="E9F1FB"/>
          </w:tcPr>
          <w:p>
            <w:pPr>
              <w:spacing w:before="40" w:after="40"/>
            </w:pPr>
            <w:r>
              <w:rPr>
                <w:rFonts w:ascii="Calibri" w:hAnsi="Calibri"/>
                <w:color w:val="1A1A2E"/>
                <w:sz w:val="20"/>
              </w:rPr>
              <w:t>Standardise to Title Case via ETL</w:t>
            </w:r>
          </w:p>
        </w:tc>
      </w:tr>
      <w:tr>
        <w:tc>
          <w:tcPr>
            <w:tcW w:type="dxa" w:w="936"/>
            <w:shd w:val="clear" w:color="auto" w:fill="FFFFFF"/>
          </w:tcPr>
          <w:p>
            <w:pPr>
              <w:spacing w:before="40" w:after="40"/>
            </w:pPr>
            <w:r>
              <w:rPr>
                <w:rFonts w:ascii="Calibri" w:hAnsi="Calibri"/>
                <w:color w:val="1A1A2E"/>
                <w:sz w:val="20"/>
              </w:rPr>
              <w:t>LRN-06</w:t>
            </w:r>
          </w:p>
        </w:tc>
        <w:tc>
          <w:tcPr>
            <w:tcW w:type="dxa" w:w="1872"/>
            <w:shd w:val="clear" w:color="auto" w:fill="FFFFFF"/>
          </w:tcPr>
          <w:p>
            <w:pPr>
              <w:spacing w:before="40" w:after="40"/>
            </w:pPr>
            <w:r>
              <w:rPr>
                <w:rFonts w:ascii="Calibri" w:hAnsi="Calibri"/>
                <w:color w:val="1A1A2E"/>
                <w:sz w:val="20"/>
              </w:rPr>
              <w:t>enrollment_date</w:t>
            </w:r>
          </w:p>
        </w:tc>
        <w:tc>
          <w:tcPr>
            <w:tcW w:type="dxa" w:w="1440"/>
            <w:shd w:val="clear" w:color="auto" w:fill="FFFFFF"/>
          </w:tcPr>
          <w:p>
            <w:pPr>
              <w:spacing w:before="40" w:after="40"/>
            </w:pPr>
            <w:r>
              <w:rPr>
                <w:rFonts w:ascii="Calibri" w:hAnsi="Calibri"/>
                <w:color w:val="1A1A2E"/>
                <w:sz w:val="20"/>
              </w:rPr>
              <w:t>Validity</w:t>
            </w:r>
          </w:p>
        </w:tc>
        <w:tc>
          <w:tcPr>
            <w:tcW w:type="dxa" w:w="3312"/>
            <w:shd w:val="clear" w:color="auto" w:fill="FFFFFF"/>
          </w:tcPr>
          <w:p>
            <w:pPr>
              <w:spacing w:before="40" w:after="40"/>
            </w:pPr>
            <w:r>
              <w:rPr>
                <w:rFonts w:ascii="Calibri" w:hAnsi="Calibri"/>
                <w:color w:val="1A1A2E"/>
                <w:sz w:val="20"/>
              </w:rPr>
              <w:t>Enrollment ≥ 2021-01-01 (platform launch)</w:t>
            </w:r>
          </w:p>
        </w:tc>
        <w:tc>
          <w:tcPr>
            <w:tcW w:type="dxa" w:w="1080"/>
            <w:shd w:val="clear" w:color="auto" w:fill="FFFFFF"/>
          </w:tcPr>
          <w:p>
            <w:pPr>
              <w:spacing w:before="40" w:after="40"/>
            </w:pPr>
            <w:r>
              <w:rPr>
                <w:rFonts w:ascii="Calibri" w:hAnsi="Calibri"/>
                <w:color w:val="1A1A2E"/>
                <w:sz w:val="20"/>
              </w:rPr>
              <w:t>Medium</w:t>
            </w:r>
          </w:p>
        </w:tc>
        <w:tc>
          <w:tcPr>
            <w:tcW w:type="dxa" w:w="3312"/>
            <w:shd w:val="clear" w:color="auto" w:fill="FFFFFF"/>
          </w:tcPr>
          <w:p>
            <w:pPr>
              <w:spacing w:before="40" w:after="40"/>
            </w:pPr>
            <w:r>
              <w:rPr>
                <w:rFonts w:ascii="Calibri" w:hAnsi="Calibri"/>
                <w:color w:val="1A1A2E"/>
                <w:sz w:val="20"/>
              </w:rPr>
              <w:t>Correct or flag for manual review</w:t>
            </w:r>
          </w:p>
        </w:tc>
      </w:tr>
    </w:tbl>
    <w:p/>
    <w:p>
      <w:pPr>
        <w:spacing w:before="200" w:after="80"/>
      </w:pPr>
      <w:r>
        <w:rPr>
          <w:rFonts w:ascii="Calibri" w:hAnsi="Calibri"/>
          <w:b/>
          <w:color w:val="00878A"/>
          <w:sz w:val="26"/>
        </w:rPr>
        <w:t>4.2  Courses</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936"/>
            <w:shd w:val="clear" w:color="auto" w:fill="1A509C"/>
          </w:tcPr>
          <w:p>
            <w:pPr>
              <w:spacing w:before="60" w:after="60"/>
            </w:pPr>
            <w:r>
              <w:rPr>
                <w:rFonts w:ascii="Calibri" w:hAnsi="Calibri"/>
                <w:b/>
                <w:color w:val="FFFFFF"/>
                <w:sz w:val="20"/>
              </w:rPr>
              <w:t>Rule ID</w:t>
            </w:r>
          </w:p>
        </w:tc>
        <w:tc>
          <w:tcPr>
            <w:tcW w:type="dxa" w:w="1872"/>
            <w:shd w:val="clear" w:color="auto" w:fill="1A509C"/>
          </w:tcPr>
          <w:p>
            <w:pPr>
              <w:spacing w:before="60" w:after="60"/>
            </w:pPr>
            <w:r>
              <w:rPr>
                <w:rFonts w:ascii="Calibri" w:hAnsi="Calibri"/>
                <w:b/>
                <w:color w:val="FFFFFF"/>
                <w:sz w:val="20"/>
              </w:rPr>
              <w:t>Field</w:t>
            </w:r>
          </w:p>
        </w:tc>
        <w:tc>
          <w:tcPr>
            <w:tcW w:type="dxa" w:w="1440"/>
            <w:shd w:val="clear" w:color="auto" w:fill="1A509C"/>
          </w:tcPr>
          <w:p>
            <w:pPr>
              <w:spacing w:before="60" w:after="60"/>
            </w:pPr>
            <w:r>
              <w:rPr>
                <w:rFonts w:ascii="Calibri" w:hAnsi="Calibri"/>
                <w:b/>
                <w:color w:val="FFFFFF"/>
                <w:sz w:val="20"/>
              </w:rPr>
              <w:t>Dimension</w:t>
            </w:r>
          </w:p>
        </w:tc>
        <w:tc>
          <w:tcPr>
            <w:tcW w:type="dxa" w:w="3312"/>
            <w:shd w:val="clear" w:color="auto" w:fill="1A509C"/>
          </w:tcPr>
          <w:p>
            <w:pPr>
              <w:spacing w:before="60" w:after="60"/>
            </w:pPr>
            <w:r>
              <w:rPr>
                <w:rFonts w:ascii="Calibri" w:hAnsi="Calibri"/>
                <w:b/>
                <w:color w:val="FFFFFF"/>
                <w:sz w:val="20"/>
              </w:rPr>
              <w:t>Rule Description</w:t>
            </w:r>
          </w:p>
        </w:tc>
        <w:tc>
          <w:tcPr>
            <w:tcW w:type="dxa" w:w="1080"/>
            <w:shd w:val="clear" w:color="auto" w:fill="1A509C"/>
          </w:tcPr>
          <w:p>
            <w:pPr>
              <w:spacing w:before="60" w:after="60"/>
            </w:pPr>
            <w:r>
              <w:rPr>
                <w:rFonts w:ascii="Calibri" w:hAnsi="Calibri"/>
                <w:b/>
                <w:color w:val="FFFFFF"/>
                <w:sz w:val="20"/>
              </w:rPr>
              <w:t>Severity</w:t>
            </w:r>
          </w:p>
        </w:tc>
        <w:tc>
          <w:tcPr>
            <w:tcW w:type="dxa" w:w="3312"/>
            <w:shd w:val="clear" w:color="auto" w:fill="1A509C"/>
          </w:tcPr>
          <w:p>
            <w:pPr>
              <w:spacing w:before="60" w:after="60"/>
            </w:pPr>
            <w:r>
              <w:rPr>
                <w:rFonts w:ascii="Calibri" w:hAnsi="Calibri"/>
                <w:b/>
                <w:color w:val="FFFFFF"/>
                <w:sz w:val="20"/>
              </w:rPr>
              <w:t>Remediation</w:t>
            </w:r>
          </w:p>
        </w:tc>
      </w:tr>
      <w:tr>
        <w:tc>
          <w:tcPr>
            <w:tcW w:type="dxa" w:w="936"/>
            <w:shd w:val="clear" w:color="auto" w:fill="E9F1FB"/>
          </w:tcPr>
          <w:p>
            <w:pPr>
              <w:spacing w:before="40" w:after="40"/>
            </w:pPr>
            <w:r>
              <w:rPr>
                <w:rFonts w:ascii="Calibri" w:hAnsi="Calibri"/>
                <w:color w:val="1A1A2E"/>
                <w:sz w:val="20"/>
              </w:rPr>
              <w:t>CRS-01</w:t>
            </w:r>
          </w:p>
        </w:tc>
        <w:tc>
          <w:tcPr>
            <w:tcW w:type="dxa" w:w="1872"/>
            <w:shd w:val="clear" w:color="auto" w:fill="E9F1FB"/>
          </w:tcPr>
          <w:p>
            <w:pPr>
              <w:spacing w:before="40" w:after="40"/>
            </w:pPr>
            <w:r>
              <w:rPr>
                <w:rFonts w:ascii="Calibri" w:hAnsi="Calibri"/>
                <w:color w:val="1A1A2E"/>
                <w:sz w:val="20"/>
              </w:rPr>
              <w:t>course_title</w:t>
            </w:r>
          </w:p>
        </w:tc>
        <w:tc>
          <w:tcPr>
            <w:tcW w:type="dxa" w:w="1440"/>
            <w:shd w:val="clear" w:color="auto" w:fill="E9F1FB"/>
          </w:tcPr>
          <w:p>
            <w:pPr>
              <w:spacing w:before="40" w:after="40"/>
            </w:pPr>
            <w:r>
              <w:rPr>
                <w:rFonts w:ascii="Calibri" w:hAnsi="Calibri"/>
                <w:color w:val="1A1A2E"/>
                <w:sz w:val="20"/>
              </w:rPr>
              <w:t>Completeness</w:t>
            </w:r>
          </w:p>
        </w:tc>
        <w:tc>
          <w:tcPr>
            <w:tcW w:type="dxa" w:w="3312"/>
            <w:shd w:val="clear" w:color="auto" w:fill="E9F1FB"/>
          </w:tcPr>
          <w:p>
            <w:pPr>
              <w:spacing w:before="40" w:after="40"/>
            </w:pPr>
            <w:r>
              <w:rPr>
                <w:rFonts w:ascii="Calibri" w:hAnsi="Calibri"/>
                <w:color w:val="1A1A2E"/>
                <w:sz w:val="20"/>
              </w:rPr>
              <w:t>course_title must not be null</w:t>
            </w:r>
          </w:p>
        </w:tc>
        <w:tc>
          <w:tcPr>
            <w:tcW w:type="dxa" w:w="1080"/>
            <w:shd w:val="clear" w:color="auto" w:fill="E9F1FB"/>
          </w:tcPr>
          <w:p>
            <w:pPr>
              <w:spacing w:before="40" w:after="40"/>
            </w:pPr>
            <w:r>
              <w:rPr>
                <w:rFonts w:ascii="Calibri" w:hAnsi="Calibri"/>
                <w:color w:val="1A1A2E"/>
                <w:sz w:val="20"/>
              </w:rPr>
              <w:t>High</w:t>
            </w:r>
          </w:p>
        </w:tc>
        <w:tc>
          <w:tcPr>
            <w:tcW w:type="dxa" w:w="3312"/>
            <w:shd w:val="clear" w:color="auto" w:fill="E9F1FB"/>
          </w:tcPr>
          <w:p>
            <w:pPr>
              <w:spacing w:before="40" w:after="40"/>
            </w:pPr>
            <w:r>
              <w:rPr>
                <w:rFonts w:ascii="Calibri" w:hAnsi="Calibri"/>
                <w:color w:val="1A1A2E"/>
                <w:sz w:val="20"/>
              </w:rPr>
              <w:t>Retrieve from catalogue; suspend if unavailable</w:t>
            </w:r>
          </w:p>
        </w:tc>
      </w:tr>
      <w:tr>
        <w:tc>
          <w:tcPr>
            <w:tcW w:type="dxa" w:w="936"/>
            <w:shd w:val="clear" w:color="auto" w:fill="FFFFFF"/>
          </w:tcPr>
          <w:p>
            <w:pPr>
              <w:spacing w:before="40" w:after="40"/>
            </w:pPr>
            <w:r>
              <w:rPr>
                <w:rFonts w:ascii="Calibri" w:hAnsi="Calibri"/>
                <w:color w:val="1A1A2E"/>
                <w:sz w:val="20"/>
              </w:rPr>
              <w:t>CRS-02</w:t>
            </w:r>
          </w:p>
        </w:tc>
        <w:tc>
          <w:tcPr>
            <w:tcW w:type="dxa" w:w="1872"/>
            <w:shd w:val="clear" w:color="auto" w:fill="FFFFFF"/>
          </w:tcPr>
          <w:p>
            <w:pPr>
              <w:spacing w:before="40" w:after="40"/>
            </w:pPr>
            <w:r>
              <w:rPr>
                <w:rFonts w:ascii="Calibri" w:hAnsi="Calibri"/>
                <w:color w:val="1A1A2E"/>
                <w:sz w:val="20"/>
              </w:rPr>
              <w:t>duration_hours</w:t>
            </w:r>
          </w:p>
        </w:tc>
        <w:tc>
          <w:tcPr>
            <w:tcW w:type="dxa" w:w="1440"/>
            <w:shd w:val="clear" w:color="auto" w:fill="FFFFFF"/>
          </w:tcPr>
          <w:p>
            <w:pPr>
              <w:spacing w:before="40" w:after="40"/>
            </w:pPr>
            <w:r>
              <w:rPr>
                <w:rFonts w:ascii="Calibri" w:hAnsi="Calibri"/>
                <w:color w:val="1A1A2E"/>
                <w:sz w:val="20"/>
              </w:rPr>
              <w:t>Validity</w:t>
            </w:r>
          </w:p>
        </w:tc>
        <w:tc>
          <w:tcPr>
            <w:tcW w:type="dxa" w:w="3312"/>
            <w:shd w:val="clear" w:color="auto" w:fill="FFFFFF"/>
          </w:tcPr>
          <w:p>
            <w:pPr>
              <w:spacing w:before="40" w:after="40"/>
            </w:pPr>
            <w:r>
              <w:rPr>
                <w:rFonts w:ascii="Calibri" w:hAnsi="Calibri"/>
                <w:color w:val="1A1A2E"/>
                <w:sz w:val="20"/>
              </w:rPr>
              <w:t>duration_hours must be &gt; 0</w:t>
            </w:r>
          </w:p>
        </w:tc>
        <w:tc>
          <w:tcPr>
            <w:tcW w:type="dxa" w:w="1080"/>
            <w:shd w:val="clear" w:color="auto" w:fill="FFFFFF"/>
          </w:tcPr>
          <w:p>
            <w:pPr>
              <w:spacing w:before="40" w:after="40"/>
            </w:pPr>
            <w:r>
              <w:rPr>
                <w:rFonts w:ascii="Calibri" w:hAnsi="Calibri"/>
                <w:color w:val="1A1A2E"/>
                <w:sz w:val="20"/>
              </w:rPr>
              <w:t>High</w:t>
            </w:r>
          </w:p>
        </w:tc>
        <w:tc>
          <w:tcPr>
            <w:tcW w:type="dxa" w:w="3312"/>
            <w:shd w:val="clear" w:color="auto" w:fill="FFFFFF"/>
          </w:tcPr>
          <w:p>
            <w:pPr>
              <w:spacing w:before="40" w:after="40"/>
            </w:pPr>
            <w:r>
              <w:rPr>
                <w:rFonts w:ascii="Calibri" w:hAnsi="Calibri"/>
                <w:color w:val="1A1A2E"/>
                <w:sz w:val="20"/>
              </w:rPr>
              <w:t>Set to correct value; minimum 1</w:t>
            </w:r>
          </w:p>
        </w:tc>
      </w:tr>
      <w:tr>
        <w:tc>
          <w:tcPr>
            <w:tcW w:type="dxa" w:w="936"/>
            <w:shd w:val="clear" w:color="auto" w:fill="E9F1FB"/>
          </w:tcPr>
          <w:p>
            <w:pPr>
              <w:spacing w:before="40" w:after="40"/>
            </w:pPr>
            <w:r>
              <w:rPr>
                <w:rFonts w:ascii="Calibri" w:hAnsi="Calibri"/>
                <w:color w:val="1A1A2E"/>
                <w:sz w:val="20"/>
              </w:rPr>
              <w:t>CRS-03</w:t>
            </w:r>
          </w:p>
        </w:tc>
        <w:tc>
          <w:tcPr>
            <w:tcW w:type="dxa" w:w="1872"/>
            <w:shd w:val="clear" w:color="auto" w:fill="E9F1FB"/>
          </w:tcPr>
          <w:p>
            <w:pPr>
              <w:spacing w:before="40" w:after="40"/>
            </w:pPr>
            <w:r>
              <w:rPr>
                <w:rFonts w:ascii="Calibri" w:hAnsi="Calibri"/>
                <w:color w:val="1A1A2E"/>
                <w:sz w:val="20"/>
              </w:rPr>
              <w:t>price</w:t>
            </w:r>
          </w:p>
        </w:tc>
        <w:tc>
          <w:tcPr>
            <w:tcW w:type="dxa" w:w="1440"/>
            <w:shd w:val="clear" w:color="auto" w:fill="E9F1FB"/>
          </w:tcPr>
          <w:p>
            <w:pPr>
              <w:spacing w:before="40" w:after="40"/>
            </w:pPr>
            <w:r>
              <w:rPr>
                <w:rFonts w:ascii="Calibri" w:hAnsi="Calibri"/>
                <w:color w:val="1A1A2E"/>
                <w:sz w:val="20"/>
              </w:rPr>
              <w:t>Validity</w:t>
            </w:r>
          </w:p>
        </w:tc>
        <w:tc>
          <w:tcPr>
            <w:tcW w:type="dxa" w:w="3312"/>
            <w:shd w:val="clear" w:color="auto" w:fill="E9F1FB"/>
          </w:tcPr>
          <w:p>
            <w:pPr>
              <w:spacing w:before="40" w:after="40"/>
            </w:pPr>
            <w:r>
              <w:rPr>
                <w:rFonts w:ascii="Calibri" w:hAnsi="Calibri"/>
                <w:color w:val="1A1A2E"/>
                <w:sz w:val="20"/>
              </w:rPr>
              <w:t>price must be ≥ 0</w:t>
            </w:r>
          </w:p>
        </w:tc>
        <w:tc>
          <w:tcPr>
            <w:tcW w:type="dxa" w:w="1080"/>
            <w:shd w:val="clear" w:color="auto" w:fill="E9F1FB"/>
          </w:tcPr>
          <w:p>
            <w:pPr>
              <w:spacing w:before="40" w:after="40"/>
            </w:pPr>
            <w:r>
              <w:rPr>
                <w:rFonts w:ascii="Calibri" w:hAnsi="Calibri"/>
                <w:color w:val="1A1A2E"/>
                <w:sz w:val="20"/>
              </w:rPr>
              <w:t>High</w:t>
            </w:r>
          </w:p>
        </w:tc>
        <w:tc>
          <w:tcPr>
            <w:tcW w:type="dxa" w:w="3312"/>
            <w:shd w:val="clear" w:color="auto" w:fill="E9F1FB"/>
          </w:tcPr>
          <w:p>
            <w:pPr>
              <w:spacing w:before="40" w:after="40"/>
            </w:pPr>
            <w:r>
              <w:rPr>
                <w:rFonts w:ascii="Calibri" w:hAnsi="Calibri"/>
                <w:color w:val="1A1A2E"/>
                <w:sz w:val="20"/>
              </w:rPr>
              <w:t>Correct to 0 (free) or actual price</w:t>
            </w:r>
          </w:p>
        </w:tc>
      </w:tr>
      <w:tr>
        <w:tc>
          <w:tcPr>
            <w:tcW w:type="dxa" w:w="936"/>
            <w:shd w:val="clear" w:color="auto" w:fill="FFFFFF"/>
          </w:tcPr>
          <w:p>
            <w:pPr>
              <w:spacing w:before="40" w:after="40"/>
            </w:pPr>
            <w:r>
              <w:rPr>
                <w:rFonts w:ascii="Calibri" w:hAnsi="Calibri"/>
                <w:color w:val="1A1A2E"/>
                <w:sz w:val="20"/>
              </w:rPr>
              <w:t>CRS-04</w:t>
            </w:r>
          </w:p>
        </w:tc>
        <w:tc>
          <w:tcPr>
            <w:tcW w:type="dxa" w:w="1872"/>
            <w:shd w:val="clear" w:color="auto" w:fill="FFFFFF"/>
          </w:tcPr>
          <w:p>
            <w:pPr>
              <w:spacing w:before="40" w:after="40"/>
            </w:pPr>
            <w:r>
              <w:rPr>
                <w:rFonts w:ascii="Calibri" w:hAnsi="Calibri"/>
                <w:color w:val="1A1A2E"/>
                <w:sz w:val="20"/>
              </w:rPr>
              <w:t>end_date</w:t>
            </w:r>
          </w:p>
        </w:tc>
        <w:tc>
          <w:tcPr>
            <w:tcW w:type="dxa" w:w="1440"/>
            <w:shd w:val="clear" w:color="auto" w:fill="FFFFFF"/>
          </w:tcPr>
          <w:p>
            <w:pPr>
              <w:spacing w:before="40" w:after="40"/>
            </w:pPr>
            <w:r>
              <w:rPr>
                <w:rFonts w:ascii="Calibri" w:hAnsi="Calibri"/>
                <w:color w:val="1A1A2E"/>
                <w:sz w:val="20"/>
              </w:rPr>
              <w:t>Consistency</w:t>
            </w:r>
          </w:p>
        </w:tc>
        <w:tc>
          <w:tcPr>
            <w:tcW w:type="dxa" w:w="3312"/>
            <w:shd w:val="clear" w:color="auto" w:fill="FFFFFF"/>
          </w:tcPr>
          <w:p>
            <w:pPr>
              <w:spacing w:before="40" w:after="40"/>
            </w:pPr>
            <w:r>
              <w:rPr>
                <w:rFonts w:ascii="Calibri" w:hAnsi="Calibri"/>
                <w:color w:val="1A1A2E"/>
                <w:sz w:val="20"/>
              </w:rPr>
              <w:t>end_date must be ≥ start_date</w:t>
            </w:r>
          </w:p>
        </w:tc>
        <w:tc>
          <w:tcPr>
            <w:tcW w:type="dxa" w:w="1080"/>
            <w:shd w:val="clear" w:color="auto" w:fill="FFFFFF"/>
          </w:tcPr>
          <w:p>
            <w:pPr>
              <w:spacing w:before="40" w:after="40"/>
            </w:pPr>
            <w:r>
              <w:rPr>
                <w:rFonts w:ascii="Calibri" w:hAnsi="Calibri"/>
                <w:color w:val="1A1A2E"/>
                <w:sz w:val="20"/>
              </w:rPr>
              <w:t>Critical</w:t>
            </w:r>
          </w:p>
        </w:tc>
        <w:tc>
          <w:tcPr>
            <w:tcW w:type="dxa" w:w="3312"/>
            <w:shd w:val="clear" w:color="auto" w:fill="FFFFFF"/>
          </w:tcPr>
          <w:p>
            <w:pPr>
              <w:spacing w:before="40" w:after="40"/>
            </w:pPr>
            <w:r>
              <w:rPr>
                <w:rFonts w:ascii="Calibri" w:hAnsi="Calibri"/>
                <w:color w:val="1A1A2E"/>
                <w:sz w:val="20"/>
              </w:rPr>
              <w:t>Swap dates or correct from schedule</w:t>
            </w:r>
          </w:p>
        </w:tc>
      </w:tr>
      <w:tr>
        <w:tc>
          <w:tcPr>
            <w:tcW w:type="dxa" w:w="936"/>
            <w:shd w:val="clear" w:color="auto" w:fill="E9F1FB"/>
          </w:tcPr>
          <w:p>
            <w:pPr>
              <w:spacing w:before="40" w:after="40"/>
            </w:pPr>
            <w:r>
              <w:rPr>
                <w:rFonts w:ascii="Calibri" w:hAnsi="Calibri"/>
                <w:color w:val="1A1A2E"/>
                <w:sz w:val="20"/>
              </w:rPr>
              <w:t>CRS-05</w:t>
            </w:r>
          </w:p>
        </w:tc>
        <w:tc>
          <w:tcPr>
            <w:tcW w:type="dxa" w:w="1872"/>
            <w:shd w:val="clear" w:color="auto" w:fill="E9F1FB"/>
          </w:tcPr>
          <w:p>
            <w:pPr>
              <w:spacing w:before="40" w:after="40"/>
            </w:pPr>
            <w:r>
              <w:rPr>
                <w:rFonts w:ascii="Calibri" w:hAnsi="Calibri"/>
                <w:color w:val="1A1A2E"/>
                <w:sz w:val="20"/>
              </w:rPr>
              <w:t>status</w:t>
            </w:r>
          </w:p>
        </w:tc>
        <w:tc>
          <w:tcPr>
            <w:tcW w:type="dxa" w:w="1440"/>
            <w:shd w:val="clear" w:color="auto" w:fill="E9F1FB"/>
          </w:tcPr>
          <w:p>
            <w:pPr>
              <w:spacing w:before="40" w:after="40"/>
            </w:pPr>
            <w:r>
              <w:rPr>
                <w:rFonts w:ascii="Calibri" w:hAnsi="Calibri"/>
                <w:color w:val="1A1A2E"/>
                <w:sz w:val="20"/>
              </w:rPr>
              <w:t>Validity</w:t>
            </w:r>
          </w:p>
        </w:tc>
        <w:tc>
          <w:tcPr>
            <w:tcW w:type="dxa" w:w="3312"/>
            <w:shd w:val="clear" w:color="auto" w:fill="E9F1FB"/>
          </w:tcPr>
          <w:p>
            <w:pPr>
              <w:spacing w:before="40" w:after="40"/>
            </w:pPr>
            <w:r>
              <w:rPr>
                <w:rFonts w:ascii="Calibri" w:hAnsi="Calibri"/>
                <w:color w:val="1A1A2E"/>
                <w:sz w:val="20"/>
              </w:rPr>
              <w:t>status ∈ {Published, Draft, Archived}</w:t>
            </w:r>
          </w:p>
        </w:tc>
        <w:tc>
          <w:tcPr>
            <w:tcW w:type="dxa" w:w="1080"/>
            <w:shd w:val="clear" w:color="auto" w:fill="E9F1FB"/>
          </w:tcPr>
          <w:p>
            <w:pPr>
              <w:spacing w:before="40" w:after="40"/>
            </w:pPr>
            <w:r>
              <w:rPr>
                <w:rFonts w:ascii="Calibri" w:hAnsi="Calibri"/>
                <w:color w:val="1A1A2E"/>
                <w:sz w:val="20"/>
              </w:rPr>
              <w:t>Low</w:t>
            </w:r>
          </w:p>
        </w:tc>
        <w:tc>
          <w:tcPr>
            <w:tcW w:type="dxa" w:w="3312"/>
            <w:shd w:val="clear" w:color="auto" w:fill="E9F1FB"/>
          </w:tcPr>
          <w:p>
            <w:pPr>
              <w:spacing w:before="40" w:after="40"/>
            </w:pPr>
            <w:r>
              <w:rPr>
                <w:rFonts w:ascii="Calibri" w:hAnsi="Calibri"/>
                <w:color w:val="1A1A2E"/>
                <w:sz w:val="20"/>
              </w:rPr>
              <w:t>Map typos to valid value via lookup table</w:t>
            </w:r>
          </w:p>
        </w:tc>
      </w:tr>
    </w:tbl>
    <w:p/>
    <w:p>
      <w:pPr>
        <w:spacing w:before="200" w:after="80"/>
      </w:pPr>
      <w:r>
        <w:rPr>
          <w:rFonts w:ascii="Calibri" w:hAnsi="Calibri"/>
          <w:b/>
          <w:color w:val="00878A"/>
          <w:sz w:val="26"/>
        </w:rPr>
        <w:t>4.3  Assessments</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936"/>
            <w:shd w:val="clear" w:color="auto" w:fill="1A509C"/>
          </w:tcPr>
          <w:p>
            <w:pPr>
              <w:spacing w:before="60" w:after="60"/>
            </w:pPr>
            <w:r>
              <w:rPr>
                <w:rFonts w:ascii="Calibri" w:hAnsi="Calibri"/>
                <w:b/>
                <w:color w:val="FFFFFF"/>
                <w:sz w:val="20"/>
              </w:rPr>
              <w:t>Rule ID</w:t>
            </w:r>
          </w:p>
        </w:tc>
        <w:tc>
          <w:tcPr>
            <w:tcW w:type="dxa" w:w="1872"/>
            <w:shd w:val="clear" w:color="auto" w:fill="1A509C"/>
          </w:tcPr>
          <w:p>
            <w:pPr>
              <w:spacing w:before="60" w:after="60"/>
            </w:pPr>
            <w:r>
              <w:rPr>
                <w:rFonts w:ascii="Calibri" w:hAnsi="Calibri"/>
                <w:b/>
                <w:color w:val="FFFFFF"/>
                <w:sz w:val="20"/>
              </w:rPr>
              <w:t>Field</w:t>
            </w:r>
          </w:p>
        </w:tc>
        <w:tc>
          <w:tcPr>
            <w:tcW w:type="dxa" w:w="1440"/>
            <w:shd w:val="clear" w:color="auto" w:fill="1A509C"/>
          </w:tcPr>
          <w:p>
            <w:pPr>
              <w:spacing w:before="60" w:after="60"/>
            </w:pPr>
            <w:r>
              <w:rPr>
                <w:rFonts w:ascii="Calibri" w:hAnsi="Calibri"/>
                <w:b/>
                <w:color w:val="FFFFFF"/>
                <w:sz w:val="20"/>
              </w:rPr>
              <w:t>Dimension</w:t>
            </w:r>
          </w:p>
        </w:tc>
        <w:tc>
          <w:tcPr>
            <w:tcW w:type="dxa" w:w="3312"/>
            <w:shd w:val="clear" w:color="auto" w:fill="1A509C"/>
          </w:tcPr>
          <w:p>
            <w:pPr>
              <w:spacing w:before="60" w:after="60"/>
            </w:pPr>
            <w:r>
              <w:rPr>
                <w:rFonts w:ascii="Calibri" w:hAnsi="Calibri"/>
                <w:b/>
                <w:color w:val="FFFFFF"/>
                <w:sz w:val="20"/>
              </w:rPr>
              <w:t>Rule Description</w:t>
            </w:r>
          </w:p>
        </w:tc>
        <w:tc>
          <w:tcPr>
            <w:tcW w:type="dxa" w:w="1080"/>
            <w:shd w:val="clear" w:color="auto" w:fill="1A509C"/>
          </w:tcPr>
          <w:p>
            <w:pPr>
              <w:spacing w:before="60" w:after="60"/>
            </w:pPr>
            <w:r>
              <w:rPr>
                <w:rFonts w:ascii="Calibri" w:hAnsi="Calibri"/>
                <w:b/>
                <w:color w:val="FFFFFF"/>
                <w:sz w:val="20"/>
              </w:rPr>
              <w:t>Severity</w:t>
            </w:r>
          </w:p>
        </w:tc>
        <w:tc>
          <w:tcPr>
            <w:tcW w:type="dxa" w:w="3312"/>
            <w:shd w:val="clear" w:color="auto" w:fill="1A509C"/>
          </w:tcPr>
          <w:p>
            <w:pPr>
              <w:spacing w:before="60" w:after="60"/>
            </w:pPr>
            <w:r>
              <w:rPr>
                <w:rFonts w:ascii="Calibri" w:hAnsi="Calibri"/>
                <w:b/>
                <w:color w:val="FFFFFF"/>
                <w:sz w:val="20"/>
              </w:rPr>
              <w:t>Remediation</w:t>
            </w:r>
          </w:p>
        </w:tc>
      </w:tr>
      <w:tr>
        <w:tc>
          <w:tcPr>
            <w:tcW w:type="dxa" w:w="936"/>
            <w:shd w:val="clear" w:color="auto" w:fill="E9F1FB"/>
          </w:tcPr>
          <w:p>
            <w:pPr>
              <w:spacing w:before="40" w:after="40"/>
            </w:pPr>
            <w:r>
              <w:rPr>
                <w:rFonts w:ascii="Calibri" w:hAnsi="Calibri"/>
                <w:color w:val="1A1A2E"/>
                <w:sz w:val="20"/>
              </w:rPr>
              <w:t>ASS-01</w:t>
            </w:r>
          </w:p>
        </w:tc>
        <w:tc>
          <w:tcPr>
            <w:tcW w:type="dxa" w:w="1872"/>
            <w:shd w:val="clear" w:color="auto" w:fill="E9F1FB"/>
          </w:tcPr>
          <w:p>
            <w:pPr>
              <w:spacing w:before="40" w:after="40"/>
            </w:pPr>
            <w:r>
              <w:rPr>
                <w:rFonts w:ascii="Calibri" w:hAnsi="Calibri"/>
                <w:color w:val="1A1A2E"/>
                <w:sz w:val="20"/>
              </w:rPr>
              <w:t>assessment_id</w:t>
            </w:r>
          </w:p>
        </w:tc>
        <w:tc>
          <w:tcPr>
            <w:tcW w:type="dxa" w:w="1440"/>
            <w:shd w:val="clear" w:color="auto" w:fill="E9F1FB"/>
          </w:tcPr>
          <w:p>
            <w:pPr>
              <w:spacing w:before="40" w:after="40"/>
            </w:pPr>
            <w:r>
              <w:rPr>
                <w:rFonts w:ascii="Calibri" w:hAnsi="Calibri"/>
                <w:color w:val="1A1A2E"/>
                <w:sz w:val="20"/>
              </w:rPr>
              <w:t>Uniqueness</w:t>
            </w:r>
          </w:p>
        </w:tc>
        <w:tc>
          <w:tcPr>
            <w:tcW w:type="dxa" w:w="3312"/>
            <w:shd w:val="clear" w:color="auto" w:fill="E9F1FB"/>
          </w:tcPr>
          <w:p>
            <w:pPr>
              <w:spacing w:before="40" w:after="40"/>
            </w:pPr>
            <w:r>
              <w:rPr>
                <w:rFonts w:ascii="Calibri" w:hAnsi="Calibri"/>
                <w:color w:val="1A1A2E"/>
                <w:sz w:val="20"/>
              </w:rPr>
              <w:t>assessment_id must be unique</w:t>
            </w:r>
          </w:p>
        </w:tc>
        <w:tc>
          <w:tcPr>
            <w:tcW w:type="dxa" w:w="1080"/>
            <w:shd w:val="clear" w:color="auto" w:fill="E9F1FB"/>
          </w:tcPr>
          <w:p>
            <w:pPr>
              <w:spacing w:before="40" w:after="40"/>
            </w:pPr>
            <w:r>
              <w:rPr>
                <w:rFonts w:ascii="Calibri" w:hAnsi="Calibri"/>
                <w:color w:val="1A1A2E"/>
                <w:sz w:val="20"/>
              </w:rPr>
              <w:t>Critical</w:t>
            </w:r>
          </w:p>
        </w:tc>
        <w:tc>
          <w:tcPr>
            <w:tcW w:type="dxa" w:w="3312"/>
            <w:shd w:val="clear" w:color="auto" w:fill="E9F1FB"/>
          </w:tcPr>
          <w:p>
            <w:pPr>
              <w:spacing w:before="40" w:after="40"/>
            </w:pPr>
            <w:r>
              <w:rPr>
                <w:rFonts w:ascii="Calibri" w:hAnsi="Calibri"/>
                <w:color w:val="1A1A2E"/>
                <w:sz w:val="20"/>
              </w:rPr>
              <w:t>Renumber duplicate; verify with source</w:t>
            </w:r>
          </w:p>
        </w:tc>
      </w:tr>
      <w:tr>
        <w:tc>
          <w:tcPr>
            <w:tcW w:type="dxa" w:w="936"/>
            <w:shd w:val="clear" w:color="auto" w:fill="FFFFFF"/>
          </w:tcPr>
          <w:p>
            <w:pPr>
              <w:spacing w:before="40" w:after="40"/>
            </w:pPr>
            <w:r>
              <w:rPr>
                <w:rFonts w:ascii="Calibri" w:hAnsi="Calibri"/>
                <w:color w:val="1A1A2E"/>
                <w:sz w:val="20"/>
              </w:rPr>
              <w:t>ASS-02</w:t>
            </w:r>
          </w:p>
        </w:tc>
        <w:tc>
          <w:tcPr>
            <w:tcW w:type="dxa" w:w="1872"/>
            <w:shd w:val="clear" w:color="auto" w:fill="FFFFFF"/>
          </w:tcPr>
          <w:p>
            <w:pPr>
              <w:spacing w:before="40" w:after="40"/>
            </w:pPr>
            <w:r>
              <w:rPr>
                <w:rFonts w:ascii="Calibri" w:hAnsi="Calibri"/>
                <w:color w:val="1A1A2E"/>
                <w:sz w:val="20"/>
              </w:rPr>
              <w:t>max_score</w:t>
            </w:r>
          </w:p>
        </w:tc>
        <w:tc>
          <w:tcPr>
            <w:tcW w:type="dxa" w:w="1440"/>
            <w:shd w:val="clear" w:color="auto" w:fill="FFFFFF"/>
          </w:tcPr>
          <w:p>
            <w:pPr>
              <w:spacing w:before="40" w:after="40"/>
            </w:pPr>
            <w:r>
              <w:rPr>
                <w:rFonts w:ascii="Calibri" w:hAnsi="Calibri"/>
                <w:color w:val="1A1A2E"/>
                <w:sz w:val="20"/>
              </w:rPr>
              <w:t>Validity</w:t>
            </w:r>
          </w:p>
        </w:tc>
        <w:tc>
          <w:tcPr>
            <w:tcW w:type="dxa" w:w="3312"/>
            <w:shd w:val="clear" w:color="auto" w:fill="FFFFFF"/>
          </w:tcPr>
          <w:p>
            <w:pPr>
              <w:spacing w:before="40" w:after="40"/>
            </w:pPr>
            <w:r>
              <w:rPr>
                <w:rFonts w:ascii="Calibri" w:hAnsi="Calibri"/>
                <w:color w:val="1A1A2E"/>
                <w:sz w:val="20"/>
              </w:rPr>
              <w:t>max_score must be &gt; 0</w:t>
            </w:r>
          </w:p>
        </w:tc>
        <w:tc>
          <w:tcPr>
            <w:tcW w:type="dxa" w:w="1080"/>
            <w:shd w:val="clear" w:color="auto" w:fill="FFFFFF"/>
          </w:tcPr>
          <w:p>
            <w:pPr>
              <w:spacing w:before="40" w:after="40"/>
            </w:pPr>
            <w:r>
              <w:rPr>
                <w:rFonts w:ascii="Calibri" w:hAnsi="Calibri"/>
                <w:color w:val="1A1A2E"/>
                <w:sz w:val="20"/>
              </w:rPr>
              <w:t>High</w:t>
            </w:r>
          </w:p>
        </w:tc>
        <w:tc>
          <w:tcPr>
            <w:tcW w:type="dxa" w:w="3312"/>
            <w:shd w:val="clear" w:color="auto" w:fill="FFFFFF"/>
          </w:tcPr>
          <w:p>
            <w:pPr>
              <w:spacing w:before="40" w:after="40"/>
            </w:pPr>
            <w:r>
              <w:rPr>
                <w:rFonts w:ascii="Calibri" w:hAnsi="Calibri"/>
                <w:color w:val="1A1A2E"/>
                <w:sz w:val="20"/>
              </w:rPr>
              <w:t>Set to correct marks value; default 100</w:t>
            </w:r>
          </w:p>
        </w:tc>
      </w:tr>
      <w:tr>
        <w:tc>
          <w:tcPr>
            <w:tcW w:type="dxa" w:w="936"/>
            <w:shd w:val="clear" w:color="auto" w:fill="E9F1FB"/>
          </w:tcPr>
          <w:p>
            <w:pPr>
              <w:spacing w:before="40" w:after="40"/>
            </w:pPr>
            <w:r>
              <w:rPr>
                <w:rFonts w:ascii="Calibri" w:hAnsi="Calibri"/>
                <w:color w:val="1A1A2E"/>
                <w:sz w:val="20"/>
              </w:rPr>
              <w:t>ASS-03</w:t>
            </w:r>
          </w:p>
        </w:tc>
        <w:tc>
          <w:tcPr>
            <w:tcW w:type="dxa" w:w="1872"/>
            <w:shd w:val="clear" w:color="auto" w:fill="E9F1FB"/>
          </w:tcPr>
          <w:p>
            <w:pPr>
              <w:spacing w:before="40" w:after="40"/>
            </w:pPr>
            <w:r>
              <w:rPr>
                <w:rFonts w:ascii="Calibri" w:hAnsi="Calibri"/>
                <w:color w:val="1A1A2E"/>
                <w:sz w:val="20"/>
              </w:rPr>
              <w:t>passing_score</w:t>
            </w:r>
          </w:p>
        </w:tc>
        <w:tc>
          <w:tcPr>
            <w:tcW w:type="dxa" w:w="1440"/>
            <w:shd w:val="clear" w:color="auto" w:fill="E9F1FB"/>
          </w:tcPr>
          <w:p>
            <w:pPr>
              <w:spacing w:before="40" w:after="40"/>
            </w:pPr>
            <w:r>
              <w:rPr>
                <w:rFonts w:ascii="Calibri" w:hAnsi="Calibri"/>
                <w:color w:val="1A1A2E"/>
                <w:sz w:val="20"/>
              </w:rPr>
              <w:t>Business Rule</w:t>
            </w:r>
          </w:p>
        </w:tc>
        <w:tc>
          <w:tcPr>
            <w:tcW w:type="dxa" w:w="3312"/>
            <w:shd w:val="clear" w:color="auto" w:fill="E9F1FB"/>
          </w:tcPr>
          <w:p>
            <w:pPr>
              <w:spacing w:before="40" w:after="40"/>
            </w:pPr>
            <w:r>
              <w:rPr>
                <w:rFonts w:ascii="Calibri" w:hAnsi="Calibri"/>
                <w:color w:val="1A1A2E"/>
                <w:sz w:val="20"/>
              </w:rPr>
              <w:t>passing_score must be ≤ max_score</w:t>
            </w:r>
          </w:p>
        </w:tc>
        <w:tc>
          <w:tcPr>
            <w:tcW w:type="dxa" w:w="1080"/>
            <w:shd w:val="clear" w:color="auto" w:fill="E9F1FB"/>
          </w:tcPr>
          <w:p>
            <w:pPr>
              <w:spacing w:before="40" w:after="40"/>
            </w:pPr>
            <w:r>
              <w:rPr>
                <w:rFonts w:ascii="Calibri" w:hAnsi="Calibri"/>
                <w:color w:val="1A1A2E"/>
                <w:sz w:val="20"/>
              </w:rPr>
              <w:t>Critical</w:t>
            </w:r>
          </w:p>
        </w:tc>
        <w:tc>
          <w:tcPr>
            <w:tcW w:type="dxa" w:w="3312"/>
            <w:shd w:val="clear" w:color="auto" w:fill="E9F1FB"/>
          </w:tcPr>
          <w:p>
            <w:pPr>
              <w:spacing w:before="40" w:after="40"/>
            </w:pPr>
            <w:r>
              <w:rPr>
                <w:rFonts w:ascii="Calibri" w:hAnsi="Calibri"/>
                <w:color w:val="1A1A2E"/>
                <w:sz w:val="20"/>
              </w:rPr>
              <w:t>Set to 50% of max_score as default</w:t>
            </w:r>
          </w:p>
        </w:tc>
      </w:tr>
      <w:tr>
        <w:tc>
          <w:tcPr>
            <w:tcW w:type="dxa" w:w="936"/>
            <w:shd w:val="clear" w:color="auto" w:fill="FFFFFF"/>
          </w:tcPr>
          <w:p>
            <w:pPr>
              <w:spacing w:before="40" w:after="40"/>
            </w:pPr>
            <w:r>
              <w:rPr>
                <w:rFonts w:ascii="Calibri" w:hAnsi="Calibri"/>
                <w:color w:val="1A1A2E"/>
                <w:sz w:val="20"/>
              </w:rPr>
              <w:t>ASS-04</w:t>
            </w:r>
          </w:p>
        </w:tc>
        <w:tc>
          <w:tcPr>
            <w:tcW w:type="dxa" w:w="1872"/>
            <w:shd w:val="clear" w:color="auto" w:fill="FFFFFF"/>
          </w:tcPr>
          <w:p>
            <w:pPr>
              <w:spacing w:before="40" w:after="40"/>
            </w:pPr>
            <w:r>
              <w:rPr>
                <w:rFonts w:ascii="Calibri" w:hAnsi="Calibri"/>
                <w:color w:val="1A1A2E"/>
                <w:sz w:val="20"/>
              </w:rPr>
              <w:t>due_date</w:t>
            </w:r>
          </w:p>
        </w:tc>
        <w:tc>
          <w:tcPr>
            <w:tcW w:type="dxa" w:w="1440"/>
            <w:shd w:val="clear" w:color="auto" w:fill="FFFFFF"/>
          </w:tcPr>
          <w:p>
            <w:pPr>
              <w:spacing w:before="40" w:after="40"/>
            </w:pPr>
            <w:r>
              <w:rPr>
                <w:rFonts w:ascii="Calibri" w:hAnsi="Calibri"/>
                <w:color w:val="1A1A2E"/>
                <w:sz w:val="20"/>
              </w:rPr>
              <w:t>Consistency</w:t>
            </w:r>
          </w:p>
        </w:tc>
        <w:tc>
          <w:tcPr>
            <w:tcW w:type="dxa" w:w="3312"/>
            <w:shd w:val="clear" w:color="auto" w:fill="FFFFFF"/>
          </w:tcPr>
          <w:p>
            <w:pPr>
              <w:spacing w:before="40" w:after="40"/>
            </w:pPr>
            <w:r>
              <w:rPr>
                <w:rFonts w:ascii="Calibri" w:hAnsi="Calibri"/>
                <w:color w:val="1A1A2E"/>
                <w:sz w:val="20"/>
              </w:rPr>
              <w:t>due_date must be ≥ created_date</w:t>
            </w:r>
          </w:p>
        </w:tc>
        <w:tc>
          <w:tcPr>
            <w:tcW w:type="dxa" w:w="1080"/>
            <w:shd w:val="clear" w:color="auto" w:fill="FFFFFF"/>
          </w:tcPr>
          <w:p>
            <w:pPr>
              <w:spacing w:before="40" w:after="40"/>
            </w:pPr>
            <w:r>
              <w:rPr>
                <w:rFonts w:ascii="Calibri" w:hAnsi="Calibri"/>
                <w:color w:val="1A1A2E"/>
                <w:sz w:val="20"/>
              </w:rPr>
              <w:t>High</w:t>
            </w:r>
          </w:p>
        </w:tc>
        <w:tc>
          <w:tcPr>
            <w:tcW w:type="dxa" w:w="3312"/>
            <w:shd w:val="clear" w:color="auto" w:fill="FFFFFF"/>
          </w:tcPr>
          <w:p>
            <w:pPr>
              <w:spacing w:before="40" w:after="40"/>
            </w:pPr>
            <w:r>
              <w:rPr>
                <w:rFonts w:ascii="Calibri" w:hAnsi="Calibri"/>
                <w:color w:val="1A1A2E"/>
                <w:sz w:val="20"/>
              </w:rPr>
              <w:t>Set due_date = created_date + 14 days</w:t>
            </w:r>
          </w:p>
        </w:tc>
      </w:tr>
      <w:tr>
        <w:tc>
          <w:tcPr>
            <w:tcW w:type="dxa" w:w="936"/>
            <w:shd w:val="clear" w:color="auto" w:fill="E9F1FB"/>
          </w:tcPr>
          <w:p>
            <w:pPr>
              <w:spacing w:before="40" w:after="40"/>
            </w:pPr>
            <w:r>
              <w:rPr>
                <w:rFonts w:ascii="Calibri" w:hAnsi="Calibri"/>
                <w:color w:val="1A1A2E"/>
                <w:sz w:val="20"/>
              </w:rPr>
              <w:t>ASS-05</w:t>
            </w:r>
          </w:p>
        </w:tc>
        <w:tc>
          <w:tcPr>
            <w:tcW w:type="dxa" w:w="1872"/>
            <w:shd w:val="clear" w:color="auto" w:fill="E9F1FB"/>
          </w:tcPr>
          <w:p>
            <w:pPr>
              <w:spacing w:before="40" w:after="40"/>
            </w:pPr>
            <w:r>
              <w:rPr>
                <w:rFonts w:ascii="Calibri" w:hAnsi="Calibri"/>
                <w:color w:val="1A1A2E"/>
                <w:sz w:val="20"/>
              </w:rPr>
              <w:t>course_id</w:t>
            </w:r>
          </w:p>
        </w:tc>
        <w:tc>
          <w:tcPr>
            <w:tcW w:type="dxa" w:w="1440"/>
            <w:shd w:val="clear" w:color="auto" w:fill="E9F1FB"/>
          </w:tcPr>
          <w:p>
            <w:pPr>
              <w:spacing w:before="40" w:after="40"/>
            </w:pPr>
            <w:r>
              <w:rPr>
                <w:rFonts w:ascii="Calibri" w:hAnsi="Calibri"/>
                <w:color w:val="1A1A2E"/>
                <w:sz w:val="20"/>
              </w:rPr>
              <w:t>Ref Integrity</w:t>
            </w:r>
          </w:p>
        </w:tc>
        <w:tc>
          <w:tcPr>
            <w:tcW w:type="dxa" w:w="3312"/>
            <w:shd w:val="clear" w:color="auto" w:fill="E9F1FB"/>
          </w:tcPr>
          <w:p>
            <w:pPr>
              <w:spacing w:before="40" w:after="40"/>
            </w:pPr>
            <w:r>
              <w:rPr>
                <w:rFonts w:ascii="Calibri" w:hAnsi="Calibri"/>
                <w:color w:val="1A1A2E"/>
                <w:sz w:val="20"/>
              </w:rPr>
              <w:t>course_id must exist in courses table</w:t>
            </w:r>
          </w:p>
        </w:tc>
        <w:tc>
          <w:tcPr>
            <w:tcW w:type="dxa" w:w="1080"/>
            <w:shd w:val="clear" w:color="auto" w:fill="E9F1FB"/>
          </w:tcPr>
          <w:p>
            <w:pPr>
              <w:spacing w:before="40" w:after="40"/>
            </w:pPr>
            <w:r>
              <w:rPr>
                <w:rFonts w:ascii="Calibri" w:hAnsi="Calibri"/>
                <w:color w:val="1A1A2E"/>
                <w:sz w:val="20"/>
              </w:rPr>
              <w:t>Critical</w:t>
            </w:r>
          </w:p>
        </w:tc>
        <w:tc>
          <w:tcPr>
            <w:tcW w:type="dxa" w:w="3312"/>
            <w:shd w:val="clear" w:color="auto" w:fill="E9F1FB"/>
          </w:tcPr>
          <w:p>
            <w:pPr>
              <w:spacing w:before="40" w:after="40"/>
            </w:pPr>
            <w:r>
              <w:rPr>
                <w:rFonts w:ascii="Calibri" w:hAnsi="Calibri"/>
                <w:color w:val="1A1A2E"/>
                <w:sz w:val="20"/>
              </w:rPr>
              <w:t>Correct or delete orphan assessment</w:t>
            </w:r>
          </w:p>
        </w:tc>
      </w:tr>
    </w:tbl>
    <w:p/>
    <w:p>
      <w:pPr>
        <w:spacing w:before="200" w:after="80"/>
      </w:pPr>
      <w:r>
        <w:rPr>
          <w:rFonts w:ascii="Calibri" w:hAnsi="Calibri"/>
          <w:b/>
          <w:color w:val="00878A"/>
          <w:sz w:val="26"/>
        </w:rPr>
        <w:t>4.4  Course Enrollments</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936"/>
            <w:shd w:val="clear" w:color="auto" w:fill="1A509C"/>
          </w:tcPr>
          <w:p>
            <w:pPr>
              <w:spacing w:before="60" w:after="60"/>
            </w:pPr>
            <w:r>
              <w:rPr>
                <w:rFonts w:ascii="Calibri" w:hAnsi="Calibri"/>
                <w:b/>
                <w:color w:val="FFFFFF"/>
                <w:sz w:val="20"/>
              </w:rPr>
              <w:t>Rule ID</w:t>
            </w:r>
          </w:p>
        </w:tc>
        <w:tc>
          <w:tcPr>
            <w:tcW w:type="dxa" w:w="1872"/>
            <w:shd w:val="clear" w:color="auto" w:fill="1A509C"/>
          </w:tcPr>
          <w:p>
            <w:pPr>
              <w:spacing w:before="60" w:after="60"/>
            </w:pPr>
            <w:r>
              <w:rPr>
                <w:rFonts w:ascii="Calibri" w:hAnsi="Calibri"/>
                <w:b/>
                <w:color w:val="FFFFFF"/>
                <w:sz w:val="20"/>
              </w:rPr>
              <w:t>Field</w:t>
            </w:r>
          </w:p>
        </w:tc>
        <w:tc>
          <w:tcPr>
            <w:tcW w:type="dxa" w:w="1440"/>
            <w:shd w:val="clear" w:color="auto" w:fill="1A509C"/>
          </w:tcPr>
          <w:p>
            <w:pPr>
              <w:spacing w:before="60" w:after="60"/>
            </w:pPr>
            <w:r>
              <w:rPr>
                <w:rFonts w:ascii="Calibri" w:hAnsi="Calibri"/>
                <w:b/>
                <w:color w:val="FFFFFF"/>
                <w:sz w:val="20"/>
              </w:rPr>
              <w:t>Dimension</w:t>
            </w:r>
          </w:p>
        </w:tc>
        <w:tc>
          <w:tcPr>
            <w:tcW w:type="dxa" w:w="3312"/>
            <w:shd w:val="clear" w:color="auto" w:fill="1A509C"/>
          </w:tcPr>
          <w:p>
            <w:pPr>
              <w:spacing w:before="60" w:after="60"/>
            </w:pPr>
            <w:r>
              <w:rPr>
                <w:rFonts w:ascii="Calibri" w:hAnsi="Calibri"/>
                <w:b/>
                <w:color w:val="FFFFFF"/>
                <w:sz w:val="20"/>
              </w:rPr>
              <w:t>Rule Description</w:t>
            </w:r>
          </w:p>
        </w:tc>
        <w:tc>
          <w:tcPr>
            <w:tcW w:type="dxa" w:w="1080"/>
            <w:shd w:val="clear" w:color="auto" w:fill="1A509C"/>
          </w:tcPr>
          <w:p>
            <w:pPr>
              <w:spacing w:before="60" w:after="60"/>
            </w:pPr>
            <w:r>
              <w:rPr>
                <w:rFonts w:ascii="Calibri" w:hAnsi="Calibri"/>
                <w:b/>
                <w:color w:val="FFFFFF"/>
                <w:sz w:val="20"/>
              </w:rPr>
              <w:t>Severity</w:t>
            </w:r>
          </w:p>
        </w:tc>
        <w:tc>
          <w:tcPr>
            <w:tcW w:type="dxa" w:w="3312"/>
            <w:shd w:val="clear" w:color="auto" w:fill="1A509C"/>
          </w:tcPr>
          <w:p>
            <w:pPr>
              <w:spacing w:before="60" w:after="60"/>
            </w:pPr>
            <w:r>
              <w:rPr>
                <w:rFonts w:ascii="Calibri" w:hAnsi="Calibri"/>
                <w:b/>
                <w:color w:val="FFFFFF"/>
                <w:sz w:val="20"/>
              </w:rPr>
              <w:t>Remediation</w:t>
            </w:r>
          </w:p>
        </w:tc>
      </w:tr>
      <w:tr>
        <w:tc>
          <w:tcPr>
            <w:tcW w:type="dxa" w:w="936"/>
            <w:shd w:val="clear" w:color="auto" w:fill="E9F1FB"/>
          </w:tcPr>
          <w:p>
            <w:pPr>
              <w:spacing w:before="40" w:after="40"/>
            </w:pPr>
            <w:r>
              <w:rPr>
                <w:rFonts w:ascii="Calibri" w:hAnsi="Calibri"/>
                <w:color w:val="1A1A2E"/>
                <w:sz w:val="20"/>
              </w:rPr>
              <w:t>ENR-01</w:t>
            </w:r>
          </w:p>
        </w:tc>
        <w:tc>
          <w:tcPr>
            <w:tcW w:type="dxa" w:w="1872"/>
            <w:shd w:val="clear" w:color="auto" w:fill="E9F1FB"/>
          </w:tcPr>
          <w:p>
            <w:pPr>
              <w:spacing w:before="40" w:after="40"/>
            </w:pPr>
            <w:r>
              <w:rPr>
                <w:rFonts w:ascii="Calibri" w:hAnsi="Calibri"/>
                <w:color w:val="1A1A2E"/>
                <w:sz w:val="20"/>
              </w:rPr>
              <w:t>enrollment_id</w:t>
            </w:r>
          </w:p>
        </w:tc>
        <w:tc>
          <w:tcPr>
            <w:tcW w:type="dxa" w:w="1440"/>
            <w:shd w:val="clear" w:color="auto" w:fill="E9F1FB"/>
          </w:tcPr>
          <w:p>
            <w:pPr>
              <w:spacing w:before="40" w:after="40"/>
            </w:pPr>
            <w:r>
              <w:rPr>
                <w:rFonts w:ascii="Calibri" w:hAnsi="Calibri"/>
                <w:color w:val="1A1A2E"/>
                <w:sz w:val="20"/>
              </w:rPr>
              <w:t>Uniqueness</w:t>
            </w:r>
          </w:p>
        </w:tc>
        <w:tc>
          <w:tcPr>
            <w:tcW w:type="dxa" w:w="3312"/>
            <w:shd w:val="clear" w:color="auto" w:fill="E9F1FB"/>
          </w:tcPr>
          <w:p>
            <w:pPr>
              <w:spacing w:before="40" w:after="40"/>
            </w:pPr>
            <w:r>
              <w:rPr>
                <w:rFonts w:ascii="Calibri" w:hAnsi="Calibri"/>
                <w:color w:val="1A1A2E"/>
                <w:sz w:val="20"/>
              </w:rPr>
              <w:t>enrollment_id must be unique</w:t>
            </w:r>
          </w:p>
        </w:tc>
        <w:tc>
          <w:tcPr>
            <w:tcW w:type="dxa" w:w="1080"/>
            <w:shd w:val="clear" w:color="auto" w:fill="E9F1FB"/>
          </w:tcPr>
          <w:p>
            <w:pPr>
              <w:spacing w:before="40" w:after="40"/>
            </w:pPr>
            <w:r>
              <w:rPr>
                <w:rFonts w:ascii="Calibri" w:hAnsi="Calibri"/>
                <w:color w:val="1A1A2E"/>
                <w:sz w:val="20"/>
              </w:rPr>
              <w:t>Critical</w:t>
            </w:r>
          </w:p>
        </w:tc>
        <w:tc>
          <w:tcPr>
            <w:tcW w:type="dxa" w:w="3312"/>
            <w:shd w:val="clear" w:color="auto" w:fill="E9F1FB"/>
          </w:tcPr>
          <w:p>
            <w:pPr>
              <w:spacing w:before="40" w:after="40"/>
            </w:pPr>
            <w:r>
              <w:rPr>
                <w:rFonts w:ascii="Calibri" w:hAnsi="Calibri"/>
                <w:color w:val="1A1A2E"/>
                <w:sz w:val="20"/>
              </w:rPr>
              <w:t>Delete duplicate; keep first occurrence</w:t>
            </w:r>
          </w:p>
        </w:tc>
      </w:tr>
      <w:tr>
        <w:tc>
          <w:tcPr>
            <w:tcW w:type="dxa" w:w="936"/>
            <w:shd w:val="clear" w:color="auto" w:fill="FFFFFF"/>
          </w:tcPr>
          <w:p>
            <w:pPr>
              <w:spacing w:before="40" w:after="40"/>
            </w:pPr>
            <w:r>
              <w:rPr>
                <w:rFonts w:ascii="Calibri" w:hAnsi="Calibri"/>
                <w:color w:val="1A1A2E"/>
                <w:sz w:val="20"/>
              </w:rPr>
              <w:t>ENR-02</w:t>
            </w:r>
          </w:p>
        </w:tc>
        <w:tc>
          <w:tcPr>
            <w:tcW w:type="dxa" w:w="1872"/>
            <w:shd w:val="clear" w:color="auto" w:fill="FFFFFF"/>
          </w:tcPr>
          <w:p>
            <w:pPr>
              <w:spacing w:before="40" w:after="40"/>
            </w:pPr>
            <w:r>
              <w:rPr>
                <w:rFonts w:ascii="Calibri" w:hAnsi="Calibri"/>
                <w:color w:val="1A1A2E"/>
                <w:sz w:val="20"/>
              </w:rPr>
              <w:t>learner_id</w:t>
            </w:r>
          </w:p>
        </w:tc>
        <w:tc>
          <w:tcPr>
            <w:tcW w:type="dxa" w:w="1440"/>
            <w:shd w:val="clear" w:color="auto" w:fill="FFFFFF"/>
          </w:tcPr>
          <w:p>
            <w:pPr>
              <w:spacing w:before="40" w:after="40"/>
            </w:pPr>
            <w:r>
              <w:rPr>
                <w:rFonts w:ascii="Calibri" w:hAnsi="Calibri"/>
                <w:color w:val="1A1A2E"/>
                <w:sz w:val="20"/>
              </w:rPr>
              <w:t>Ref Integrity</w:t>
            </w:r>
          </w:p>
        </w:tc>
        <w:tc>
          <w:tcPr>
            <w:tcW w:type="dxa" w:w="3312"/>
            <w:shd w:val="clear" w:color="auto" w:fill="FFFFFF"/>
          </w:tcPr>
          <w:p>
            <w:pPr>
              <w:spacing w:before="40" w:after="40"/>
            </w:pPr>
            <w:r>
              <w:rPr>
                <w:rFonts w:ascii="Calibri" w:hAnsi="Calibri"/>
                <w:color w:val="1A1A2E"/>
                <w:sz w:val="20"/>
              </w:rPr>
              <w:t>learner_id must exist in learners</w:t>
            </w:r>
          </w:p>
        </w:tc>
        <w:tc>
          <w:tcPr>
            <w:tcW w:type="dxa" w:w="1080"/>
            <w:shd w:val="clear" w:color="auto" w:fill="FFFFFF"/>
          </w:tcPr>
          <w:p>
            <w:pPr>
              <w:spacing w:before="40" w:after="40"/>
            </w:pPr>
            <w:r>
              <w:rPr>
                <w:rFonts w:ascii="Calibri" w:hAnsi="Calibri"/>
                <w:color w:val="1A1A2E"/>
                <w:sz w:val="20"/>
              </w:rPr>
              <w:t>Critical</w:t>
            </w:r>
          </w:p>
        </w:tc>
        <w:tc>
          <w:tcPr>
            <w:tcW w:type="dxa" w:w="3312"/>
            <w:shd w:val="clear" w:color="auto" w:fill="FFFFFF"/>
          </w:tcPr>
          <w:p>
            <w:pPr>
              <w:spacing w:before="40" w:after="40"/>
            </w:pPr>
            <w:r>
              <w:rPr>
                <w:rFonts w:ascii="Calibri" w:hAnsi="Calibri"/>
                <w:color w:val="1A1A2E"/>
                <w:sz w:val="20"/>
              </w:rPr>
              <w:t>Correct or remove orphan enrollment</w:t>
            </w:r>
          </w:p>
        </w:tc>
      </w:tr>
      <w:tr>
        <w:tc>
          <w:tcPr>
            <w:tcW w:type="dxa" w:w="936"/>
            <w:shd w:val="clear" w:color="auto" w:fill="E9F1FB"/>
          </w:tcPr>
          <w:p>
            <w:pPr>
              <w:spacing w:before="40" w:after="40"/>
            </w:pPr>
            <w:r>
              <w:rPr>
                <w:rFonts w:ascii="Calibri" w:hAnsi="Calibri"/>
                <w:color w:val="1A1A2E"/>
                <w:sz w:val="20"/>
              </w:rPr>
              <w:t>ENR-03</w:t>
            </w:r>
          </w:p>
        </w:tc>
        <w:tc>
          <w:tcPr>
            <w:tcW w:type="dxa" w:w="1872"/>
            <w:shd w:val="clear" w:color="auto" w:fill="E9F1FB"/>
          </w:tcPr>
          <w:p>
            <w:pPr>
              <w:spacing w:before="40" w:after="40"/>
            </w:pPr>
            <w:r>
              <w:rPr>
                <w:rFonts w:ascii="Calibri" w:hAnsi="Calibri"/>
                <w:color w:val="1A1A2E"/>
                <w:sz w:val="20"/>
              </w:rPr>
              <w:t>course_id</w:t>
            </w:r>
          </w:p>
        </w:tc>
        <w:tc>
          <w:tcPr>
            <w:tcW w:type="dxa" w:w="1440"/>
            <w:shd w:val="clear" w:color="auto" w:fill="E9F1FB"/>
          </w:tcPr>
          <w:p>
            <w:pPr>
              <w:spacing w:before="40" w:after="40"/>
            </w:pPr>
            <w:r>
              <w:rPr>
                <w:rFonts w:ascii="Calibri" w:hAnsi="Calibri"/>
                <w:color w:val="1A1A2E"/>
                <w:sz w:val="20"/>
              </w:rPr>
              <w:t>Ref Integrity</w:t>
            </w:r>
          </w:p>
        </w:tc>
        <w:tc>
          <w:tcPr>
            <w:tcW w:type="dxa" w:w="3312"/>
            <w:shd w:val="clear" w:color="auto" w:fill="E9F1FB"/>
          </w:tcPr>
          <w:p>
            <w:pPr>
              <w:spacing w:before="40" w:after="40"/>
            </w:pPr>
            <w:r>
              <w:rPr>
                <w:rFonts w:ascii="Calibri" w:hAnsi="Calibri"/>
                <w:color w:val="1A1A2E"/>
                <w:sz w:val="20"/>
              </w:rPr>
              <w:t>course_id must exist in courses</w:t>
            </w:r>
          </w:p>
        </w:tc>
        <w:tc>
          <w:tcPr>
            <w:tcW w:type="dxa" w:w="1080"/>
            <w:shd w:val="clear" w:color="auto" w:fill="E9F1FB"/>
          </w:tcPr>
          <w:p>
            <w:pPr>
              <w:spacing w:before="40" w:after="40"/>
            </w:pPr>
            <w:r>
              <w:rPr>
                <w:rFonts w:ascii="Calibri" w:hAnsi="Calibri"/>
                <w:color w:val="1A1A2E"/>
                <w:sz w:val="20"/>
              </w:rPr>
              <w:t>Critical</w:t>
            </w:r>
          </w:p>
        </w:tc>
        <w:tc>
          <w:tcPr>
            <w:tcW w:type="dxa" w:w="3312"/>
            <w:shd w:val="clear" w:color="auto" w:fill="E9F1FB"/>
          </w:tcPr>
          <w:p>
            <w:pPr>
              <w:spacing w:before="40" w:after="40"/>
            </w:pPr>
            <w:r>
              <w:rPr>
                <w:rFonts w:ascii="Calibri" w:hAnsi="Calibri"/>
                <w:color w:val="1A1A2E"/>
                <w:sz w:val="20"/>
              </w:rPr>
              <w:t>Correct or remove orphan enrollment</w:t>
            </w:r>
          </w:p>
        </w:tc>
      </w:tr>
      <w:tr>
        <w:tc>
          <w:tcPr>
            <w:tcW w:type="dxa" w:w="936"/>
            <w:shd w:val="clear" w:color="auto" w:fill="FFFFFF"/>
          </w:tcPr>
          <w:p>
            <w:pPr>
              <w:spacing w:before="40" w:after="40"/>
            </w:pPr>
            <w:r>
              <w:rPr>
                <w:rFonts w:ascii="Calibri" w:hAnsi="Calibri"/>
                <w:color w:val="1A1A2E"/>
                <w:sz w:val="20"/>
              </w:rPr>
              <w:t>ENR-04</w:t>
            </w:r>
          </w:p>
        </w:tc>
        <w:tc>
          <w:tcPr>
            <w:tcW w:type="dxa" w:w="1872"/>
            <w:shd w:val="clear" w:color="auto" w:fill="FFFFFF"/>
          </w:tcPr>
          <w:p>
            <w:pPr>
              <w:spacing w:before="40" w:after="40"/>
            </w:pPr>
            <w:r>
              <w:rPr>
                <w:rFonts w:ascii="Calibri" w:hAnsi="Calibri"/>
                <w:color w:val="1A1A2E"/>
                <w:sz w:val="20"/>
              </w:rPr>
              <w:t>completion_date</w:t>
            </w:r>
          </w:p>
        </w:tc>
        <w:tc>
          <w:tcPr>
            <w:tcW w:type="dxa" w:w="1440"/>
            <w:shd w:val="clear" w:color="auto" w:fill="FFFFFF"/>
          </w:tcPr>
          <w:p>
            <w:pPr>
              <w:spacing w:before="40" w:after="40"/>
            </w:pPr>
            <w:r>
              <w:rPr>
                <w:rFonts w:ascii="Calibri" w:hAnsi="Calibri"/>
                <w:color w:val="1A1A2E"/>
                <w:sz w:val="20"/>
              </w:rPr>
              <w:t>Consistency</w:t>
            </w:r>
          </w:p>
        </w:tc>
        <w:tc>
          <w:tcPr>
            <w:tcW w:type="dxa" w:w="3312"/>
            <w:shd w:val="clear" w:color="auto" w:fill="FFFFFF"/>
          </w:tcPr>
          <w:p>
            <w:pPr>
              <w:spacing w:before="40" w:after="40"/>
            </w:pPr>
            <w:r>
              <w:rPr>
                <w:rFonts w:ascii="Calibri" w:hAnsi="Calibri"/>
                <w:color w:val="1A1A2E"/>
                <w:sz w:val="20"/>
              </w:rPr>
              <w:t>completion_date ≥ enrollment_date</w:t>
            </w:r>
          </w:p>
        </w:tc>
        <w:tc>
          <w:tcPr>
            <w:tcW w:type="dxa" w:w="1080"/>
            <w:shd w:val="clear" w:color="auto" w:fill="FFFFFF"/>
          </w:tcPr>
          <w:p>
            <w:pPr>
              <w:spacing w:before="40" w:after="40"/>
            </w:pPr>
            <w:r>
              <w:rPr>
                <w:rFonts w:ascii="Calibri" w:hAnsi="Calibri"/>
                <w:color w:val="1A1A2E"/>
                <w:sz w:val="20"/>
              </w:rPr>
              <w:t>High</w:t>
            </w:r>
          </w:p>
        </w:tc>
        <w:tc>
          <w:tcPr>
            <w:tcW w:type="dxa" w:w="3312"/>
            <w:shd w:val="clear" w:color="auto" w:fill="FFFFFF"/>
          </w:tcPr>
          <w:p>
            <w:pPr>
              <w:spacing w:before="40" w:after="40"/>
            </w:pPr>
            <w:r>
              <w:rPr>
                <w:rFonts w:ascii="Calibri" w:hAnsi="Calibri"/>
                <w:color w:val="1A1A2E"/>
                <w:sz w:val="20"/>
              </w:rPr>
              <w:t>Correct sequence; add 90-day offset if error</w:t>
            </w:r>
          </w:p>
        </w:tc>
      </w:tr>
      <w:tr>
        <w:tc>
          <w:tcPr>
            <w:tcW w:type="dxa" w:w="936"/>
            <w:shd w:val="clear" w:color="auto" w:fill="E9F1FB"/>
          </w:tcPr>
          <w:p>
            <w:pPr>
              <w:spacing w:before="40" w:after="40"/>
            </w:pPr>
            <w:r>
              <w:rPr>
                <w:rFonts w:ascii="Calibri" w:hAnsi="Calibri"/>
                <w:color w:val="1A1A2E"/>
                <w:sz w:val="20"/>
              </w:rPr>
              <w:t>ENR-05</w:t>
            </w:r>
          </w:p>
        </w:tc>
        <w:tc>
          <w:tcPr>
            <w:tcW w:type="dxa" w:w="1872"/>
            <w:shd w:val="clear" w:color="auto" w:fill="E9F1FB"/>
          </w:tcPr>
          <w:p>
            <w:pPr>
              <w:spacing w:before="40" w:after="40"/>
            </w:pPr>
            <w:r>
              <w:rPr>
                <w:rFonts w:ascii="Calibri" w:hAnsi="Calibri"/>
                <w:color w:val="1A1A2E"/>
                <w:sz w:val="20"/>
              </w:rPr>
              <w:t>grade</w:t>
            </w:r>
          </w:p>
        </w:tc>
        <w:tc>
          <w:tcPr>
            <w:tcW w:type="dxa" w:w="1440"/>
            <w:shd w:val="clear" w:color="auto" w:fill="E9F1FB"/>
          </w:tcPr>
          <w:p>
            <w:pPr>
              <w:spacing w:before="40" w:after="40"/>
            </w:pPr>
            <w:r>
              <w:rPr>
                <w:rFonts w:ascii="Calibri" w:hAnsi="Calibri"/>
                <w:color w:val="1A1A2E"/>
                <w:sz w:val="20"/>
              </w:rPr>
              <w:t>Validity</w:t>
            </w:r>
          </w:p>
        </w:tc>
        <w:tc>
          <w:tcPr>
            <w:tcW w:type="dxa" w:w="3312"/>
            <w:shd w:val="clear" w:color="auto" w:fill="E9F1FB"/>
          </w:tcPr>
          <w:p>
            <w:pPr>
              <w:spacing w:before="40" w:after="40"/>
            </w:pPr>
            <w:r>
              <w:rPr>
                <w:rFonts w:ascii="Calibri" w:hAnsi="Calibri"/>
                <w:color w:val="1A1A2E"/>
                <w:sz w:val="20"/>
              </w:rPr>
              <w:t>grade must be between 0 and 100</w:t>
            </w:r>
          </w:p>
        </w:tc>
        <w:tc>
          <w:tcPr>
            <w:tcW w:type="dxa" w:w="1080"/>
            <w:shd w:val="clear" w:color="auto" w:fill="E9F1FB"/>
          </w:tcPr>
          <w:p>
            <w:pPr>
              <w:spacing w:before="40" w:after="40"/>
            </w:pPr>
            <w:r>
              <w:rPr>
                <w:rFonts w:ascii="Calibri" w:hAnsi="Calibri"/>
                <w:color w:val="1A1A2E"/>
                <w:sz w:val="20"/>
              </w:rPr>
              <w:t>High</w:t>
            </w:r>
          </w:p>
        </w:tc>
        <w:tc>
          <w:tcPr>
            <w:tcW w:type="dxa" w:w="3312"/>
            <w:shd w:val="clear" w:color="auto" w:fill="E9F1FB"/>
          </w:tcPr>
          <w:p>
            <w:pPr>
              <w:spacing w:before="40" w:after="40"/>
            </w:pPr>
            <w:r>
              <w:rPr>
                <w:rFonts w:ascii="Calibri" w:hAnsi="Calibri"/>
                <w:color w:val="1A1A2E"/>
                <w:sz w:val="20"/>
              </w:rPr>
              <w:t>Cap at 100; investigate values above range</w:t>
            </w:r>
          </w:p>
        </w:tc>
      </w:tr>
    </w:tbl>
    <w:p/>
    <w:p>
      <w:pPr>
        <w:spacing w:before="200" w:after="80"/>
      </w:pPr>
      <w:r>
        <w:rPr>
          <w:rFonts w:ascii="Calibri" w:hAnsi="Calibri"/>
          <w:b/>
          <w:color w:val="00878A"/>
          <w:sz w:val="26"/>
        </w:rPr>
        <w:t>4.5  Transactions</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936"/>
            <w:shd w:val="clear" w:color="auto" w:fill="1A509C"/>
          </w:tcPr>
          <w:p>
            <w:pPr>
              <w:spacing w:before="60" w:after="60"/>
            </w:pPr>
            <w:r>
              <w:rPr>
                <w:rFonts w:ascii="Calibri" w:hAnsi="Calibri"/>
                <w:b/>
                <w:color w:val="FFFFFF"/>
                <w:sz w:val="20"/>
              </w:rPr>
              <w:t>Rule ID</w:t>
            </w:r>
          </w:p>
        </w:tc>
        <w:tc>
          <w:tcPr>
            <w:tcW w:type="dxa" w:w="1872"/>
            <w:shd w:val="clear" w:color="auto" w:fill="1A509C"/>
          </w:tcPr>
          <w:p>
            <w:pPr>
              <w:spacing w:before="60" w:after="60"/>
            </w:pPr>
            <w:r>
              <w:rPr>
                <w:rFonts w:ascii="Calibri" w:hAnsi="Calibri"/>
                <w:b/>
                <w:color w:val="FFFFFF"/>
                <w:sz w:val="20"/>
              </w:rPr>
              <w:t>Field</w:t>
            </w:r>
          </w:p>
        </w:tc>
        <w:tc>
          <w:tcPr>
            <w:tcW w:type="dxa" w:w="1440"/>
            <w:shd w:val="clear" w:color="auto" w:fill="1A509C"/>
          </w:tcPr>
          <w:p>
            <w:pPr>
              <w:spacing w:before="60" w:after="60"/>
            </w:pPr>
            <w:r>
              <w:rPr>
                <w:rFonts w:ascii="Calibri" w:hAnsi="Calibri"/>
                <w:b/>
                <w:color w:val="FFFFFF"/>
                <w:sz w:val="20"/>
              </w:rPr>
              <w:t>Dimension</w:t>
            </w:r>
          </w:p>
        </w:tc>
        <w:tc>
          <w:tcPr>
            <w:tcW w:type="dxa" w:w="3312"/>
            <w:shd w:val="clear" w:color="auto" w:fill="1A509C"/>
          </w:tcPr>
          <w:p>
            <w:pPr>
              <w:spacing w:before="60" w:after="60"/>
            </w:pPr>
            <w:r>
              <w:rPr>
                <w:rFonts w:ascii="Calibri" w:hAnsi="Calibri"/>
                <w:b/>
                <w:color w:val="FFFFFF"/>
                <w:sz w:val="20"/>
              </w:rPr>
              <w:t>Rule Description</w:t>
            </w:r>
          </w:p>
        </w:tc>
        <w:tc>
          <w:tcPr>
            <w:tcW w:type="dxa" w:w="1080"/>
            <w:shd w:val="clear" w:color="auto" w:fill="1A509C"/>
          </w:tcPr>
          <w:p>
            <w:pPr>
              <w:spacing w:before="60" w:after="60"/>
            </w:pPr>
            <w:r>
              <w:rPr>
                <w:rFonts w:ascii="Calibri" w:hAnsi="Calibri"/>
                <w:b/>
                <w:color w:val="FFFFFF"/>
                <w:sz w:val="20"/>
              </w:rPr>
              <w:t>Severity</w:t>
            </w:r>
          </w:p>
        </w:tc>
        <w:tc>
          <w:tcPr>
            <w:tcW w:type="dxa" w:w="3312"/>
            <w:shd w:val="clear" w:color="auto" w:fill="1A509C"/>
          </w:tcPr>
          <w:p>
            <w:pPr>
              <w:spacing w:before="60" w:after="60"/>
            </w:pPr>
            <w:r>
              <w:rPr>
                <w:rFonts w:ascii="Calibri" w:hAnsi="Calibri"/>
                <w:b/>
                <w:color w:val="FFFFFF"/>
                <w:sz w:val="20"/>
              </w:rPr>
              <w:t>Remediation</w:t>
            </w:r>
          </w:p>
        </w:tc>
      </w:tr>
      <w:tr>
        <w:tc>
          <w:tcPr>
            <w:tcW w:type="dxa" w:w="936"/>
            <w:shd w:val="clear" w:color="auto" w:fill="E9F1FB"/>
          </w:tcPr>
          <w:p>
            <w:pPr>
              <w:spacing w:before="40" w:after="40"/>
            </w:pPr>
            <w:r>
              <w:rPr>
                <w:rFonts w:ascii="Calibri" w:hAnsi="Calibri"/>
                <w:color w:val="1A1A2E"/>
                <w:sz w:val="20"/>
              </w:rPr>
              <w:t>TXN-01</w:t>
            </w:r>
          </w:p>
        </w:tc>
        <w:tc>
          <w:tcPr>
            <w:tcW w:type="dxa" w:w="1872"/>
            <w:shd w:val="clear" w:color="auto" w:fill="E9F1FB"/>
          </w:tcPr>
          <w:p>
            <w:pPr>
              <w:spacing w:before="40" w:after="40"/>
            </w:pPr>
            <w:r>
              <w:rPr>
                <w:rFonts w:ascii="Calibri" w:hAnsi="Calibri"/>
                <w:color w:val="1A1A2E"/>
                <w:sz w:val="20"/>
              </w:rPr>
              <w:t>transaction_id</w:t>
            </w:r>
          </w:p>
        </w:tc>
        <w:tc>
          <w:tcPr>
            <w:tcW w:type="dxa" w:w="1440"/>
            <w:shd w:val="clear" w:color="auto" w:fill="E9F1FB"/>
          </w:tcPr>
          <w:p>
            <w:pPr>
              <w:spacing w:before="40" w:after="40"/>
            </w:pPr>
            <w:r>
              <w:rPr>
                <w:rFonts w:ascii="Calibri" w:hAnsi="Calibri"/>
                <w:color w:val="1A1A2E"/>
                <w:sz w:val="20"/>
              </w:rPr>
              <w:t>Uniqueness</w:t>
            </w:r>
          </w:p>
        </w:tc>
        <w:tc>
          <w:tcPr>
            <w:tcW w:type="dxa" w:w="3312"/>
            <w:shd w:val="clear" w:color="auto" w:fill="E9F1FB"/>
          </w:tcPr>
          <w:p>
            <w:pPr>
              <w:spacing w:before="40" w:after="40"/>
            </w:pPr>
            <w:r>
              <w:rPr>
                <w:rFonts w:ascii="Calibri" w:hAnsi="Calibri"/>
                <w:color w:val="1A1A2E"/>
                <w:sz w:val="20"/>
              </w:rPr>
              <w:t>transaction_id must be unique</w:t>
            </w:r>
          </w:p>
        </w:tc>
        <w:tc>
          <w:tcPr>
            <w:tcW w:type="dxa" w:w="1080"/>
            <w:shd w:val="clear" w:color="auto" w:fill="E9F1FB"/>
          </w:tcPr>
          <w:p>
            <w:pPr>
              <w:spacing w:before="40" w:after="40"/>
            </w:pPr>
            <w:r>
              <w:rPr>
                <w:rFonts w:ascii="Calibri" w:hAnsi="Calibri"/>
                <w:color w:val="1A1A2E"/>
                <w:sz w:val="20"/>
              </w:rPr>
              <w:t>Critical</w:t>
            </w:r>
          </w:p>
        </w:tc>
        <w:tc>
          <w:tcPr>
            <w:tcW w:type="dxa" w:w="3312"/>
            <w:shd w:val="clear" w:color="auto" w:fill="E9F1FB"/>
          </w:tcPr>
          <w:p>
            <w:pPr>
              <w:spacing w:before="40" w:after="40"/>
            </w:pPr>
            <w:r>
              <w:rPr>
                <w:rFonts w:ascii="Calibri" w:hAnsi="Calibri"/>
                <w:color w:val="1A1A2E"/>
                <w:sz w:val="20"/>
              </w:rPr>
              <w:t>Keep original; mark duplicate as voided</w:t>
            </w:r>
          </w:p>
        </w:tc>
      </w:tr>
      <w:tr>
        <w:tc>
          <w:tcPr>
            <w:tcW w:type="dxa" w:w="936"/>
            <w:shd w:val="clear" w:color="auto" w:fill="FFFFFF"/>
          </w:tcPr>
          <w:p>
            <w:pPr>
              <w:spacing w:before="40" w:after="40"/>
            </w:pPr>
            <w:r>
              <w:rPr>
                <w:rFonts w:ascii="Calibri" w:hAnsi="Calibri"/>
                <w:color w:val="1A1A2E"/>
                <w:sz w:val="20"/>
              </w:rPr>
              <w:t>TXN-02</w:t>
            </w:r>
          </w:p>
        </w:tc>
        <w:tc>
          <w:tcPr>
            <w:tcW w:type="dxa" w:w="1872"/>
            <w:shd w:val="clear" w:color="auto" w:fill="FFFFFF"/>
          </w:tcPr>
          <w:p>
            <w:pPr>
              <w:spacing w:before="40" w:after="40"/>
            </w:pPr>
            <w:r>
              <w:rPr>
                <w:rFonts w:ascii="Calibri" w:hAnsi="Calibri"/>
                <w:color w:val="1A1A2E"/>
                <w:sz w:val="20"/>
              </w:rPr>
              <w:t>amount</w:t>
            </w:r>
          </w:p>
        </w:tc>
        <w:tc>
          <w:tcPr>
            <w:tcW w:type="dxa" w:w="1440"/>
            <w:shd w:val="clear" w:color="auto" w:fill="FFFFFF"/>
          </w:tcPr>
          <w:p>
            <w:pPr>
              <w:spacing w:before="40" w:after="40"/>
            </w:pPr>
            <w:r>
              <w:rPr>
                <w:rFonts w:ascii="Calibri" w:hAnsi="Calibri"/>
                <w:color w:val="1A1A2E"/>
                <w:sz w:val="20"/>
              </w:rPr>
              <w:t>Validity</w:t>
            </w:r>
          </w:p>
        </w:tc>
        <w:tc>
          <w:tcPr>
            <w:tcW w:type="dxa" w:w="3312"/>
            <w:shd w:val="clear" w:color="auto" w:fill="FFFFFF"/>
          </w:tcPr>
          <w:p>
            <w:pPr>
              <w:spacing w:before="40" w:after="40"/>
            </w:pPr>
            <w:r>
              <w:rPr>
                <w:rFonts w:ascii="Calibri" w:hAnsi="Calibri"/>
                <w:color w:val="1A1A2E"/>
                <w:sz w:val="20"/>
              </w:rPr>
              <w:t>amount must be &gt; 0</w:t>
            </w:r>
          </w:p>
        </w:tc>
        <w:tc>
          <w:tcPr>
            <w:tcW w:type="dxa" w:w="1080"/>
            <w:shd w:val="clear" w:color="auto" w:fill="FFFFFF"/>
          </w:tcPr>
          <w:p>
            <w:pPr>
              <w:spacing w:before="40" w:after="40"/>
            </w:pPr>
            <w:r>
              <w:rPr>
                <w:rFonts w:ascii="Calibri" w:hAnsi="Calibri"/>
                <w:color w:val="1A1A2E"/>
                <w:sz w:val="20"/>
              </w:rPr>
              <w:t>Critical</w:t>
            </w:r>
          </w:p>
        </w:tc>
        <w:tc>
          <w:tcPr>
            <w:tcW w:type="dxa" w:w="3312"/>
            <w:shd w:val="clear" w:color="auto" w:fill="FFFFFF"/>
          </w:tcPr>
          <w:p>
            <w:pPr>
              <w:spacing w:before="40" w:after="40"/>
            </w:pPr>
            <w:r>
              <w:rPr>
                <w:rFonts w:ascii="Calibri" w:hAnsi="Calibri"/>
                <w:color w:val="1A1A2E"/>
                <w:sz w:val="20"/>
              </w:rPr>
              <w:t>If refund, create credit note record</w:t>
            </w:r>
          </w:p>
        </w:tc>
      </w:tr>
      <w:tr>
        <w:tc>
          <w:tcPr>
            <w:tcW w:type="dxa" w:w="936"/>
            <w:shd w:val="clear" w:color="auto" w:fill="E9F1FB"/>
          </w:tcPr>
          <w:p>
            <w:pPr>
              <w:spacing w:before="40" w:after="40"/>
            </w:pPr>
            <w:r>
              <w:rPr>
                <w:rFonts w:ascii="Calibri" w:hAnsi="Calibri"/>
                <w:color w:val="1A1A2E"/>
                <w:sz w:val="20"/>
              </w:rPr>
              <w:t>TXN-03</w:t>
            </w:r>
          </w:p>
        </w:tc>
        <w:tc>
          <w:tcPr>
            <w:tcW w:type="dxa" w:w="1872"/>
            <w:shd w:val="clear" w:color="auto" w:fill="E9F1FB"/>
          </w:tcPr>
          <w:p>
            <w:pPr>
              <w:spacing w:before="40" w:after="40"/>
            </w:pPr>
            <w:r>
              <w:rPr>
                <w:rFonts w:ascii="Calibri" w:hAnsi="Calibri"/>
                <w:color w:val="1A1A2E"/>
                <w:sz w:val="20"/>
              </w:rPr>
              <w:t>payment_method</w:t>
            </w:r>
          </w:p>
        </w:tc>
        <w:tc>
          <w:tcPr>
            <w:tcW w:type="dxa" w:w="1440"/>
            <w:shd w:val="clear" w:color="auto" w:fill="E9F1FB"/>
          </w:tcPr>
          <w:p>
            <w:pPr>
              <w:spacing w:before="40" w:after="40"/>
            </w:pPr>
            <w:r>
              <w:rPr>
                <w:rFonts w:ascii="Calibri" w:hAnsi="Calibri"/>
                <w:color w:val="1A1A2E"/>
                <w:sz w:val="20"/>
              </w:rPr>
              <w:t>Completeness</w:t>
            </w:r>
          </w:p>
        </w:tc>
        <w:tc>
          <w:tcPr>
            <w:tcW w:type="dxa" w:w="3312"/>
            <w:shd w:val="clear" w:color="auto" w:fill="E9F1FB"/>
          </w:tcPr>
          <w:p>
            <w:pPr>
              <w:spacing w:before="40" w:after="40"/>
            </w:pPr>
            <w:r>
              <w:rPr>
                <w:rFonts w:ascii="Calibri" w:hAnsi="Calibri"/>
                <w:color w:val="1A1A2E"/>
                <w:sz w:val="20"/>
              </w:rPr>
              <w:t>payment_method must not be null</w:t>
            </w:r>
          </w:p>
        </w:tc>
        <w:tc>
          <w:tcPr>
            <w:tcW w:type="dxa" w:w="1080"/>
            <w:shd w:val="clear" w:color="auto" w:fill="E9F1FB"/>
          </w:tcPr>
          <w:p>
            <w:pPr>
              <w:spacing w:before="40" w:after="40"/>
            </w:pPr>
            <w:r>
              <w:rPr>
                <w:rFonts w:ascii="Calibri" w:hAnsi="Calibri"/>
                <w:color w:val="1A1A2E"/>
                <w:sz w:val="20"/>
              </w:rPr>
              <w:t>Medium</w:t>
            </w:r>
          </w:p>
        </w:tc>
        <w:tc>
          <w:tcPr>
            <w:tcW w:type="dxa" w:w="3312"/>
            <w:shd w:val="clear" w:color="auto" w:fill="E9F1FB"/>
          </w:tcPr>
          <w:p>
            <w:pPr>
              <w:spacing w:before="40" w:after="40"/>
            </w:pPr>
            <w:r>
              <w:rPr>
                <w:rFonts w:ascii="Calibri" w:hAnsi="Calibri"/>
                <w:color w:val="1A1A2E"/>
                <w:sz w:val="20"/>
              </w:rPr>
              <w:t>Derive from gateway log or mark Unknown</w:t>
            </w:r>
          </w:p>
        </w:tc>
      </w:tr>
      <w:tr>
        <w:tc>
          <w:tcPr>
            <w:tcW w:type="dxa" w:w="936"/>
            <w:shd w:val="clear" w:color="auto" w:fill="FFFFFF"/>
          </w:tcPr>
          <w:p>
            <w:pPr>
              <w:spacing w:before="40" w:after="40"/>
            </w:pPr>
            <w:r>
              <w:rPr>
                <w:rFonts w:ascii="Calibri" w:hAnsi="Calibri"/>
                <w:color w:val="1A1A2E"/>
                <w:sz w:val="20"/>
              </w:rPr>
              <w:t>TXN-04</w:t>
            </w:r>
          </w:p>
        </w:tc>
        <w:tc>
          <w:tcPr>
            <w:tcW w:type="dxa" w:w="1872"/>
            <w:shd w:val="clear" w:color="auto" w:fill="FFFFFF"/>
          </w:tcPr>
          <w:p>
            <w:pPr>
              <w:spacing w:before="40" w:after="40"/>
            </w:pPr>
            <w:r>
              <w:rPr>
                <w:rFonts w:ascii="Calibri" w:hAnsi="Calibri"/>
                <w:color w:val="1A1A2E"/>
                <w:sz w:val="20"/>
              </w:rPr>
              <w:t>currency</w:t>
            </w:r>
          </w:p>
        </w:tc>
        <w:tc>
          <w:tcPr>
            <w:tcW w:type="dxa" w:w="1440"/>
            <w:shd w:val="clear" w:color="auto" w:fill="FFFFFF"/>
          </w:tcPr>
          <w:p>
            <w:pPr>
              <w:spacing w:before="40" w:after="40"/>
            </w:pPr>
            <w:r>
              <w:rPr>
                <w:rFonts w:ascii="Calibri" w:hAnsi="Calibri"/>
                <w:color w:val="1A1A2E"/>
                <w:sz w:val="20"/>
              </w:rPr>
              <w:t>Validity</w:t>
            </w:r>
          </w:p>
        </w:tc>
        <w:tc>
          <w:tcPr>
            <w:tcW w:type="dxa" w:w="3312"/>
            <w:shd w:val="clear" w:color="auto" w:fill="FFFFFF"/>
          </w:tcPr>
          <w:p>
            <w:pPr>
              <w:spacing w:before="40" w:after="40"/>
            </w:pPr>
            <w:r>
              <w:rPr>
                <w:rFonts w:ascii="Calibri" w:hAnsi="Calibri"/>
                <w:color w:val="1A1A2E"/>
                <w:sz w:val="20"/>
              </w:rPr>
              <w:t>currency must be valid ISO 4217 code</w:t>
            </w:r>
          </w:p>
        </w:tc>
        <w:tc>
          <w:tcPr>
            <w:tcW w:type="dxa" w:w="1080"/>
            <w:shd w:val="clear" w:color="auto" w:fill="FFFFFF"/>
          </w:tcPr>
          <w:p>
            <w:pPr>
              <w:spacing w:before="40" w:after="40"/>
            </w:pPr>
            <w:r>
              <w:rPr>
                <w:rFonts w:ascii="Calibri" w:hAnsi="Calibri"/>
                <w:color w:val="1A1A2E"/>
                <w:sz w:val="20"/>
              </w:rPr>
              <w:t>Medium</w:t>
            </w:r>
          </w:p>
        </w:tc>
        <w:tc>
          <w:tcPr>
            <w:tcW w:type="dxa" w:w="3312"/>
            <w:shd w:val="clear" w:color="auto" w:fill="FFFFFF"/>
          </w:tcPr>
          <w:p>
            <w:pPr>
              <w:spacing w:before="40" w:after="40"/>
            </w:pPr>
            <w:r>
              <w:rPr>
                <w:rFonts w:ascii="Calibri" w:hAnsi="Calibri"/>
                <w:color w:val="1A1A2E"/>
                <w:sz w:val="20"/>
              </w:rPr>
              <w:t>Correct to INR / USD / EUR / GBP</w:t>
            </w:r>
          </w:p>
        </w:tc>
      </w:tr>
      <w:tr>
        <w:tc>
          <w:tcPr>
            <w:tcW w:type="dxa" w:w="936"/>
            <w:shd w:val="clear" w:color="auto" w:fill="E9F1FB"/>
          </w:tcPr>
          <w:p>
            <w:pPr>
              <w:spacing w:before="40" w:after="40"/>
            </w:pPr>
            <w:r>
              <w:rPr>
                <w:rFonts w:ascii="Calibri" w:hAnsi="Calibri"/>
                <w:color w:val="1A1A2E"/>
                <w:sz w:val="20"/>
              </w:rPr>
              <w:t>TXN-05</w:t>
            </w:r>
          </w:p>
        </w:tc>
        <w:tc>
          <w:tcPr>
            <w:tcW w:type="dxa" w:w="1872"/>
            <w:shd w:val="clear" w:color="auto" w:fill="E9F1FB"/>
          </w:tcPr>
          <w:p>
            <w:pPr>
              <w:spacing w:before="40" w:after="40"/>
            </w:pPr>
            <w:r>
              <w:rPr>
                <w:rFonts w:ascii="Calibri" w:hAnsi="Calibri"/>
                <w:color w:val="1A1A2E"/>
                <w:sz w:val="20"/>
              </w:rPr>
              <w:t>status</w:t>
            </w:r>
          </w:p>
        </w:tc>
        <w:tc>
          <w:tcPr>
            <w:tcW w:type="dxa" w:w="1440"/>
            <w:shd w:val="clear" w:color="auto" w:fill="E9F1FB"/>
          </w:tcPr>
          <w:p>
            <w:pPr>
              <w:spacing w:before="40" w:after="40"/>
            </w:pPr>
            <w:r>
              <w:rPr>
                <w:rFonts w:ascii="Calibri" w:hAnsi="Calibri"/>
                <w:color w:val="1A1A2E"/>
                <w:sz w:val="20"/>
              </w:rPr>
              <w:t>Validity</w:t>
            </w:r>
          </w:p>
        </w:tc>
        <w:tc>
          <w:tcPr>
            <w:tcW w:type="dxa" w:w="3312"/>
            <w:shd w:val="clear" w:color="auto" w:fill="E9F1FB"/>
          </w:tcPr>
          <w:p>
            <w:pPr>
              <w:spacing w:before="40" w:after="40"/>
            </w:pPr>
            <w:r>
              <w:rPr>
                <w:rFonts w:ascii="Calibri" w:hAnsi="Calibri"/>
                <w:color w:val="1A1A2E"/>
                <w:sz w:val="20"/>
              </w:rPr>
              <w:t>status ∈ {Completed, Failed, Refunded, Pending}</w:t>
            </w:r>
          </w:p>
        </w:tc>
        <w:tc>
          <w:tcPr>
            <w:tcW w:type="dxa" w:w="1080"/>
            <w:shd w:val="clear" w:color="auto" w:fill="E9F1FB"/>
          </w:tcPr>
          <w:p>
            <w:pPr>
              <w:spacing w:before="40" w:after="40"/>
            </w:pPr>
            <w:r>
              <w:rPr>
                <w:rFonts w:ascii="Calibri" w:hAnsi="Calibri"/>
                <w:color w:val="1A1A2E"/>
                <w:sz w:val="20"/>
              </w:rPr>
              <w:t>Medium</w:t>
            </w:r>
          </w:p>
        </w:tc>
        <w:tc>
          <w:tcPr>
            <w:tcW w:type="dxa" w:w="3312"/>
            <w:shd w:val="clear" w:color="auto" w:fill="E9F1FB"/>
          </w:tcPr>
          <w:p>
            <w:pPr>
              <w:spacing w:before="40" w:after="40"/>
            </w:pPr>
            <w:r>
              <w:rPr>
                <w:rFonts w:ascii="Calibri" w:hAnsi="Calibri"/>
                <w:color w:val="1A1A2E"/>
                <w:sz w:val="20"/>
              </w:rPr>
              <w:t>Map typos via lookup; default to Completed</w:t>
            </w:r>
          </w:p>
        </w:tc>
      </w:tr>
      <w:tr>
        <w:tc>
          <w:tcPr>
            <w:tcW w:type="dxa" w:w="936"/>
            <w:shd w:val="clear" w:color="auto" w:fill="FFFFFF"/>
          </w:tcPr>
          <w:p>
            <w:pPr>
              <w:spacing w:before="40" w:after="40"/>
            </w:pPr>
            <w:r>
              <w:rPr>
                <w:rFonts w:ascii="Calibri" w:hAnsi="Calibri"/>
                <w:color w:val="1A1A2E"/>
                <w:sz w:val="20"/>
              </w:rPr>
              <w:t>TXN-06</w:t>
            </w:r>
          </w:p>
        </w:tc>
        <w:tc>
          <w:tcPr>
            <w:tcW w:type="dxa" w:w="1872"/>
            <w:shd w:val="clear" w:color="auto" w:fill="FFFFFF"/>
          </w:tcPr>
          <w:p>
            <w:pPr>
              <w:spacing w:before="40" w:after="40"/>
            </w:pPr>
            <w:r>
              <w:rPr>
                <w:rFonts w:ascii="Calibri" w:hAnsi="Calibri"/>
                <w:color w:val="1A1A2E"/>
                <w:sz w:val="20"/>
              </w:rPr>
              <w:t>learner_id</w:t>
            </w:r>
          </w:p>
        </w:tc>
        <w:tc>
          <w:tcPr>
            <w:tcW w:type="dxa" w:w="1440"/>
            <w:shd w:val="clear" w:color="auto" w:fill="FFFFFF"/>
          </w:tcPr>
          <w:p>
            <w:pPr>
              <w:spacing w:before="40" w:after="40"/>
            </w:pPr>
            <w:r>
              <w:rPr>
                <w:rFonts w:ascii="Calibri" w:hAnsi="Calibri"/>
                <w:color w:val="1A1A2E"/>
                <w:sz w:val="20"/>
              </w:rPr>
              <w:t>Ref Integrity</w:t>
            </w:r>
          </w:p>
        </w:tc>
        <w:tc>
          <w:tcPr>
            <w:tcW w:type="dxa" w:w="3312"/>
            <w:shd w:val="clear" w:color="auto" w:fill="FFFFFF"/>
          </w:tcPr>
          <w:p>
            <w:pPr>
              <w:spacing w:before="40" w:after="40"/>
            </w:pPr>
            <w:r>
              <w:rPr>
                <w:rFonts w:ascii="Calibri" w:hAnsi="Calibri"/>
                <w:color w:val="1A1A2E"/>
                <w:sz w:val="20"/>
              </w:rPr>
              <w:t>learner_id must exist in learners</w:t>
            </w:r>
          </w:p>
        </w:tc>
        <w:tc>
          <w:tcPr>
            <w:tcW w:type="dxa" w:w="1080"/>
            <w:shd w:val="clear" w:color="auto" w:fill="FFFFFF"/>
          </w:tcPr>
          <w:p>
            <w:pPr>
              <w:spacing w:before="40" w:after="40"/>
            </w:pPr>
            <w:r>
              <w:rPr>
                <w:rFonts w:ascii="Calibri" w:hAnsi="Calibri"/>
                <w:color w:val="1A1A2E"/>
                <w:sz w:val="20"/>
              </w:rPr>
              <w:t>Critical</w:t>
            </w:r>
          </w:p>
        </w:tc>
        <w:tc>
          <w:tcPr>
            <w:tcW w:type="dxa" w:w="3312"/>
            <w:shd w:val="clear" w:color="auto" w:fill="FFFFFF"/>
          </w:tcPr>
          <w:p>
            <w:pPr>
              <w:spacing w:before="40" w:after="40"/>
            </w:pPr>
            <w:r>
              <w:rPr>
                <w:rFonts w:ascii="Calibri" w:hAnsi="Calibri"/>
                <w:color w:val="1A1A2E"/>
                <w:sz w:val="20"/>
              </w:rPr>
              <w:t>Investigate; delete if learner cannot be found</w:t>
            </w:r>
          </w:p>
        </w:tc>
      </w:tr>
    </w:tbl>
    <w:p/>
    <w:p>
      <w:pPr>
        <w:spacing w:before="200" w:after="80"/>
      </w:pPr>
      <w:r>
        <w:rPr>
          <w:rFonts w:ascii="Calibri" w:hAnsi="Calibri"/>
          <w:b/>
          <w:color w:val="00878A"/>
          <w:sz w:val="26"/>
        </w:rPr>
        <w:t>4.6  Academic Calendar</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936"/>
            <w:shd w:val="clear" w:color="auto" w:fill="1A509C"/>
          </w:tcPr>
          <w:p>
            <w:pPr>
              <w:spacing w:before="60" w:after="60"/>
            </w:pPr>
            <w:r>
              <w:rPr>
                <w:rFonts w:ascii="Calibri" w:hAnsi="Calibri"/>
                <w:b/>
                <w:color w:val="FFFFFF"/>
                <w:sz w:val="20"/>
              </w:rPr>
              <w:t>Rule ID</w:t>
            </w:r>
          </w:p>
        </w:tc>
        <w:tc>
          <w:tcPr>
            <w:tcW w:type="dxa" w:w="1872"/>
            <w:shd w:val="clear" w:color="auto" w:fill="1A509C"/>
          </w:tcPr>
          <w:p>
            <w:pPr>
              <w:spacing w:before="60" w:after="60"/>
            </w:pPr>
            <w:r>
              <w:rPr>
                <w:rFonts w:ascii="Calibri" w:hAnsi="Calibri"/>
                <w:b/>
                <w:color w:val="FFFFFF"/>
                <w:sz w:val="20"/>
              </w:rPr>
              <w:t>Field</w:t>
            </w:r>
          </w:p>
        </w:tc>
        <w:tc>
          <w:tcPr>
            <w:tcW w:type="dxa" w:w="1440"/>
            <w:shd w:val="clear" w:color="auto" w:fill="1A509C"/>
          </w:tcPr>
          <w:p>
            <w:pPr>
              <w:spacing w:before="60" w:after="60"/>
            </w:pPr>
            <w:r>
              <w:rPr>
                <w:rFonts w:ascii="Calibri" w:hAnsi="Calibri"/>
                <w:b/>
                <w:color w:val="FFFFFF"/>
                <w:sz w:val="20"/>
              </w:rPr>
              <w:t>Dimension</w:t>
            </w:r>
          </w:p>
        </w:tc>
        <w:tc>
          <w:tcPr>
            <w:tcW w:type="dxa" w:w="3312"/>
            <w:shd w:val="clear" w:color="auto" w:fill="1A509C"/>
          </w:tcPr>
          <w:p>
            <w:pPr>
              <w:spacing w:before="60" w:after="60"/>
            </w:pPr>
            <w:r>
              <w:rPr>
                <w:rFonts w:ascii="Calibri" w:hAnsi="Calibri"/>
                <w:b/>
                <w:color w:val="FFFFFF"/>
                <w:sz w:val="20"/>
              </w:rPr>
              <w:t>Rule Description</w:t>
            </w:r>
          </w:p>
        </w:tc>
        <w:tc>
          <w:tcPr>
            <w:tcW w:type="dxa" w:w="1080"/>
            <w:shd w:val="clear" w:color="auto" w:fill="1A509C"/>
          </w:tcPr>
          <w:p>
            <w:pPr>
              <w:spacing w:before="60" w:after="60"/>
            </w:pPr>
            <w:r>
              <w:rPr>
                <w:rFonts w:ascii="Calibri" w:hAnsi="Calibri"/>
                <w:b/>
                <w:color w:val="FFFFFF"/>
                <w:sz w:val="20"/>
              </w:rPr>
              <w:t>Severity</w:t>
            </w:r>
          </w:p>
        </w:tc>
        <w:tc>
          <w:tcPr>
            <w:tcW w:type="dxa" w:w="3312"/>
            <w:shd w:val="clear" w:color="auto" w:fill="1A509C"/>
          </w:tcPr>
          <w:p>
            <w:pPr>
              <w:spacing w:before="60" w:after="60"/>
            </w:pPr>
            <w:r>
              <w:rPr>
                <w:rFonts w:ascii="Calibri" w:hAnsi="Calibri"/>
                <w:b/>
                <w:color w:val="FFFFFF"/>
                <w:sz w:val="20"/>
              </w:rPr>
              <w:t>Remediation</w:t>
            </w:r>
          </w:p>
        </w:tc>
      </w:tr>
      <w:tr>
        <w:tc>
          <w:tcPr>
            <w:tcW w:type="dxa" w:w="936"/>
            <w:shd w:val="clear" w:color="auto" w:fill="E9F1FB"/>
          </w:tcPr>
          <w:p>
            <w:pPr>
              <w:spacing w:before="40" w:after="40"/>
            </w:pPr>
            <w:r>
              <w:rPr>
                <w:rFonts w:ascii="Calibri" w:hAnsi="Calibri"/>
                <w:color w:val="1A1A2E"/>
                <w:sz w:val="20"/>
              </w:rPr>
              <w:t>CAL-01</w:t>
            </w:r>
          </w:p>
        </w:tc>
        <w:tc>
          <w:tcPr>
            <w:tcW w:type="dxa" w:w="1872"/>
            <w:shd w:val="clear" w:color="auto" w:fill="E9F1FB"/>
          </w:tcPr>
          <w:p>
            <w:pPr>
              <w:spacing w:before="40" w:after="40"/>
            </w:pPr>
            <w:r>
              <w:rPr>
                <w:rFonts w:ascii="Calibri" w:hAnsi="Calibri"/>
                <w:color w:val="1A1A2E"/>
                <w:sz w:val="20"/>
              </w:rPr>
              <w:t>calendar_id</w:t>
            </w:r>
          </w:p>
        </w:tc>
        <w:tc>
          <w:tcPr>
            <w:tcW w:type="dxa" w:w="1440"/>
            <w:shd w:val="clear" w:color="auto" w:fill="E9F1FB"/>
          </w:tcPr>
          <w:p>
            <w:pPr>
              <w:spacing w:before="40" w:after="40"/>
            </w:pPr>
            <w:r>
              <w:rPr>
                <w:rFonts w:ascii="Calibri" w:hAnsi="Calibri"/>
                <w:color w:val="1A1A2E"/>
                <w:sz w:val="20"/>
              </w:rPr>
              <w:t>Uniqueness</w:t>
            </w:r>
          </w:p>
        </w:tc>
        <w:tc>
          <w:tcPr>
            <w:tcW w:type="dxa" w:w="3312"/>
            <w:shd w:val="clear" w:color="auto" w:fill="E9F1FB"/>
          </w:tcPr>
          <w:p>
            <w:pPr>
              <w:spacing w:before="40" w:after="40"/>
            </w:pPr>
            <w:r>
              <w:rPr>
                <w:rFonts w:ascii="Calibri" w:hAnsi="Calibri"/>
                <w:color w:val="1A1A2E"/>
                <w:sz w:val="20"/>
              </w:rPr>
              <w:t>calendar_id must be unique</w:t>
            </w:r>
          </w:p>
        </w:tc>
        <w:tc>
          <w:tcPr>
            <w:tcW w:type="dxa" w:w="1080"/>
            <w:shd w:val="clear" w:color="auto" w:fill="E9F1FB"/>
          </w:tcPr>
          <w:p>
            <w:pPr>
              <w:spacing w:before="40" w:after="40"/>
            </w:pPr>
            <w:r>
              <w:rPr>
                <w:rFonts w:ascii="Calibri" w:hAnsi="Calibri"/>
                <w:color w:val="1A1A2E"/>
                <w:sz w:val="20"/>
              </w:rPr>
              <w:t>Critical</w:t>
            </w:r>
          </w:p>
        </w:tc>
        <w:tc>
          <w:tcPr>
            <w:tcW w:type="dxa" w:w="3312"/>
            <w:shd w:val="clear" w:color="auto" w:fill="E9F1FB"/>
          </w:tcPr>
          <w:p>
            <w:pPr>
              <w:spacing w:before="40" w:after="40"/>
            </w:pPr>
            <w:r>
              <w:rPr>
                <w:rFonts w:ascii="Calibri" w:hAnsi="Calibri"/>
                <w:color w:val="1A1A2E"/>
                <w:sz w:val="20"/>
              </w:rPr>
              <w:t>Renumber duplicate; update FK references</w:t>
            </w:r>
          </w:p>
        </w:tc>
      </w:tr>
      <w:tr>
        <w:tc>
          <w:tcPr>
            <w:tcW w:type="dxa" w:w="936"/>
            <w:shd w:val="clear" w:color="auto" w:fill="FFFFFF"/>
          </w:tcPr>
          <w:p>
            <w:pPr>
              <w:spacing w:before="40" w:after="40"/>
            </w:pPr>
            <w:r>
              <w:rPr>
                <w:rFonts w:ascii="Calibri" w:hAnsi="Calibri"/>
                <w:color w:val="1A1A2E"/>
                <w:sz w:val="20"/>
              </w:rPr>
              <w:t>CAL-02</w:t>
            </w:r>
          </w:p>
        </w:tc>
        <w:tc>
          <w:tcPr>
            <w:tcW w:type="dxa" w:w="1872"/>
            <w:shd w:val="clear" w:color="auto" w:fill="FFFFFF"/>
          </w:tcPr>
          <w:p>
            <w:pPr>
              <w:spacing w:before="40" w:after="40"/>
            </w:pPr>
            <w:r>
              <w:rPr>
                <w:rFonts w:ascii="Calibri" w:hAnsi="Calibri"/>
                <w:color w:val="1A1A2E"/>
                <w:sz w:val="20"/>
              </w:rPr>
              <w:t>term_name</w:t>
            </w:r>
          </w:p>
        </w:tc>
        <w:tc>
          <w:tcPr>
            <w:tcW w:type="dxa" w:w="1440"/>
            <w:shd w:val="clear" w:color="auto" w:fill="FFFFFF"/>
          </w:tcPr>
          <w:p>
            <w:pPr>
              <w:spacing w:before="40" w:after="40"/>
            </w:pPr>
            <w:r>
              <w:rPr>
                <w:rFonts w:ascii="Calibri" w:hAnsi="Calibri"/>
                <w:color w:val="1A1A2E"/>
                <w:sz w:val="20"/>
              </w:rPr>
              <w:t>Completeness</w:t>
            </w:r>
          </w:p>
        </w:tc>
        <w:tc>
          <w:tcPr>
            <w:tcW w:type="dxa" w:w="3312"/>
            <w:shd w:val="clear" w:color="auto" w:fill="FFFFFF"/>
          </w:tcPr>
          <w:p>
            <w:pPr>
              <w:spacing w:before="40" w:after="40"/>
            </w:pPr>
            <w:r>
              <w:rPr>
                <w:rFonts w:ascii="Calibri" w:hAnsi="Calibri"/>
                <w:color w:val="1A1A2E"/>
                <w:sz w:val="20"/>
              </w:rPr>
              <w:t>term_name must not be null</w:t>
            </w:r>
          </w:p>
        </w:tc>
        <w:tc>
          <w:tcPr>
            <w:tcW w:type="dxa" w:w="1080"/>
            <w:shd w:val="clear" w:color="auto" w:fill="FFFFFF"/>
          </w:tcPr>
          <w:p>
            <w:pPr>
              <w:spacing w:before="40" w:after="40"/>
            </w:pPr>
            <w:r>
              <w:rPr>
                <w:rFonts w:ascii="Calibri" w:hAnsi="Calibri"/>
                <w:color w:val="1A1A2E"/>
                <w:sz w:val="20"/>
              </w:rPr>
              <w:t>Medium</w:t>
            </w:r>
          </w:p>
        </w:tc>
        <w:tc>
          <w:tcPr>
            <w:tcW w:type="dxa" w:w="3312"/>
            <w:shd w:val="clear" w:color="auto" w:fill="FFFFFF"/>
          </w:tcPr>
          <w:p>
            <w:pPr>
              <w:spacing w:before="40" w:after="40"/>
            </w:pPr>
            <w:r>
              <w:rPr>
                <w:rFonts w:ascii="Calibri" w:hAnsi="Calibri"/>
                <w:color w:val="1A1A2E"/>
                <w:sz w:val="20"/>
              </w:rPr>
              <w:t>Assign from institutional schedule</w:t>
            </w:r>
          </w:p>
        </w:tc>
      </w:tr>
      <w:tr>
        <w:tc>
          <w:tcPr>
            <w:tcW w:type="dxa" w:w="936"/>
            <w:shd w:val="clear" w:color="auto" w:fill="E9F1FB"/>
          </w:tcPr>
          <w:p>
            <w:pPr>
              <w:spacing w:before="40" w:after="40"/>
            </w:pPr>
            <w:r>
              <w:rPr>
                <w:rFonts w:ascii="Calibri" w:hAnsi="Calibri"/>
                <w:color w:val="1A1A2E"/>
                <w:sz w:val="20"/>
              </w:rPr>
              <w:t>CAL-03</w:t>
            </w:r>
          </w:p>
        </w:tc>
        <w:tc>
          <w:tcPr>
            <w:tcW w:type="dxa" w:w="1872"/>
            <w:shd w:val="clear" w:color="auto" w:fill="E9F1FB"/>
          </w:tcPr>
          <w:p>
            <w:pPr>
              <w:spacing w:before="40" w:after="40"/>
            </w:pPr>
            <w:r>
              <w:rPr>
                <w:rFonts w:ascii="Calibri" w:hAnsi="Calibri"/>
                <w:color w:val="1A1A2E"/>
                <w:sz w:val="20"/>
              </w:rPr>
              <w:t>start_date</w:t>
            </w:r>
          </w:p>
        </w:tc>
        <w:tc>
          <w:tcPr>
            <w:tcW w:type="dxa" w:w="1440"/>
            <w:shd w:val="clear" w:color="auto" w:fill="E9F1FB"/>
          </w:tcPr>
          <w:p>
            <w:pPr>
              <w:spacing w:before="40" w:after="40"/>
            </w:pPr>
            <w:r>
              <w:rPr>
                <w:rFonts w:ascii="Calibri" w:hAnsi="Calibri"/>
                <w:color w:val="1A1A2E"/>
                <w:sz w:val="20"/>
              </w:rPr>
              <w:t>Completeness</w:t>
            </w:r>
          </w:p>
        </w:tc>
        <w:tc>
          <w:tcPr>
            <w:tcW w:type="dxa" w:w="3312"/>
            <w:shd w:val="clear" w:color="auto" w:fill="E9F1FB"/>
          </w:tcPr>
          <w:p>
            <w:pPr>
              <w:spacing w:before="40" w:after="40"/>
            </w:pPr>
            <w:r>
              <w:rPr>
                <w:rFonts w:ascii="Calibri" w:hAnsi="Calibri"/>
                <w:color w:val="1A1A2E"/>
                <w:sz w:val="20"/>
              </w:rPr>
              <w:t>start_date must not be null</w:t>
            </w:r>
          </w:p>
        </w:tc>
        <w:tc>
          <w:tcPr>
            <w:tcW w:type="dxa" w:w="1080"/>
            <w:shd w:val="clear" w:color="auto" w:fill="E9F1FB"/>
          </w:tcPr>
          <w:p>
            <w:pPr>
              <w:spacing w:before="40" w:after="40"/>
            </w:pPr>
            <w:r>
              <w:rPr>
                <w:rFonts w:ascii="Calibri" w:hAnsi="Calibri"/>
                <w:color w:val="1A1A2E"/>
                <w:sz w:val="20"/>
              </w:rPr>
              <w:t>High</w:t>
            </w:r>
          </w:p>
        </w:tc>
        <w:tc>
          <w:tcPr>
            <w:tcW w:type="dxa" w:w="3312"/>
            <w:shd w:val="clear" w:color="auto" w:fill="E9F1FB"/>
          </w:tcPr>
          <w:p>
            <w:pPr>
              <w:spacing w:before="40" w:after="40"/>
            </w:pPr>
            <w:r>
              <w:rPr>
                <w:rFonts w:ascii="Calibri" w:hAnsi="Calibri"/>
                <w:color w:val="1A1A2E"/>
                <w:sz w:val="20"/>
              </w:rPr>
              <w:t>Derive from academic_year or institutional doc</w:t>
            </w:r>
          </w:p>
        </w:tc>
      </w:tr>
      <w:tr>
        <w:tc>
          <w:tcPr>
            <w:tcW w:type="dxa" w:w="936"/>
            <w:shd w:val="clear" w:color="auto" w:fill="FFFFFF"/>
          </w:tcPr>
          <w:p>
            <w:pPr>
              <w:spacing w:before="40" w:after="40"/>
            </w:pPr>
            <w:r>
              <w:rPr>
                <w:rFonts w:ascii="Calibri" w:hAnsi="Calibri"/>
                <w:color w:val="1A1A2E"/>
                <w:sz w:val="20"/>
              </w:rPr>
              <w:t>CAL-04</w:t>
            </w:r>
          </w:p>
        </w:tc>
        <w:tc>
          <w:tcPr>
            <w:tcW w:type="dxa" w:w="1872"/>
            <w:shd w:val="clear" w:color="auto" w:fill="FFFFFF"/>
          </w:tcPr>
          <w:p>
            <w:pPr>
              <w:spacing w:before="40" w:after="40"/>
            </w:pPr>
            <w:r>
              <w:rPr>
                <w:rFonts w:ascii="Calibri" w:hAnsi="Calibri"/>
                <w:color w:val="1A1A2E"/>
                <w:sz w:val="20"/>
              </w:rPr>
              <w:t>end_date</w:t>
            </w:r>
          </w:p>
        </w:tc>
        <w:tc>
          <w:tcPr>
            <w:tcW w:type="dxa" w:w="1440"/>
            <w:shd w:val="clear" w:color="auto" w:fill="FFFFFF"/>
          </w:tcPr>
          <w:p>
            <w:pPr>
              <w:spacing w:before="40" w:after="40"/>
            </w:pPr>
            <w:r>
              <w:rPr>
                <w:rFonts w:ascii="Calibri" w:hAnsi="Calibri"/>
                <w:color w:val="1A1A2E"/>
                <w:sz w:val="20"/>
              </w:rPr>
              <w:t>Consistency</w:t>
            </w:r>
          </w:p>
        </w:tc>
        <w:tc>
          <w:tcPr>
            <w:tcW w:type="dxa" w:w="3312"/>
            <w:shd w:val="clear" w:color="auto" w:fill="FFFFFF"/>
          </w:tcPr>
          <w:p>
            <w:pPr>
              <w:spacing w:before="40" w:after="40"/>
            </w:pPr>
            <w:r>
              <w:rPr>
                <w:rFonts w:ascii="Calibri" w:hAnsi="Calibri"/>
                <w:color w:val="1A1A2E"/>
                <w:sz w:val="20"/>
              </w:rPr>
              <w:t>end_date must be &gt; start_date</w:t>
            </w:r>
          </w:p>
        </w:tc>
        <w:tc>
          <w:tcPr>
            <w:tcW w:type="dxa" w:w="1080"/>
            <w:shd w:val="clear" w:color="auto" w:fill="FFFFFF"/>
          </w:tcPr>
          <w:p>
            <w:pPr>
              <w:spacing w:before="40" w:after="40"/>
            </w:pPr>
            <w:r>
              <w:rPr>
                <w:rFonts w:ascii="Calibri" w:hAnsi="Calibri"/>
                <w:color w:val="1A1A2E"/>
                <w:sz w:val="20"/>
              </w:rPr>
              <w:t>Critical</w:t>
            </w:r>
          </w:p>
        </w:tc>
        <w:tc>
          <w:tcPr>
            <w:tcW w:type="dxa" w:w="3312"/>
            <w:shd w:val="clear" w:color="auto" w:fill="FFFFFF"/>
          </w:tcPr>
          <w:p>
            <w:pPr>
              <w:spacing w:before="40" w:after="40"/>
            </w:pPr>
            <w:r>
              <w:rPr>
                <w:rFonts w:ascii="Calibri" w:hAnsi="Calibri"/>
                <w:color w:val="1A1A2E"/>
                <w:sz w:val="20"/>
              </w:rPr>
              <w:t>Swap or correct from academic schedule</w:t>
            </w:r>
          </w:p>
        </w:tc>
      </w:tr>
      <w:tr>
        <w:tc>
          <w:tcPr>
            <w:tcW w:type="dxa" w:w="936"/>
            <w:shd w:val="clear" w:color="auto" w:fill="E9F1FB"/>
          </w:tcPr>
          <w:p>
            <w:pPr>
              <w:spacing w:before="40" w:after="40"/>
            </w:pPr>
            <w:r>
              <w:rPr>
                <w:rFonts w:ascii="Calibri" w:hAnsi="Calibri"/>
                <w:color w:val="1A1A2E"/>
                <w:sz w:val="20"/>
              </w:rPr>
              <w:t>CAL-05</w:t>
            </w:r>
          </w:p>
        </w:tc>
        <w:tc>
          <w:tcPr>
            <w:tcW w:type="dxa" w:w="1872"/>
            <w:shd w:val="clear" w:color="auto" w:fill="E9F1FB"/>
          </w:tcPr>
          <w:p>
            <w:pPr>
              <w:spacing w:before="40" w:after="40"/>
            </w:pPr>
            <w:r>
              <w:rPr>
                <w:rFonts w:ascii="Calibri" w:hAnsi="Calibri"/>
                <w:color w:val="1A1A2E"/>
                <w:sz w:val="20"/>
              </w:rPr>
              <w:t>overlap</w:t>
            </w:r>
          </w:p>
        </w:tc>
        <w:tc>
          <w:tcPr>
            <w:tcW w:type="dxa" w:w="1440"/>
            <w:shd w:val="clear" w:color="auto" w:fill="E9F1FB"/>
          </w:tcPr>
          <w:p>
            <w:pPr>
              <w:spacing w:before="40" w:after="40"/>
            </w:pPr>
            <w:r>
              <w:rPr>
                <w:rFonts w:ascii="Calibri" w:hAnsi="Calibri"/>
                <w:color w:val="1A1A2E"/>
                <w:sz w:val="20"/>
              </w:rPr>
              <w:t>Business Rule</w:t>
            </w:r>
          </w:p>
        </w:tc>
        <w:tc>
          <w:tcPr>
            <w:tcW w:type="dxa" w:w="3312"/>
            <w:shd w:val="clear" w:color="auto" w:fill="E9F1FB"/>
          </w:tcPr>
          <w:p>
            <w:pPr>
              <w:spacing w:before="40" w:after="40"/>
            </w:pPr>
            <w:r>
              <w:rPr>
                <w:rFonts w:ascii="Calibri" w:hAnsi="Calibri"/>
                <w:color w:val="1A1A2E"/>
                <w:sz w:val="20"/>
              </w:rPr>
              <w:t>No two active terms may have overlapping dates</w:t>
            </w:r>
          </w:p>
        </w:tc>
        <w:tc>
          <w:tcPr>
            <w:tcW w:type="dxa" w:w="1080"/>
            <w:shd w:val="clear" w:color="auto" w:fill="E9F1FB"/>
          </w:tcPr>
          <w:p>
            <w:pPr>
              <w:spacing w:before="40" w:after="40"/>
            </w:pPr>
            <w:r>
              <w:rPr>
                <w:rFonts w:ascii="Calibri" w:hAnsi="Calibri"/>
                <w:color w:val="1A1A2E"/>
                <w:sz w:val="20"/>
              </w:rPr>
              <w:t>High</w:t>
            </w:r>
          </w:p>
        </w:tc>
        <w:tc>
          <w:tcPr>
            <w:tcW w:type="dxa" w:w="3312"/>
            <w:shd w:val="clear" w:color="auto" w:fill="E9F1FB"/>
          </w:tcPr>
          <w:p>
            <w:pPr>
              <w:spacing w:before="40" w:after="40"/>
            </w:pPr>
            <w:r>
              <w:rPr>
                <w:rFonts w:ascii="Calibri" w:hAnsi="Calibri"/>
                <w:color w:val="1A1A2E"/>
                <w:sz w:val="20"/>
              </w:rPr>
              <w:t>Adjust term boundaries; get sign-off from CDO</w:t>
            </w:r>
          </w:p>
        </w:tc>
      </w:tr>
    </w:tbl>
    <w:p/>
    <w:p>
      <w:pPr>
        <w:spacing w:before="400" w:after="40"/>
      </w:pPr>
      <w:r>
        <w:rPr>
          <w:rFonts w:ascii="Calibri" w:hAnsi="Calibri"/>
          <w:b/>
          <w:color w:val="1A509C"/>
          <w:sz w:val="36"/>
        </w:rPr>
        <w:t>5. Monitoring &amp; Alerting</w:t>
      </w:r>
    </w:p>
    <w:p>
      <w:pPr>
        <w:spacing w:before="0" w:after="160"/>
      </w:pPr>
      <w:r>
        <w:rPr>
          <w:color w:val="00878A"/>
          <w:sz w:val="10"/>
        </w:rPr>
        <w:t>─────────────────────────────────────────────────────────────────────────────────────</w:t>
      </w:r>
    </w:p>
    <w:p>
      <w:pPr>
        <w:spacing w:before="40" w:after="120"/>
      </w:pPr>
      <w:r>
        <w:rPr>
          <w:rFonts w:ascii="Calibri" w:hAnsi="Calibri"/>
          <w:color w:val="1A1A2E"/>
          <w:sz w:val="22"/>
        </w:rPr>
        <w:t>The monitoring layer ensures data quality is maintained continuously between formal assessment cycles.</w:t>
      </w:r>
    </w:p>
    <w:p>
      <w:pPr>
        <w:spacing w:before="200" w:after="80"/>
      </w:pPr>
      <w:r>
        <w:rPr>
          <w:rFonts w:ascii="Calibri" w:hAnsi="Calibri"/>
          <w:b/>
          <w:color w:val="00878A"/>
          <w:sz w:val="26"/>
        </w:rPr>
        <w:t>5.1  Quality Scoring Model</w:t>
      </w:r>
    </w:p>
    <w:p>
      <w:pPr>
        <w:spacing w:before="40" w:after="120"/>
      </w:pPr>
      <w:r>
        <w:rPr>
          <w:rFonts w:ascii="Calibri" w:hAnsi="Calibri"/>
          <w:color w:val="1A1A2E"/>
          <w:sz w:val="22"/>
        </w:rPr>
        <w:t>Each data entity is assigned a composite quality score (0–100) computed as:</w:t>
      </w:r>
    </w:p>
    <w:tbl>
      <w:tblPr>
        <w:tblW w:type="auto" w:w="0"/>
        <w:jc w:val="left"/>
        <w:tblLook w:firstColumn="1" w:firstRow="1" w:lastColumn="0" w:lastRow="0" w:noHBand="0" w:noVBand="1" w:val="04A0"/>
      </w:tblPr>
      <w:tblGrid>
        <w:gridCol w:w="9406"/>
      </w:tblGrid>
      <w:tr>
        <w:tc>
          <w:tcPr>
            <w:tcW w:type="dxa" w:w="9406"/>
            <w:shd w:val="clear" w:color="auto" w:fill="E8F6F7"/>
          </w:tcPr>
          <w:p>
            <w:pPr>
              <w:spacing w:before="80" w:after="80"/>
              <w:ind w:left="173"/>
            </w:pPr>
            <w:r>
              <w:rPr>
                <w:b/>
                <w:color w:val="00878A"/>
                <w:sz w:val="22"/>
              </w:rPr>
              <w:t xml:space="preserve">Formula:  </w:t>
            </w:r>
            <w:r>
              <w:rPr>
                <w:color w:val="1A1A2E"/>
                <w:sz w:val="22"/>
              </w:rPr>
              <w:t>Quality Score = Σ (Weight × Pass Rate per Dimension)  | Weighted by severity: Critical=40%, High=30%, Medium=20%, Low=10%</w:t>
            </w:r>
          </w:p>
        </w:tc>
      </w:tr>
    </w:tbl>
    <w:p/>
    <w:tbl>
      <w:tblPr>
        <w:tblStyle w:val="TableGrid"/>
        <w:tblW w:type="auto" w:w="0"/>
        <w:jc w:val="left"/>
        <w:tblLook w:firstColumn="1" w:firstRow="1" w:lastColumn="0" w:lastRow="0" w:noHBand="0" w:noVBand="1" w:val="04A0"/>
      </w:tblPr>
      <w:tblGrid>
        <w:gridCol w:w="3135"/>
        <w:gridCol w:w="3135"/>
        <w:gridCol w:w="3135"/>
      </w:tblGrid>
      <w:tr>
        <w:tc>
          <w:tcPr>
            <w:tcW w:type="dxa" w:w="1728"/>
            <w:shd w:val="clear" w:color="auto" w:fill="1A509C"/>
          </w:tcPr>
          <w:p>
            <w:pPr>
              <w:spacing w:before="60" w:after="60"/>
            </w:pPr>
            <w:r>
              <w:rPr>
                <w:rFonts w:ascii="Calibri" w:hAnsi="Calibri"/>
                <w:b/>
                <w:color w:val="FFFFFF"/>
                <w:sz w:val="20"/>
              </w:rPr>
              <w:t>Score Band</w:t>
            </w:r>
          </w:p>
        </w:tc>
        <w:tc>
          <w:tcPr>
            <w:tcW w:type="dxa" w:w="1728"/>
            <w:shd w:val="clear" w:color="auto" w:fill="1A509C"/>
          </w:tcPr>
          <w:p>
            <w:pPr>
              <w:spacing w:before="60" w:after="60"/>
            </w:pPr>
            <w:r>
              <w:rPr>
                <w:rFonts w:ascii="Calibri" w:hAnsi="Calibri"/>
                <w:b/>
                <w:color w:val="FFFFFF"/>
                <w:sz w:val="20"/>
              </w:rPr>
              <w:t>Rating</w:t>
            </w:r>
          </w:p>
        </w:tc>
        <w:tc>
          <w:tcPr>
            <w:tcW w:type="dxa" w:w="7776"/>
            <w:shd w:val="clear" w:color="auto" w:fill="1A509C"/>
          </w:tcPr>
          <w:p>
            <w:pPr>
              <w:spacing w:before="60" w:after="60"/>
            </w:pPr>
            <w:r>
              <w:rPr>
                <w:rFonts w:ascii="Calibri" w:hAnsi="Calibri"/>
                <w:b/>
                <w:color w:val="FFFFFF"/>
                <w:sz w:val="20"/>
              </w:rPr>
              <w:t>Action Required</w:t>
            </w:r>
          </w:p>
        </w:tc>
      </w:tr>
      <w:tr>
        <w:tc>
          <w:tcPr>
            <w:tcW w:type="dxa" w:w="1728"/>
            <w:shd w:val="clear" w:color="auto" w:fill="E9F1FB"/>
          </w:tcPr>
          <w:p>
            <w:pPr>
              <w:spacing w:before="40" w:after="40"/>
            </w:pPr>
            <w:r>
              <w:rPr>
                <w:rFonts w:ascii="Calibri" w:hAnsi="Calibri"/>
                <w:color w:val="1A1A2E"/>
                <w:sz w:val="20"/>
              </w:rPr>
              <w:t>90–100</w:t>
            </w:r>
          </w:p>
        </w:tc>
        <w:tc>
          <w:tcPr>
            <w:tcW w:type="dxa" w:w="1728"/>
            <w:shd w:val="clear" w:color="auto" w:fill="E9F1FB"/>
          </w:tcPr>
          <w:p>
            <w:pPr>
              <w:spacing w:before="40" w:after="40"/>
            </w:pPr>
            <w:r>
              <w:rPr>
                <w:rFonts w:ascii="Calibri" w:hAnsi="Calibri"/>
                <w:color w:val="1A1A2E"/>
                <w:sz w:val="20"/>
              </w:rPr>
              <w:t>🟢 Excellent</w:t>
            </w:r>
          </w:p>
        </w:tc>
        <w:tc>
          <w:tcPr>
            <w:tcW w:type="dxa" w:w="7776"/>
            <w:shd w:val="clear" w:color="auto" w:fill="E9F1FB"/>
          </w:tcPr>
          <w:p>
            <w:pPr>
              <w:spacing w:before="40" w:after="40"/>
            </w:pPr>
            <w:r>
              <w:rPr>
                <w:rFonts w:ascii="Calibri" w:hAnsi="Calibri"/>
                <w:color w:val="1A1A2E"/>
                <w:sz w:val="20"/>
              </w:rPr>
              <w:t>Maintain; review monthly</w:t>
            </w:r>
          </w:p>
        </w:tc>
      </w:tr>
      <w:tr>
        <w:tc>
          <w:tcPr>
            <w:tcW w:type="dxa" w:w="1728"/>
            <w:shd w:val="clear" w:color="auto" w:fill="FFFFFF"/>
          </w:tcPr>
          <w:p>
            <w:pPr>
              <w:spacing w:before="40" w:after="40"/>
            </w:pPr>
            <w:r>
              <w:rPr>
                <w:rFonts w:ascii="Calibri" w:hAnsi="Calibri"/>
                <w:color w:val="1A1A2E"/>
                <w:sz w:val="20"/>
              </w:rPr>
              <w:t>75–89</w:t>
            </w:r>
          </w:p>
        </w:tc>
        <w:tc>
          <w:tcPr>
            <w:tcW w:type="dxa" w:w="1728"/>
            <w:shd w:val="clear" w:color="auto" w:fill="FFFFFF"/>
          </w:tcPr>
          <w:p>
            <w:pPr>
              <w:spacing w:before="40" w:after="40"/>
            </w:pPr>
            <w:r>
              <w:rPr>
                <w:rFonts w:ascii="Calibri" w:hAnsi="Calibri"/>
                <w:color w:val="1A1A2E"/>
                <w:sz w:val="20"/>
              </w:rPr>
              <w:t>🟡 Good</w:t>
            </w:r>
          </w:p>
        </w:tc>
        <w:tc>
          <w:tcPr>
            <w:tcW w:type="dxa" w:w="7776"/>
            <w:shd w:val="clear" w:color="auto" w:fill="FFFFFF"/>
          </w:tcPr>
          <w:p>
            <w:pPr>
              <w:spacing w:before="40" w:after="40"/>
            </w:pPr>
            <w:r>
              <w:rPr>
                <w:rFonts w:ascii="Calibri" w:hAnsi="Calibri"/>
                <w:color w:val="1A1A2E"/>
                <w:sz w:val="20"/>
              </w:rPr>
              <w:t>Investigate top 3 failing rules; resolve within 2 weeks</w:t>
            </w:r>
          </w:p>
        </w:tc>
      </w:tr>
      <w:tr>
        <w:tc>
          <w:tcPr>
            <w:tcW w:type="dxa" w:w="1728"/>
            <w:shd w:val="clear" w:color="auto" w:fill="E9F1FB"/>
          </w:tcPr>
          <w:p>
            <w:pPr>
              <w:spacing w:before="40" w:after="40"/>
            </w:pPr>
            <w:r>
              <w:rPr>
                <w:rFonts w:ascii="Calibri" w:hAnsi="Calibri"/>
                <w:color w:val="1A1A2E"/>
                <w:sz w:val="20"/>
              </w:rPr>
              <w:t>60–74</w:t>
            </w:r>
          </w:p>
        </w:tc>
        <w:tc>
          <w:tcPr>
            <w:tcW w:type="dxa" w:w="1728"/>
            <w:shd w:val="clear" w:color="auto" w:fill="E9F1FB"/>
          </w:tcPr>
          <w:p>
            <w:pPr>
              <w:spacing w:before="40" w:after="40"/>
            </w:pPr>
            <w:r>
              <w:rPr>
                <w:rFonts w:ascii="Calibri" w:hAnsi="Calibri"/>
                <w:color w:val="1A1A2E"/>
                <w:sz w:val="20"/>
              </w:rPr>
              <w:t>🟠 Fair</w:t>
            </w:r>
          </w:p>
        </w:tc>
        <w:tc>
          <w:tcPr>
            <w:tcW w:type="dxa" w:w="7776"/>
            <w:shd w:val="clear" w:color="auto" w:fill="E9F1FB"/>
          </w:tcPr>
          <w:p>
            <w:pPr>
              <w:spacing w:before="40" w:after="40"/>
            </w:pPr>
            <w:r>
              <w:rPr>
                <w:rFonts w:ascii="Calibri" w:hAnsi="Calibri"/>
                <w:color w:val="1A1A2E"/>
                <w:sz w:val="20"/>
              </w:rPr>
              <w:t>Priority remediation sprint; CDO review</w:t>
            </w:r>
          </w:p>
        </w:tc>
      </w:tr>
      <w:tr>
        <w:tc>
          <w:tcPr>
            <w:tcW w:type="dxa" w:w="1728"/>
            <w:shd w:val="clear" w:color="auto" w:fill="FFFFFF"/>
          </w:tcPr>
          <w:p>
            <w:pPr>
              <w:spacing w:before="40" w:after="40"/>
            </w:pPr>
            <w:r>
              <w:rPr>
                <w:rFonts w:ascii="Calibri" w:hAnsi="Calibri"/>
                <w:color w:val="1A1A2E"/>
                <w:sz w:val="20"/>
              </w:rPr>
              <w:t>&lt; 60</w:t>
            </w:r>
          </w:p>
        </w:tc>
        <w:tc>
          <w:tcPr>
            <w:tcW w:type="dxa" w:w="1728"/>
            <w:shd w:val="clear" w:color="auto" w:fill="FFFFFF"/>
          </w:tcPr>
          <w:p>
            <w:pPr>
              <w:spacing w:before="40" w:after="40"/>
            </w:pPr>
            <w:r>
              <w:rPr>
                <w:rFonts w:ascii="Calibri" w:hAnsi="Calibri"/>
                <w:color w:val="1A1A2E"/>
                <w:sz w:val="20"/>
              </w:rPr>
              <w:t>🔴 Poor</w:t>
            </w:r>
          </w:p>
        </w:tc>
        <w:tc>
          <w:tcPr>
            <w:tcW w:type="dxa" w:w="7776"/>
            <w:shd w:val="clear" w:color="auto" w:fill="FFFFFF"/>
          </w:tcPr>
          <w:p>
            <w:pPr>
              <w:spacing w:before="40" w:after="40"/>
            </w:pPr>
            <w:r>
              <w:rPr>
                <w:rFonts w:ascii="Calibri" w:hAnsi="Calibri"/>
                <w:color w:val="1A1A2E"/>
                <w:sz w:val="20"/>
              </w:rPr>
              <w:t>Immediate escalation; freeze dependent analytics until resolved</w:t>
            </w:r>
          </w:p>
        </w:tc>
      </w:tr>
    </w:tbl>
    <w:p/>
    <w:p>
      <w:pPr>
        <w:spacing w:before="200" w:after="80"/>
      </w:pPr>
      <w:r>
        <w:rPr>
          <w:rFonts w:ascii="Calibri" w:hAnsi="Calibri"/>
          <w:b/>
          <w:color w:val="00878A"/>
          <w:sz w:val="26"/>
        </w:rPr>
        <w:t>5.2  Alert Thresholds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3168"/>
            <w:shd w:val="clear" w:color="auto" w:fill="1A509C"/>
          </w:tcPr>
          <w:p>
            <w:pPr>
              <w:spacing w:before="60" w:after="60"/>
            </w:pPr>
            <w:r>
              <w:rPr>
                <w:rFonts w:ascii="Calibri" w:hAnsi="Calibri"/>
                <w:b/>
                <w:color w:val="FFFFFF"/>
                <w:sz w:val="20"/>
              </w:rPr>
              <w:t>Trigger</w:t>
            </w:r>
          </w:p>
        </w:tc>
        <w:tc>
          <w:tcPr>
            <w:tcW w:type="dxa" w:w="2160"/>
            <w:shd w:val="clear" w:color="auto" w:fill="1A509C"/>
          </w:tcPr>
          <w:p>
            <w:pPr>
              <w:spacing w:before="60" w:after="60"/>
            </w:pPr>
            <w:r>
              <w:rPr>
                <w:rFonts w:ascii="Calibri" w:hAnsi="Calibri"/>
                <w:b/>
                <w:color w:val="FFFFFF"/>
                <w:sz w:val="20"/>
              </w:rPr>
              <w:t>Threshold</w:t>
            </w:r>
          </w:p>
        </w:tc>
        <w:tc>
          <w:tcPr>
            <w:tcW w:type="dxa" w:w="2880"/>
            <w:shd w:val="clear" w:color="auto" w:fill="1A509C"/>
          </w:tcPr>
          <w:p>
            <w:pPr>
              <w:spacing w:before="60" w:after="60"/>
            </w:pPr>
            <w:r>
              <w:rPr>
                <w:rFonts w:ascii="Calibri" w:hAnsi="Calibri"/>
                <w:b/>
                <w:color w:val="FFFFFF"/>
                <w:sz w:val="20"/>
              </w:rPr>
              <w:t>Alert Recipient</w:t>
            </w:r>
          </w:p>
        </w:tc>
        <w:tc>
          <w:tcPr>
            <w:tcW w:type="dxa" w:w="2304"/>
            <w:shd w:val="clear" w:color="auto" w:fill="1A509C"/>
          </w:tcPr>
          <w:p>
            <w:pPr>
              <w:spacing w:before="60" w:after="60"/>
            </w:pPr>
            <w:r>
              <w:rPr>
                <w:rFonts w:ascii="Calibri" w:hAnsi="Calibri"/>
                <w:b/>
                <w:color w:val="FFFFFF"/>
                <w:sz w:val="20"/>
              </w:rPr>
              <w:t>SLA to Resolve</w:t>
            </w:r>
          </w:p>
        </w:tc>
      </w:tr>
      <w:tr>
        <w:tc>
          <w:tcPr>
            <w:tcW w:type="dxa" w:w="3168"/>
            <w:shd w:val="clear" w:color="auto" w:fill="E9F1FB"/>
          </w:tcPr>
          <w:p>
            <w:pPr>
              <w:spacing w:before="40" w:after="40"/>
            </w:pPr>
            <w:r>
              <w:rPr>
                <w:rFonts w:ascii="Calibri" w:hAnsi="Calibri"/>
                <w:color w:val="1A1A2E"/>
                <w:sz w:val="20"/>
              </w:rPr>
              <w:t>Critical rule failures</w:t>
            </w:r>
          </w:p>
        </w:tc>
        <w:tc>
          <w:tcPr>
            <w:tcW w:type="dxa" w:w="2160"/>
            <w:shd w:val="clear" w:color="auto" w:fill="E9F1FB"/>
          </w:tcPr>
          <w:p>
            <w:pPr>
              <w:spacing w:before="40" w:after="40"/>
            </w:pPr>
            <w:r>
              <w:rPr>
                <w:rFonts w:ascii="Calibri" w:hAnsi="Calibri"/>
                <w:color w:val="1A1A2E"/>
                <w:sz w:val="20"/>
              </w:rPr>
              <w:t>≥ 1 occurrence</w:t>
            </w:r>
          </w:p>
        </w:tc>
        <w:tc>
          <w:tcPr>
            <w:tcW w:type="dxa" w:w="2880"/>
            <w:shd w:val="clear" w:color="auto" w:fill="E9F1FB"/>
          </w:tcPr>
          <w:p>
            <w:pPr>
              <w:spacing w:before="40" w:after="40"/>
            </w:pPr>
            <w:r>
              <w:rPr>
                <w:rFonts w:ascii="Calibri" w:hAnsi="Calibri"/>
                <w:color w:val="1A1A2E"/>
                <w:sz w:val="20"/>
              </w:rPr>
              <w:t>CDO + Engineering Lead</w:t>
            </w:r>
          </w:p>
        </w:tc>
        <w:tc>
          <w:tcPr>
            <w:tcW w:type="dxa" w:w="2304"/>
            <w:shd w:val="clear" w:color="auto" w:fill="E9F1FB"/>
          </w:tcPr>
          <w:p>
            <w:pPr>
              <w:spacing w:before="40" w:after="40"/>
            </w:pPr>
            <w:r>
              <w:rPr>
                <w:rFonts w:ascii="Calibri" w:hAnsi="Calibri"/>
                <w:color w:val="1A1A2E"/>
                <w:sz w:val="20"/>
              </w:rPr>
              <w:t>24 hours</w:t>
            </w:r>
          </w:p>
        </w:tc>
      </w:tr>
      <w:tr>
        <w:tc>
          <w:tcPr>
            <w:tcW w:type="dxa" w:w="3168"/>
            <w:shd w:val="clear" w:color="auto" w:fill="FFFFFF"/>
          </w:tcPr>
          <w:p>
            <w:pPr>
              <w:spacing w:before="40" w:after="40"/>
            </w:pPr>
            <w:r>
              <w:rPr>
                <w:rFonts w:ascii="Calibri" w:hAnsi="Calibri"/>
                <w:color w:val="1A1A2E"/>
                <w:sz w:val="20"/>
              </w:rPr>
              <w:t>Error rate per table</w:t>
            </w:r>
          </w:p>
        </w:tc>
        <w:tc>
          <w:tcPr>
            <w:tcW w:type="dxa" w:w="2160"/>
            <w:shd w:val="clear" w:color="auto" w:fill="FFFFFF"/>
          </w:tcPr>
          <w:p>
            <w:pPr>
              <w:spacing w:before="40" w:after="40"/>
            </w:pPr>
            <w:r>
              <w:rPr>
                <w:rFonts w:ascii="Calibri" w:hAnsi="Calibri"/>
                <w:color w:val="1A1A2E"/>
                <w:sz w:val="20"/>
              </w:rPr>
              <w:t>&gt; 2%</w:t>
            </w:r>
          </w:p>
        </w:tc>
        <w:tc>
          <w:tcPr>
            <w:tcW w:type="dxa" w:w="2880"/>
            <w:shd w:val="clear" w:color="auto" w:fill="FFFFFF"/>
          </w:tcPr>
          <w:p>
            <w:pPr>
              <w:spacing w:before="40" w:after="40"/>
            </w:pPr>
            <w:r>
              <w:rPr>
                <w:rFonts w:ascii="Calibri" w:hAnsi="Calibri"/>
                <w:color w:val="1A1A2E"/>
                <w:sz w:val="20"/>
              </w:rPr>
              <w:t>Domain Data Steward</w:t>
            </w:r>
          </w:p>
        </w:tc>
        <w:tc>
          <w:tcPr>
            <w:tcW w:type="dxa" w:w="2304"/>
            <w:shd w:val="clear" w:color="auto" w:fill="FFFFFF"/>
          </w:tcPr>
          <w:p>
            <w:pPr>
              <w:spacing w:before="40" w:after="40"/>
            </w:pPr>
            <w:r>
              <w:rPr>
                <w:rFonts w:ascii="Calibri" w:hAnsi="Calibri"/>
                <w:color w:val="1A1A2E"/>
                <w:sz w:val="20"/>
              </w:rPr>
              <w:t>48 hours</w:t>
            </w:r>
          </w:p>
        </w:tc>
      </w:tr>
      <w:tr>
        <w:tc>
          <w:tcPr>
            <w:tcW w:type="dxa" w:w="3168"/>
            <w:shd w:val="clear" w:color="auto" w:fill="E9F1FB"/>
          </w:tcPr>
          <w:p>
            <w:pPr>
              <w:spacing w:before="40" w:after="40"/>
            </w:pPr>
            <w:r>
              <w:rPr>
                <w:rFonts w:ascii="Calibri" w:hAnsi="Calibri"/>
                <w:color w:val="1A1A2E"/>
                <w:sz w:val="20"/>
              </w:rPr>
              <w:t>Quality score drop</w:t>
            </w:r>
          </w:p>
        </w:tc>
        <w:tc>
          <w:tcPr>
            <w:tcW w:type="dxa" w:w="2160"/>
            <w:shd w:val="clear" w:color="auto" w:fill="E9F1FB"/>
          </w:tcPr>
          <w:p>
            <w:pPr>
              <w:spacing w:before="40" w:after="40"/>
            </w:pPr>
            <w:r>
              <w:rPr>
                <w:rFonts w:ascii="Calibri" w:hAnsi="Calibri"/>
                <w:color w:val="1A1A2E"/>
                <w:sz w:val="20"/>
              </w:rPr>
              <w:t>&gt; 10 pts vs prev</w:t>
            </w:r>
          </w:p>
        </w:tc>
        <w:tc>
          <w:tcPr>
            <w:tcW w:type="dxa" w:w="2880"/>
            <w:shd w:val="clear" w:color="auto" w:fill="E9F1FB"/>
          </w:tcPr>
          <w:p>
            <w:pPr>
              <w:spacing w:before="40" w:after="40"/>
            </w:pPr>
            <w:r>
              <w:rPr>
                <w:rFonts w:ascii="Calibri" w:hAnsi="Calibri"/>
                <w:color w:val="1A1A2E"/>
                <w:sz w:val="20"/>
              </w:rPr>
              <w:t>CDO + Steward</w:t>
            </w:r>
          </w:p>
        </w:tc>
        <w:tc>
          <w:tcPr>
            <w:tcW w:type="dxa" w:w="2304"/>
            <w:shd w:val="clear" w:color="auto" w:fill="E9F1FB"/>
          </w:tcPr>
          <w:p>
            <w:pPr>
              <w:spacing w:before="40" w:after="40"/>
            </w:pPr>
            <w:r>
              <w:rPr>
                <w:rFonts w:ascii="Calibri" w:hAnsi="Calibri"/>
                <w:color w:val="1A1A2E"/>
                <w:sz w:val="20"/>
              </w:rPr>
              <w:t>72 hours</w:t>
            </w:r>
          </w:p>
        </w:tc>
      </w:tr>
      <w:tr>
        <w:tc>
          <w:tcPr>
            <w:tcW w:type="dxa" w:w="3168"/>
            <w:shd w:val="clear" w:color="auto" w:fill="FFFFFF"/>
          </w:tcPr>
          <w:p>
            <w:pPr>
              <w:spacing w:before="40" w:after="40"/>
            </w:pPr>
            <w:r>
              <w:rPr>
                <w:rFonts w:ascii="Calibri" w:hAnsi="Calibri"/>
                <w:color w:val="1A1A2E"/>
                <w:sz w:val="20"/>
              </w:rPr>
              <w:t>Referential integrity fail</w:t>
            </w:r>
          </w:p>
        </w:tc>
        <w:tc>
          <w:tcPr>
            <w:tcW w:type="dxa" w:w="2160"/>
            <w:shd w:val="clear" w:color="auto" w:fill="FFFFFF"/>
          </w:tcPr>
          <w:p>
            <w:pPr>
              <w:spacing w:before="40" w:after="40"/>
            </w:pPr>
            <w:r>
              <w:rPr>
                <w:rFonts w:ascii="Calibri" w:hAnsi="Calibri"/>
                <w:color w:val="1A1A2E"/>
                <w:sz w:val="20"/>
              </w:rPr>
              <w:t>≥ 1 orphan</w:t>
            </w:r>
          </w:p>
        </w:tc>
        <w:tc>
          <w:tcPr>
            <w:tcW w:type="dxa" w:w="2880"/>
            <w:shd w:val="clear" w:color="auto" w:fill="FFFFFF"/>
          </w:tcPr>
          <w:p>
            <w:pPr>
              <w:spacing w:before="40" w:after="40"/>
            </w:pPr>
            <w:r>
              <w:rPr>
                <w:rFonts w:ascii="Calibri" w:hAnsi="Calibri"/>
                <w:color w:val="1A1A2E"/>
                <w:sz w:val="20"/>
              </w:rPr>
              <w:t>Engineering Team</w:t>
            </w:r>
          </w:p>
        </w:tc>
        <w:tc>
          <w:tcPr>
            <w:tcW w:type="dxa" w:w="2304"/>
            <w:shd w:val="clear" w:color="auto" w:fill="FFFFFF"/>
          </w:tcPr>
          <w:p>
            <w:pPr>
              <w:spacing w:before="40" w:after="40"/>
            </w:pPr>
            <w:r>
              <w:rPr>
                <w:rFonts w:ascii="Calibri" w:hAnsi="Calibri"/>
                <w:color w:val="1A1A2E"/>
                <w:sz w:val="20"/>
              </w:rPr>
              <w:t>48 hours</w:t>
            </w:r>
          </w:p>
        </w:tc>
      </w:tr>
      <w:tr>
        <w:tc>
          <w:tcPr>
            <w:tcW w:type="dxa" w:w="3168"/>
            <w:shd w:val="clear" w:color="auto" w:fill="E9F1FB"/>
          </w:tcPr>
          <w:p>
            <w:pPr>
              <w:spacing w:before="40" w:after="40"/>
            </w:pPr>
            <w:r>
              <w:rPr>
                <w:rFonts w:ascii="Calibri" w:hAnsi="Calibri"/>
                <w:color w:val="1A1A2E"/>
                <w:sz w:val="20"/>
              </w:rPr>
              <w:t>Missing required field</w:t>
            </w:r>
          </w:p>
        </w:tc>
        <w:tc>
          <w:tcPr>
            <w:tcW w:type="dxa" w:w="2160"/>
            <w:shd w:val="clear" w:color="auto" w:fill="E9F1FB"/>
          </w:tcPr>
          <w:p>
            <w:pPr>
              <w:spacing w:before="40" w:after="40"/>
            </w:pPr>
            <w:r>
              <w:rPr>
                <w:rFonts w:ascii="Calibri" w:hAnsi="Calibri"/>
                <w:color w:val="1A1A2E"/>
                <w:sz w:val="20"/>
              </w:rPr>
              <w:t>&gt; 0.5% of records</w:t>
            </w:r>
          </w:p>
        </w:tc>
        <w:tc>
          <w:tcPr>
            <w:tcW w:type="dxa" w:w="2880"/>
            <w:shd w:val="clear" w:color="auto" w:fill="E9F1FB"/>
          </w:tcPr>
          <w:p>
            <w:pPr>
              <w:spacing w:before="40" w:after="40"/>
            </w:pPr>
            <w:r>
              <w:rPr>
                <w:rFonts w:ascii="Calibri" w:hAnsi="Calibri"/>
                <w:color w:val="1A1A2E"/>
                <w:sz w:val="20"/>
              </w:rPr>
              <w:t>Domain Steward</w:t>
            </w:r>
          </w:p>
        </w:tc>
        <w:tc>
          <w:tcPr>
            <w:tcW w:type="dxa" w:w="2304"/>
            <w:shd w:val="clear" w:color="auto" w:fill="E9F1FB"/>
          </w:tcPr>
          <w:p>
            <w:pPr>
              <w:spacing w:before="40" w:after="40"/>
            </w:pPr>
            <w:r>
              <w:rPr>
                <w:rFonts w:ascii="Calibri" w:hAnsi="Calibri"/>
                <w:color w:val="1A1A2E"/>
                <w:sz w:val="20"/>
              </w:rPr>
              <w:t>5 business days</w:t>
            </w:r>
          </w:p>
        </w:tc>
      </w:tr>
    </w:tbl>
    <w:p/>
    <w:p>
      <w:pPr>
        <w:spacing w:before="200" w:after="80"/>
      </w:pPr>
      <w:r>
        <w:rPr>
          <w:rFonts w:ascii="Calibri" w:hAnsi="Calibri"/>
          <w:b/>
          <w:color w:val="00878A"/>
          <w:sz w:val="26"/>
        </w:rPr>
        <w:t>5.3  Reporting Cadence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880"/>
            <w:shd w:val="clear" w:color="auto" w:fill="1A509C"/>
          </w:tcPr>
          <w:p>
            <w:pPr>
              <w:spacing w:before="60" w:after="60"/>
            </w:pPr>
            <w:r>
              <w:rPr>
                <w:rFonts w:ascii="Calibri" w:hAnsi="Calibri"/>
                <w:b/>
                <w:color w:val="FFFFFF"/>
                <w:sz w:val="20"/>
              </w:rPr>
              <w:t>Report</w:t>
            </w:r>
          </w:p>
        </w:tc>
        <w:tc>
          <w:tcPr>
            <w:tcW w:type="dxa" w:w="2304"/>
            <w:shd w:val="clear" w:color="auto" w:fill="1A509C"/>
          </w:tcPr>
          <w:p>
            <w:pPr>
              <w:spacing w:before="60" w:after="60"/>
            </w:pPr>
            <w:r>
              <w:rPr>
                <w:rFonts w:ascii="Calibri" w:hAnsi="Calibri"/>
                <w:b/>
                <w:color w:val="FFFFFF"/>
                <w:sz w:val="20"/>
              </w:rPr>
              <w:t>Frequency</w:t>
            </w:r>
          </w:p>
        </w:tc>
        <w:tc>
          <w:tcPr>
            <w:tcW w:type="dxa" w:w="2592"/>
            <w:shd w:val="clear" w:color="auto" w:fill="1A509C"/>
          </w:tcPr>
          <w:p>
            <w:pPr>
              <w:spacing w:before="60" w:after="60"/>
            </w:pPr>
            <w:r>
              <w:rPr>
                <w:rFonts w:ascii="Calibri" w:hAnsi="Calibri"/>
                <w:b/>
                <w:color w:val="FFFFFF"/>
                <w:sz w:val="20"/>
              </w:rPr>
              <w:t>Audience</w:t>
            </w:r>
          </w:p>
        </w:tc>
        <w:tc>
          <w:tcPr>
            <w:tcW w:type="dxa" w:w="4176"/>
            <w:shd w:val="clear" w:color="auto" w:fill="1A509C"/>
          </w:tcPr>
          <w:p>
            <w:pPr>
              <w:spacing w:before="60" w:after="60"/>
            </w:pPr>
            <w:r>
              <w:rPr>
                <w:rFonts w:ascii="Calibri" w:hAnsi="Calibri"/>
                <w:b/>
                <w:color w:val="FFFFFF"/>
                <w:sz w:val="20"/>
              </w:rPr>
              <w:t>Contents</w:t>
            </w:r>
          </w:p>
        </w:tc>
      </w:tr>
      <w:tr>
        <w:tc>
          <w:tcPr>
            <w:tcW w:type="dxa" w:w="2880"/>
            <w:shd w:val="clear" w:color="auto" w:fill="E9F1FB"/>
          </w:tcPr>
          <w:p>
            <w:pPr>
              <w:spacing w:before="40" w:after="40"/>
            </w:pPr>
            <w:r>
              <w:rPr>
                <w:rFonts w:ascii="Calibri" w:hAnsi="Calibri"/>
                <w:color w:val="1A1A2E"/>
                <w:sz w:val="20"/>
              </w:rPr>
              <w:t>Quality Score Dashboard</w:t>
            </w:r>
          </w:p>
        </w:tc>
        <w:tc>
          <w:tcPr>
            <w:tcW w:type="dxa" w:w="2304"/>
            <w:shd w:val="clear" w:color="auto" w:fill="E9F1FB"/>
          </w:tcPr>
          <w:p>
            <w:pPr>
              <w:spacing w:before="40" w:after="40"/>
            </w:pPr>
            <w:r>
              <w:rPr>
                <w:rFonts w:ascii="Calibri" w:hAnsi="Calibri"/>
                <w:color w:val="1A1A2E"/>
                <w:sz w:val="20"/>
              </w:rPr>
              <w:t>Real-time (daily refresh)</w:t>
            </w:r>
          </w:p>
        </w:tc>
        <w:tc>
          <w:tcPr>
            <w:tcW w:type="dxa" w:w="2592"/>
            <w:shd w:val="clear" w:color="auto" w:fill="E9F1FB"/>
          </w:tcPr>
          <w:p>
            <w:pPr>
              <w:spacing w:before="40" w:after="40"/>
            </w:pPr>
            <w:r>
              <w:rPr>
                <w:rFonts w:ascii="Calibri" w:hAnsi="Calibri"/>
                <w:color w:val="1A1A2E"/>
                <w:sz w:val="20"/>
              </w:rPr>
              <w:t>All stakeholders</w:t>
            </w:r>
          </w:p>
        </w:tc>
        <w:tc>
          <w:tcPr>
            <w:tcW w:type="dxa" w:w="4176"/>
            <w:shd w:val="clear" w:color="auto" w:fill="E9F1FB"/>
          </w:tcPr>
          <w:p>
            <w:pPr>
              <w:spacing w:before="40" w:after="40"/>
            </w:pPr>
            <w:r>
              <w:rPr>
                <w:rFonts w:ascii="Calibri" w:hAnsi="Calibri"/>
                <w:color w:val="1A1A2E"/>
                <w:sz w:val="20"/>
              </w:rPr>
              <w:t>Per-table score, trend, top failing rules</w:t>
            </w:r>
          </w:p>
        </w:tc>
      </w:tr>
      <w:tr>
        <w:tc>
          <w:tcPr>
            <w:tcW w:type="dxa" w:w="2880"/>
            <w:shd w:val="clear" w:color="auto" w:fill="FFFFFF"/>
          </w:tcPr>
          <w:p>
            <w:pPr>
              <w:spacing w:before="40" w:after="40"/>
            </w:pPr>
            <w:r>
              <w:rPr>
                <w:rFonts w:ascii="Calibri" w:hAnsi="Calibri"/>
                <w:color w:val="1A1A2E"/>
                <w:sz w:val="20"/>
              </w:rPr>
              <w:t>Steward Weekly Digest</w:t>
            </w:r>
          </w:p>
        </w:tc>
        <w:tc>
          <w:tcPr>
            <w:tcW w:type="dxa" w:w="2304"/>
            <w:shd w:val="clear" w:color="auto" w:fill="FFFFFF"/>
          </w:tcPr>
          <w:p>
            <w:pPr>
              <w:spacing w:before="40" w:after="40"/>
            </w:pPr>
            <w:r>
              <w:rPr>
                <w:rFonts w:ascii="Calibri" w:hAnsi="Calibri"/>
                <w:color w:val="1A1A2E"/>
                <w:sz w:val="20"/>
              </w:rPr>
              <w:t>Weekly</w:t>
            </w:r>
          </w:p>
        </w:tc>
        <w:tc>
          <w:tcPr>
            <w:tcW w:type="dxa" w:w="2592"/>
            <w:shd w:val="clear" w:color="auto" w:fill="FFFFFF"/>
          </w:tcPr>
          <w:p>
            <w:pPr>
              <w:spacing w:before="40" w:after="40"/>
            </w:pPr>
            <w:r>
              <w:rPr>
                <w:rFonts w:ascii="Calibri" w:hAnsi="Calibri"/>
                <w:color w:val="1A1A2E"/>
                <w:sz w:val="20"/>
              </w:rPr>
              <w:t>Data Stewards</w:t>
            </w:r>
          </w:p>
        </w:tc>
        <w:tc>
          <w:tcPr>
            <w:tcW w:type="dxa" w:w="4176"/>
            <w:shd w:val="clear" w:color="auto" w:fill="FFFFFF"/>
          </w:tcPr>
          <w:p>
            <w:pPr>
              <w:spacing w:before="40" w:after="40"/>
            </w:pPr>
            <w:r>
              <w:rPr>
                <w:rFonts w:ascii="Calibri" w:hAnsi="Calibri"/>
                <w:color w:val="1A1A2E"/>
                <w:sz w:val="20"/>
              </w:rPr>
              <w:t>Open issues, SLA compliance, new failures</w:t>
            </w:r>
          </w:p>
        </w:tc>
      </w:tr>
      <w:tr>
        <w:tc>
          <w:tcPr>
            <w:tcW w:type="dxa" w:w="2880"/>
            <w:shd w:val="clear" w:color="auto" w:fill="E9F1FB"/>
          </w:tcPr>
          <w:p>
            <w:pPr>
              <w:spacing w:before="40" w:after="40"/>
            </w:pPr>
            <w:r>
              <w:rPr>
                <w:rFonts w:ascii="Calibri" w:hAnsi="Calibri"/>
                <w:color w:val="1A1A2E"/>
                <w:sz w:val="20"/>
              </w:rPr>
              <w:t>Council Monthly Report</w:t>
            </w:r>
          </w:p>
        </w:tc>
        <w:tc>
          <w:tcPr>
            <w:tcW w:type="dxa" w:w="2304"/>
            <w:shd w:val="clear" w:color="auto" w:fill="E9F1FB"/>
          </w:tcPr>
          <w:p>
            <w:pPr>
              <w:spacing w:before="40" w:after="40"/>
            </w:pPr>
            <w:r>
              <w:rPr>
                <w:rFonts w:ascii="Calibri" w:hAnsi="Calibri"/>
                <w:color w:val="1A1A2E"/>
                <w:sz w:val="20"/>
              </w:rPr>
              <w:t>Monthly</w:t>
            </w:r>
          </w:p>
        </w:tc>
        <w:tc>
          <w:tcPr>
            <w:tcW w:type="dxa" w:w="2592"/>
            <w:shd w:val="clear" w:color="auto" w:fill="E9F1FB"/>
          </w:tcPr>
          <w:p>
            <w:pPr>
              <w:spacing w:before="40" w:after="40"/>
            </w:pPr>
            <w:r>
              <w:rPr>
                <w:rFonts w:ascii="Calibri" w:hAnsi="Calibri"/>
                <w:color w:val="1A1A2E"/>
                <w:sz w:val="20"/>
              </w:rPr>
              <w:t>DQ Council</w:t>
            </w:r>
          </w:p>
        </w:tc>
        <w:tc>
          <w:tcPr>
            <w:tcW w:type="dxa" w:w="4176"/>
            <w:shd w:val="clear" w:color="auto" w:fill="E9F1FB"/>
          </w:tcPr>
          <w:p>
            <w:pPr>
              <w:spacing w:before="40" w:after="40"/>
            </w:pPr>
            <w:r>
              <w:rPr>
                <w:rFonts w:ascii="Calibri" w:hAnsi="Calibri"/>
                <w:color w:val="1A1A2E"/>
                <w:sz w:val="20"/>
              </w:rPr>
              <w:t>Score trends, resolution status, roadmap</w:t>
            </w:r>
          </w:p>
        </w:tc>
      </w:tr>
      <w:tr>
        <w:tc>
          <w:tcPr>
            <w:tcW w:type="dxa" w:w="2880"/>
            <w:shd w:val="clear" w:color="auto" w:fill="FFFFFF"/>
          </w:tcPr>
          <w:p>
            <w:pPr>
              <w:spacing w:before="40" w:after="40"/>
            </w:pPr>
            <w:r>
              <w:rPr>
                <w:rFonts w:ascii="Calibri" w:hAnsi="Calibri"/>
                <w:color w:val="1A1A2E"/>
                <w:sz w:val="20"/>
              </w:rPr>
              <w:t>Executive Quality Summary</w:t>
            </w:r>
          </w:p>
        </w:tc>
        <w:tc>
          <w:tcPr>
            <w:tcW w:type="dxa" w:w="2304"/>
            <w:shd w:val="clear" w:color="auto" w:fill="FFFFFF"/>
          </w:tcPr>
          <w:p>
            <w:pPr>
              <w:spacing w:before="40" w:after="40"/>
            </w:pPr>
            <w:r>
              <w:rPr>
                <w:rFonts w:ascii="Calibri" w:hAnsi="Calibri"/>
                <w:color w:val="1A1A2E"/>
                <w:sz w:val="20"/>
              </w:rPr>
              <w:t>Quarterly</w:t>
            </w:r>
          </w:p>
        </w:tc>
        <w:tc>
          <w:tcPr>
            <w:tcW w:type="dxa" w:w="2592"/>
            <w:shd w:val="clear" w:color="auto" w:fill="FFFFFF"/>
          </w:tcPr>
          <w:p>
            <w:pPr>
              <w:spacing w:before="40" w:after="40"/>
            </w:pPr>
            <w:r>
              <w:rPr>
                <w:rFonts w:ascii="Calibri" w:hAnsi="Calibri"/>
                <w:color w:val="1A1A2E"/>
                <w:sz w:val="20"/>
              </w:rPr>
              <w:t>CEO, Board</w:t>
            </w:r>
          </w:p>
        </w:tc>
        <w:tc>
          <w:tcPr>
            <w:tcW w:type="dxa" w:w="4176"/>
            <w:shd w:val="clear" w:color="auto" w:fill="FFFFFF"/>
          </w:tcPr>
          <w:p>
            <w:pPr>
              <w:spacing w:before="40" w:after="40"/>
            </w:pPr>
            <w:r>
              <w:rPr>
                <w:rFonts w:ascii="Calibri" w:hAnsi="Calibri"/>
                <w:color w:val="1A1A2E"/>
                <w:sz w:val="20"/>
              </w:rPr>
              <w:t>Quality ROI, maturity progress, investments</w:t>
            </w:r>
          </w:p>
        </w:tc>
      </w:tr>
    </w:tbl>
    <w:p/>
    <w:p>
      <w:pPr>
        <w:spacing w:before="400" w:after="40"/>
      </w:pPr>
      <w:r>
        <w:rPr>
          <w:rFonts w:ascii="Calibri" w:hAnsi="Calibri"/>
          <w:b/>
          <w:color w:val="1A509C"/>
          <w:sz w:val="36"/>
        </w:rPr>
        <w:t>6. Implementation Roadmap</w:t>
      </w:r>
    </w:p>
    <w:p>
      <w:pPr>
        <w:spacing w:before="0" w:after="160"/>
      </w:pPr>
      <w:r>
        <w:rPr>
          <w:color w:val="00878A"/>
          <w:sz w:val="10"/>
        </w:rPr>
        <w:t>─────────────────────────────────────────────────────────────────────────────────────</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728"/>
            <w:shd w:val="clear" w:color="auto" w:fill="1A509C"/>
          </w:tcPr>
          <w:p>
            <w:pPr>
              <w:spacing w:before="60" w:after="60"/>
            </w:pPr>
            <w:r>
              <w:rPr>
                <w:rFonts w:ascii="Calibri" w:hAnsi="Calibri"/>
                <w:b/>
                <w:color w:val="FFFFFF"/>
                <w:sz w:val="20"/>
              </w:rPr>
              <w:t>Phase</w:t>
            </w:r>
          </w:p>
        </w:tc>
        <w:tc>
          <w:tcPr>
            <w:tcW w:type="dxa" w:w="1296"/>
            <w:shd w:val="clear" w:color="auto" w:fill="1A509C"/>
          </w:tcPr>
          <w:p>
            <w:pPr>
              <w:spacing w:before="60" w:after="60"/>
            </w:pPr>
            <w:r>
              <w:rPr>
                <w:rFonts w:ascii="Calibri" w:hAnsi="Calibri"/>
                <w:b/>
                <w:color w:val="FFFFFF"/>
                <w:sz w:val="20"/>
              </w:rPr>
              <w:t>Timeline</w:t>
            </w:r>
          </w:p>
        </w:tc>
        <w:tc>
          <w:tcPr>
            <w:tcW w:type="dxa" w:w="2160"/>
            <w:shd w:val="clear" w:color="auto" w:fill="1A509C"/>
          </w:tcPr>
          <w:p>
            <w:pPr>
              <w:spacing w:before="60" w:after="60"/>
            </w:pPr>
            <w:r>
              <w:rPr>
                <w:rFonts w:ascii="Calibri" w:hAnsi="Calibri"/>
                <w:b/>
                <w:color w:val="FFFFFF"/>
                <w:sz w:val="20"/>
              </w:rPr>
              <w:t>Objective</w:t>
            </w:r>
          </w:p>
        </w:tc>
        <w:tc>
          <w:tcPr>
            <w:tcW w:type="dxa" w:w="3600"/>
            <w:shd w:val="clear" w:color="auto" w:fill="1A509C"/>
          </w:tcPr>
          <w:p>
            <w:pPr>
              <w:spacing w:before="60" w:after="60"/>
            </w:pPr>
            <w:r>
              <w:rPr>
                <w:rFonts w:ascii="Calibri" w:hAnsi="Calibri"/>
                <w:b/>
                <w:color w:val="FFFFFF"/>
                <w:sz w:val="20"/>
              </w:rPr>
              <w:t>Key Deliverables</w:t>
            </w:r>
          </w:p>
        </w:tc>
        <w:tc>
          <w:tcPr>
            <w:tcW w:type="dxa" w:w="3168"/>
            <w:shd w:val="clear" w:color="auto" w:fill="1A509C"/>
          </w:tcPr>
          <w:p>
            <w:pPr>
              <w:spacing w:before="60" w:after="60"/>
            </w:pPr>
            <w:r>
              <w:rPr>
                <w:rFonts w:ascii="Calibri" w:hAnsi="Calibri"/>
                <w:b/>
                <w:color w:val="FFFFFF"/>
                <w:sz w:val="20"/>
              </w:rPr>
              <w:t>Success Metric</w:t>
            </w:r>
          </w:p>
        </w:tc>
      </w:tr>
      <w:tr>
        <w:tc>
          <w:tcPr>
            <w:tcW w:type="dxa" w:w="1728"/>
            <w:shd w:val="clear" w:color="auto" w:fill="E9F1FB"/>
          </w:tcPr>
          <w:p>
            <w:pPr>
              <w:spacing w:before="40" w:after="40"/>
            </w:pPr>
            <w:r>
              <w:rPr>
                <w:rFonts w:ascii="Calibri" w:hAnsi="Calibri"/>
                <w:color w:val="1A1A2E"/>
                <w:sz w:val="20"/>
              </w:rPr>
              <w:t>1 — Discovery</w:t>
            </w:r>
          </w:p>
        </w:tc>
        <w:tc>
          <w:tcPr>
            <w:tcW w:type="dxa" w:w="1296"/>
            <w:shd w:val="clear" w:color="auto" w:fill="E9F1FB"/>
          </w:tcPr>
          <w:p>
            <w:pPr>
              <w:spacing w:before="40" w:after="40"/>
            </w:pPr>
            <w:r>
              <w:rPr>
                <w:rFonts w:ascii="Calibri" w:hAnsi="Calibri"/>
                <w:color w:val="1A1A2E"/>
                <w:sz w:val="20"/>
              </w:rPr>
              <w:t>Wks 1–4</w:t>
            </w:r>
          </w:p>
        </w:tc>
        <w:tc>
          <w:tcPr>
            <w:tcW w:type="dxa" w:w="2160"/>
            <w:shd w:val="clear" w:color="auto" w:fill="E9F1FB"/>
          </w:tcPr>
          <w:p>
            <w:pPr>
              <w:spacing w:before="40" w:after="40"/>
            </w:pPr>
            <w:r>
              <w:rPr>
                <w:rFonts w:ascii="Calibri" w:hAnsi="Calibri"/>
                <w:color w:val="1A1A2E"/>
                <w:sz w:val="20"/>
              </w:rPr>
              <w:t>Baseline current state</w:t>
            </w:r>
          </w:p>
        </w:tc>
        <w:tc>
          <w:tcPr>
            <w:tcW w:type="dxa" w:w="3600"/>
            <w:shd w:val="clear" w:color="auto" w:fill="E9F1FB"/>
          </w:tcPr>
          <w:p>
            <w:pPr>
              <w:spacing w:before="40" w:after="40"/>
            </w:pPr>
            <w:r>
              <w:rPr>
                <w:rFonts w:ascii="Calibri" w:hAnsi="Calibri"/>
                <w:color w:val="1A1A2E"/>
                <w:sz w:val="20"/>
              </w:rPr>
              <w:t>Data inventory, quality scorecards, stakeholder map</w:t>
            </w:r>
          </w:p>
        </w:tc>
        <w:tc>
          <w:tcPr>
            <w:tcW w:type="dxa" w:w="3168"/>
            <w:shd w:val="clear" w:color="auto" w:fill="E9F1FB"/>
          </w:tcPr>
          <w:p>
            <w:pPr>
              <w:spacing w:before="40" w:after="40"/>
            </w:pPr>
            <w:r>
              <w:rPr>
                <w:rFonts w:ascii="Calibri" w:hAnsi="Calibri"/>
                <w:color w:val="1A1A2E"/>
                <w:sz w:val="20"/>
              </w:rPr>
              <w:t>All 6 tables profiled; quality scores established</w:t>
            </w:r>
          </w:p>
        </w:tc>
      </w:tr>
      <w:tr>
        <w:tc>
          <w:tcPr>
            <w:tcW w:type="dxa" w:w="1728"/>
            <w:shd w:val="clear" w:color="auto" w:fill="FFFFFF"/>
          </w:tcPr>
          <w:p>
            <w:pPr>
              <w:spacing w:before="40" w:after="40"/>
            </w:pPr>
            <w:r>
              <w:rPr>
                <w:rFonts w:ascii="Calibri" w:hAnsi="Calibri"/>
                <w:color w:val="1A1A2E"/>
                <w:sz w:val="20"/>
              </w:rPr>
              <w:t>2 — Framework Design</w:t>
            </w:r>
          </w:p>
        </w:tc>
        <w:tc>
          <w:tcPr>
            <w:tcW w:type="dxa" w:w="1296"/>
            <w:shd w:val="clear" w:color="auto" w:fill="FFFFFF"/>
          </w:tcPr>
          <w:p>
            <w:pPr>
              <w:spacing w:before="40" w:after="40"/>
            </w:pPr>
            <w:r>
              <w:rPr>
                <w:rFonts w:ascii="Calibri" w:hAnsi="Calibri"/>
                <w:color w:val="1A1A2E"/>
                <w:sz w:val="20"/>
              </w:rPr>
              <w:t>Wks 5–10</w:t>
            </w:r>
          </w:p>
        </w:tc>
        <w:tc>
          <w:tcPr>
            <w:tcW w:type="dxa" w:w="2160"/>
            <w:shd w:val="clear" w:color="auto" w:fill="FFFFFF"/>
          </w:tcPr>
          <w:p>
            <w:pPr>
              <w:spacing w:before="40" w:after="40"/>
            </w:pPr>
            <w:r>
              <w:rPr>
                <w:rFonts w:ascii="Calibri" w:hAnsi="Calibri"/>
                <w:color w:val="1A1A2E"/>
                <w:sz w:val="20"/>
              </w:rPr>
              <w:t>Define governance &amp; rules</w:t>
            </w:r>
          </w:p>
        </w:tc>
        <w:tc>
          <w:tcPr>
            <w:tcW w:type="dxa" w:w="3600"/>
            <w:shd w:val="clear" w:color="auto" w:fill="FFFFFF"/>
          </w:tcPr>
          <w:p>
            <w:pPr>
              <w:spacing w:before="40" w:after="40"/>
            </w:pPr>
            <w:r>
              <w:rPr>
                <w:rFonts w:ascii="Calibri" w:hAnsi="Calibri"/>
                <w:color w:val="1A1A2E"/>
                <w:sz w:val="20"/>
              </w:rPr>
              <w:t>Data dictionary, RACI, validation rules library, tool selection</w:t>
            </w:r>
          </w:p>
        </w:tc>
        <w:tc>
          <w:tcPr>
            <w:tcW w:type="dxa" w:w="3168"/>
            <w:shd w:val="clear" w:color="auto" w:fill="FFFFFF"/>
          </w:tcPr>
          <w:p>
            <w:pPr>
              <w:spacing w:before="40" w:after="40"/>
            </w:pPr>
            <w:r>
              <w:rPr>
                <w:rFonts w:ascii="Calibri" w:hAnsi="Calibri"/>
                <w:color w:val="1A1A2E"/>
                <w:sz w:val="20"/>
              </w:rPr>
              <w:t>Governance charter signed; rules library approved by Council</w:t>
            </w:r>
          </w:p>
        </w:tc>
      </w:tr>
      <w:tr>
        <w:tc>
          <w:tcPr>
            <w:tcW w:type="dxa" w:w="1728"/>
            <w:shd w:val="clear" w:color="auto" w:fill="E9F1FB"/>
          </w:tcPr>
          <w:p>
            <w:pPr>
              <w:spacing w:before="40" w:after="40"/>
            </w:pPr>
            <w:r>
              <w:rPr>
                <w:rFonts w:ascii="Calibri" w:hAnsi="Calibri"/>
                <w:color w:val="1A1A2E"/>
                <w:sz w:val="20"/>
              </w:rPr>
              <w:t>3 — Pilot</w:t>
            </w:r>
          </w:p>
        </w:tc>
        <w:tc>
          <w:tcPr>
            <w:tcW w:type="dxa" w:w="1296"/>
            <w:shd w:val="clear" w:color="auto" w:fill="E9F1FB"/>
          </w:tcPr>
          <w:p>
            <w:pPr>
              <w:spacing w:before="40" w:after="40"/>
            </w:pPr>
            <w:r>
              <w:rPr>
                <w:rFonts w:ascii="Calibri" w:hAnsi="Calibri"/>
                <w:color w:val="1A1A2E"/>
                <w:sz w:val="20"/>
              </w:rPr>
              <w:t>Wks 11–18</w:t>
            </w:r>
          </w:p>
        </w:tc>
        <w:tc>
          <w:tcPr>
            <w:tcW w:type="dxa" w:w="2160"/>
            <w:shd w:val="clear" w:color="auto" w:fill="E9F1FB"/>
          </w:tcPr>
          <w:p>
            <w:pPr>
              <w:spacing w:before="40" w:after="40"/>
            </w:pPr>
            <w:r>
              <w:rPr>
                <w:rFonts w:ascii="Calibri" w:hAnsi="Calibri"/>
                <w:color w:val="1A1A2E"/>
                <w:sz w:val="20"/>
              </w:rPr>
              <w:t>Deploy on priority tables</w:t>
            </w:r>
          </w:p>
        </w:tc>
        <w:tc>
          <w:tcPr>
            <w:tcW w:type="dxa" w:w="3600"/>
            <w:shd w:val="clear" w:color="auto" w:fill="E9F1FB"/>
          </w:tcPr>
          <w:p>
            <w:pPr>
              <w:spacing w:before="40" w:after="40"/>
            </w:pPr>
            <w:r>
              <w:rPr>
                <w:rFonts w:ascii="Calibri" w:hAnsi="Calibri"/>
                <w:color w:val="1A1A2E"/>
                <w:sz w:val="20"/>
              </w:rPr>
              <w:t>Pipeline validation deployed; monitoring dashboard live; steward training</w:t>
            </w:r>
          </w:p>
        </w:tc>
        <w:tc>
          <w:tcPr>
            <w:tcW w:type="dxa" w:w="3168"/>
            <w:shd w:val="clear" w:color="auto" w:fill="E9F1FB"/>
          </w:tcPr>
          <w:p>
            <w:pPr>
              <w:spacing w:before="40" w:after="40"/>
            </w:pPr>
            <w:r>
              <w:rPr>
                <w:rFonts w:ascii="Calibri" w:hAnsi="Calibri"/>
                <w:color w:val="1A1A2E"/>
                <w:sz w:val="20"/>
              </w:rPr>
              <w:t>Critical issues &lt; 5; quality score ≥ 70 on Learners &amp; Transactions</w:t>
            </w:r>
          </w:p>
        </w:tc>
      </w:tr>
      <w:tr>
        <w:tc>
          <w:tcPr>
            <w:tcW w:type="dxa" w:w="1728"/>
            <w:shd w:val="clear" w:color="auto" w:fill="FFFFFF"/>
          </w:tcPr>
          <w:p>
            <w:pPr>
              <w:spacing w:before="40" w:after="40"/>
            </w:pPr>
            <w:r>
              <w:rPr>
                <w:rFonts w:ascii="Calibri" w:hAnsi="Calibri"/>
                <w:color w:val="1A1A2E"/>
                <w:sz w:val="20"/>
              </w:rPr>
              <w:t>4 — Scale</w:t>
            </w:r>
          </w:p>
        </w:tc>
        <w:tc>
          <w:tcPr>
            <w:tcW w:type="dxa" w:w="1296"/>
            <w:shd w:val="clear" w:color="auto" w:fill="FFFFFF"/>
          </w:tcPr>
          <w:p>
            <w:pPr>
              <w:spacing w:before="40" w:after="40"/>
            </w:pPr>
            <w:r>
              <w:rPr>
                <w:rFonts w:ascii="Calibri" w:hAnsi="Calibri"/>
                <w:color w:val="1A1A2E"/>
                <w:sz w:val="20"/>
              </w:rPr>
              <w:t>Wks 19–26</w:t>
            </w:r>
          </w:p>
        </w:tc>
        <w:tc>
          <w:tcPr>
            <w:tcW w:type="dxa" w:w="2160"/>
            <w:shd w:val="clear" w:color="auto" w:fill="FFFFFF"/>
          </w:tcPr>
          <w:p>
            <w:pPr>
              <w:spacing w:before="40" w:after="40"/>
            </w:pPr>
            <w:r>
              <w:rPr>
                <w:rFonts w:ascii="Calibri" w:hAnsi="Calibri"/>
                <w:color w:val="1A1A2E"/>
                <w:sz w:val="20"/>
              </w:rPr>
              <w:t>Enterprise-wide rollout</w:t>
            </w:r>
          </w:p>
        </w:tc>
        <w:tc>
          <w:tcPr>
            <w:tcW w:type="dxa" w:w="3600"/>
            <w:shd w:val="clear" w:color="auto" w:fill="FFFFFF"/>
          </w:tcPr>
          <w:p>
            <w:pPr>
              <w:spacing w:before="40" w:after="40"/>
            </w:pPr>
            <w:r>
              <w:rPr>
                <w:rFonts w:ascii="Calibri" w:hAnsi="Calibri"/>
                <w:color w:val="1A1A2E"/>
                <w:sz w:val="20"/>
              </w:rPr>
              <w:t>All 6 tables monitored; advanced anomaly detection; ROI report</w:t>
            </w:r>
          </w:p>
        </w:tc>
        <w:tc>
          <w:tcPr>
            <w:tcW w:type="dxa" w:w="3168"/>
            <w:shd w:val="clear" w:color="auto" w:fill="FFFFFF"/>
          </w:tcPr>
          <w:p>
            <w:pPr>
              <w:spacing w:before="40" w:after="40"/>
            </w:pPr>
            <w:r>
              <w:rPr>
                <w:rFonts w:ascii="Calibri" w:hAnsi="Calibri"/>
                <w:color w:val="1A1A2E"/>
                <w:sz w:val="20"/>
              </w:rPr>
              <w:t>Overall quality score ≥ 85; error rate &lt; 2% platform-wide</w:t>
            </w:r>
          </w:p>
        </w:tc>
      </w:tr>
    </w:tbl>
    <w:p/>
    <w:p>
      <w:pPr>
        <w:spacing w:before="400" w:after="40"/>
      </w:pPr>
      <w:r>
        <w:rPr>
          <w:rFonts w:ascii="Calibri" w:hAnsi="Calibri"/>
          <w:b/>
          <w:color w:val="1A509C"/>
          <w:sz w:val="36"/>
        </w:rPr>
        <w:t>7. KPI Scorecard &amp; Success Metrics</w:t>
      </w:r>
    </w:p>
    <w:p>
      <w:pPr>
        <w:spacing w:before="0" w:after="160"/>
      </w:pPr>
      <w:r>
        <w:rPr>
          <w:color w:val="00878A"/>
          <w:sz w:val="10"/>
        </w:rPr>
        <w:t>─────────────────────────────────────────────────────────────────────────────────────</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4032"/>
            <w:shd w:val="clear" w:color="auto" w:fill="1A509C"/>
          </w:tcPr>
          <w:p>
            <w:pPr>
              <w:spacing w:before="60" w:after="60"/>
            </w:pPr>
            <w:r>
              <w:rPr>
                <w:rFonts w:ascii="Calibri" w:hAnsi="Calibri"/>
                <w:b/>
                <w:color w:val="FFFFFF"/>
                <w:sz w:val="20"/>
              </w:rPr>
              <w:t>KPI</w:t>
            </w:r>
          </w:p>
        </w:tc>
        <w:tc>
          <w:tcPr>
            <w:tcW w:type="dxa" w:w="1584"/>
            <w:shd w:val="clear" w:color="auto" w:fill="1A509C"/>
          </w:tcPr>
          <w:p>
            <w:pPr>
              <w:spacing w:before="60" w:after="60"/>
            </w:pPr>
            <w:r>
              <w:rPr>
                <w:rFonts w:ascii="Calibri" w:hAnsi="Calibri"/>
                <w:b/>
                <w:color w:val="FFFFFF"/>
                <w:sz w:val="20"/>
              </w:rPr>
              <w:t>Baseline</w:t>
            </w:r>
          </w:p>
        </w:tc>
        <w:tc>
          <w:tcPr>
            <w:tcW w:type="dxa" w:w="1872"/>
            <w:shd w:val="clear" w:color="auto" w:fill="1A509C"/>
          </w:tcPr>
          <w:p>
            <w:pPr>
              <w:spacing w:before="60" w:after="60"/>
            </w:pPr>
            <w:r>
              <w:rPr>
                <w:rFonts w:ascii="Calibri" w:hAnsi="Calibri"/>
                <w:b/>
                <w:color w:val="FFFFFF"/>
                <w:sz w:val="20"/>
              </w:rPr>
              <w:t>6-Month Target</w:t>
            </w:r>
          </w:p>
        </w:tc>
        <w:tc>
          <w:tcPr>
            <w:tcW w:type="dxa" w:w="2016"/>
            <w:shd w:val="clear" w:color="auto" w:fill="1A509C"/>
          </w:tcPr>
          <w:p>
            <w:pPr>
              <w:spacing w:before="60" w:after="60"/>
            </w:pPr>
            <w:r>
              <w:rPr>
                <w:rFonts w:ascii="Calibri" w:hAnsi="Calibri"/>
                <w:b/>
                <w:color w:val="FFFFFF"/>
                <w:sz w:val="20"/>
              </w:rPr>
              <w:t>12-Month Target</w:t>
            </w:r>
          </w:p>
        </w:tc>
        <w:tc>
          <w:tcPr>
            <w:tcW w:type="dxa" w:w="2448"/>
            <w:shd w:val="clear" w:color="auto" w:fill="1A509C"/>
          </w:tcPr>
          <w:p>
            <w:pPr>
              <w:spacing w:before="60" w:after="60"/>
            </w:pPr>
            <w:r>
              <w:rPr>
                <w:rFonts w:ascii="Calibri" w:hAnsi="Calibri"/>
                <w:b/>
                <w:color w:val="FFFFFF"/>
                <w:sz w:val="20"/>
              </w:rPr>
              <w:t>Owner</w:t>
            </w:r>
          </w:p>
        </w:tc>
      </w:tr>
      <w:tr>
        <w:tc>
          <w:tcPr>
            <w:tcW w:type="dxa" w:w="4032"/>
            <w:shd w:val="clear" w:color="auto" w:fill="E9F1FB"/>
          </w:tcPr>
          <w:p>
            <w:pPr>
              <w:spacing w:before="40" w:after="40"/>
            </w:pPr>
            <w:r>
              <w:rPr>
                <w:rFonts w:ascii="Calibri" w:hAnsi="Calibri"/>
                <w:color w:val="1A1A2E"/>
                <w:sz w:val="20"/>
              </w:rPr>
              <w:t>Overall Data Quality Score (0–100)</w:t>
            </w:r>
          </w:p>
        </w:tc>
        <w:tc>
          <w:tcPr>
            <w:tcW w:type="dxa" w:w="1584"/>
            <w:shd w:val="clear" w:color="auto" w:fill="E9F1FB"/>
          </w:tcPr>
          <w:p>
            <w:pPr>
              <w:spacing w:before="40" w:after="40"/>
            </w:pPr>
            <w:r>
              <w:rPr>
                <w:rFonts w:ascii="Calibri" w:hAnsi="Calibri"/>
                <w:color w:val="1A1A2E"/>
                <w:sz w:val="20"/>
              </w:rPr>
              <w:t>TBD (post-profiling)</w:t>
            </w:r>
          </w:p>
        </w:tc>
        <w:tc>
          <w:tcPr>
            <w:tcW w:type="dxa" w:w="1872"/>
            <w:shd w:val="clear" w:color="auto" w:fill="E9F1FB"/>
          </w:tcPr>
          <w:p>
            <w:pPr>
              <w:spacing w:before="40" w:after="40"/>
            </w:pPr>
            <w:r>
              <w:rPr>
                <w:rFonts w:ascii="Calibri" w:hAnsi="Calibri"/>
                <w:color w:val="1A1A2E"/>
                <w:sz w:val="20"/>
              </w:rPr>
              <w:t>≥ 75</w:t>
            </w:r>
          </w:p>
        </w:tc>
        <w:tc>
          <w:tcPr>
            <w:tcW w:type="dxa" w:w="2016"/>
            <w:shd w:val="clear" w:color="auto" w:fill="E9F1FB"/>
          </w:tcPr>
          <w:p>
            <w:pPr>
              <w:spacing w:before="40" w:after="40"/>
            </w:pPr>
            <w:r>
              <w:rPr>
                <w:rFonts w:ascii="Calibri" w:hAnsi="Calibri"/>
                <w:color w:val="1A1A2E"/>
                <w:sz w:val="20"/>
              </w:rPr>
              <w:t>≥ 90</w:t>
            </w:r>
          </w:p>
        </w:tc>
        <w:tc>
          <w:tcPr>
            <w:tcW w:type="dxa" w:w="2448"/>
            <w:shd w:val="clear" w:color="auto" w:fill="E9F1FB"/>
          </w:tcPr>
          <w:p>
            <w:pPr>
              <w:spacing w:before="40" w:after="40"/>
            </w:pPr>
            <w:r>
              <w:rPr>
                <w:rFonts w:ascii="Calibri" w:hAnsi="Calibri"/>
                <w:color w:val="1A1A2E"/>
                <w:sz w:val="20"/>
              </w:rPr>
              <w:t>CDO</w:t>
            </w:r>
          </w:p>
        </w:tc>
      </w:tr>
      <w:tr>
        <w:tc>
          <w:tcPr>
            <w:tcW w:type="dxa" w:w="4032"/>
            <w:shd w:val="clear" w:color="auto" w:fill="FFFFFF"/>
          </w:tcPr>
          <w:p>
            <w:pPr>
              <w:spacing w:before="40" w:after="40"/>
            </w:pPr>
            <w:r>
              <w:rPr>
                <w:rFonts w:ascii="Calibri" w:hAnsi="Calibri"/>
                <w:color w:val="1A1A2E"/>
                <w:sz w:val="20"/>
              </w:rPr>
              <w:t>Critical Issue Count per Cycle</w:t>
            </w:r>
          </w:p>
        </w:tc>
        <w:tc>
          <w:tcPr>
            <w:tcW w:type="dxa" w:w="1584"/>
            <w:shd w:val="clear" w:color="auto" w:fill="FFFFFF"/>
          </w:tcPr>
          <w:p>
            <w:pPr>
              <w:spacing w:before="40" w:after="40"/>
            </w:pPr>
            <w:r>
              <w:rPr>
                <w:rFonts w:ascii="Calibri" w:hAnsi="Calibri"/>
                <w:color w:val="1A1A2E"/>
                <w:sz w:val="20"/>
              </w:rPr>
              <w:t>TBD</w:t>
            </w:r>
          </w:p>
        </w:tc>
        <w:tc>
          <w:tcPr>
            <w:tcW w:type="dxa" w:w="1872"/>
            <w:shd w:val="clear" w:color="auto" w:fill="FFFFFF"/>
          </w:tcPr>
          <w:p>
            <w:pPr>
              <w:spacing w:before="40" w:after="40"/>
            </w:pPr>
            <w:r>
              <w:rPr>
                <w:rFonts w:ascii="Calibri" w:hAnsi="Calibri"/>
                <w:color w:val="1A1A2E"/>
                <w:sz w:val="20"/>
              </w:rPr>
              <w:t>&lt; 10</w:t>
            </w:r>
          </w:p>
        </w:tc>
        <w:tc>
          <w:tcPr>
            <w:tcW w:type="dxa" w:w="2016"/>
            <w:shd w:val="clear" w:color="auto" w:fill="FFFFFF"/>
          </w:tcPr>
          <w:p>
            <w:pPr>
              <w:spacing w:before="40" w:after="40"/>
            </w:pPr>
            <w:r>
              <w:rPr>
                <w:rFonts w:ascii="Calibri" w:hAnsi="Calibri"/>
                <w:color w:val="1A1A2E"/>
                <w:sz w:val="20"/>
              </w:rPr>
              <w:t>&lt; 3</w:t>
            </w:r>
          </w:p>
        </w:tc>
        <w:tc>
          <w:tcPr>
            <w:tcW w:type="dxa" w:w="2448"/>
            <w:shd w:val="clear" w:color="auto" w:fill="FFFFFF"/>
          </w:tcPr>
          <w:p>
            <w:pPr>
              <w:spacing w:before="40" w:after="40"/>
            </w:pPr>
            <w:r>
              <w:rPr>
                <w:rFonts w:ascii="Calibri" w:hAnsi="Calibri"/>
                <w:color w:val="1A1A2E"/>
                <w:sz w:val="20"/>
              </w:rPr>
              <w:t>Engineering</w:t>
            </w:r>
          </w:p>
        </w:tc>
      </w:tr>
      <w:tr>
        <w:tc>
          <w:tcPr>
            <w:tcW w:type="dxa" w:w="4032"/>
            <w:shd w:val="clear" w:color="auto" w:fill="E9F1FB"/>
          </w:tcPr>
          <w:p>
            <w:pPr>
              <w:spacing w:before="40" w:after="40"/>
            </w:pPr>
            <w:r>
              <w:rPr>
                <w:rFonts w:ascii="Calibri" w:hAnsi="Calibri"/>
                <w:color w:val="1A1A2E"/>
                <w:sz w:val="20"/>
              </w:rPr>
              <w:t>Error Rate (all tables)</w:t>
            </w:r>
          </w:p>
        </w:tc>
        <w:tc>
          <w:tcPr>
            <w:tcW w:type="dxa" w:w="1584"/>
            <w:shd w:val="clear" w:color="auto" w:fill="E9F1FB"/>
          </w:tcPr>
          <w:p>
            <w:pPr>
              <w:spacing w:before="40" w:after="40"/>
            </w:pPr>
            <w:r>
              <w:rPr>
                <w:rFonts w:ascii="Calibri" w:hAnsi="Calibri"/>
                <w:color w:val="1A1A2E"/>
                <w:sz w:val="20"/>
              </w:rPr>
              <w:t>TBD</w:t>
            </w:r>
          </w:p>
        </w:tc>
        <w:tc>
          <w:tcPr>
            <w:tcW w:type="dxa" w:w="1872"/>
            <w:shd w:val="clear" w:color="auto" w:fill="E9F1FB"/>
          </w:tcPr>
          <w:p>
            <w:pPr>
              <w:spacing w:before="40" w:after="40"/>
            </w:pPr>
            <w:r>
              <w:rPr>
                <w:rFonts w:ascii="Calibri" w:hAnsi="Calibri"/>
                <w:color w:val="1A1A2E"/>
                <w:sz w:val="20"/>
              </w:rPr>
              <w:t>&lt; 3%</w:t>
            </w:r>
          </w:p>
        </w:tc>
        <w:tc>
          <w:tcPr>
            <w:tcW w:type="dxa" w:w="2016"/>
            <w:shd w:val="clear" w:color="auto" w:fill="E9F1FB"/>
          </w:tcPr>
          <w:p>
            <w:pPr>
              <w:spacing w:before="40" w:after="40"/>
            </w:pPr>
            <w:r>
              <w:rPr>
                <w:rFonts w:ascii="Calibri" w:hAnsi="Calibri"/>
                <w:color w:val="1A1A2E"/>
                <w:sz w:val="20"/>
              </w:rPr>
              <w:t>&lt; 1%</w:t>
            </w:r>
          </w:p>
        </w:tc>
        <w:tc>
          <w:tcPr>
            <w:tcW w:type="dxa" w:w="2448"/>
            <w:shd w:val="clear" w:color="auto" w:fill="E9F1FB"/>
          </w:tcPr>
          <w:p>
            <w:pPr>
              <w:spacing w:before="40" w:after="40"/>
            </w:pPr>
            <w:r>
              <w:rPr>
                <w:rFonts w:ascii="Calibri" w:hAnsi="Calibri"/>
                <w:color w:val="1A1A2E"/>
                <w:sz w:val="20"/>
              </w:rPr>
              <w:t>Data Stewards</w:t>
            </w:r>
          </w:p>
        </w:tc>
      </w:tr>
      <w:tr>
        <w:tc>
          <w:tcPr>
            <w:tcW w:type="dxa" w:w="4032"/>
            <w:shd w:val="clear" w:color="auto" w:fill="FFFFFF"/>
          </w:tcPr>
          <w:p>
            <w:pPr>
              <w:spacing w:before="40" w:after="40"/>
            </w:pPr>
            <w:r>
              <w:rPr>
                <w:rFonts w:ascii="Calibri" w:hAnsi="Calibri"/>
                <w:color w:val="1A1A2E"/>
                <w:sz w:val="20"/>
              </w:rPr>
              <w:t>Duplicate Record Rate</w:t>
            </w:r>
          </w:p>
        </w:tc>
        <w:tc>
          <w:tcPr>
            <w:tcW w:type="dxa" w:w="1584"/>
            <w:shd w:val="clear" w:color="auto" w:fill="FFFFFF"/>
          </w:tcPr>
          <w:p>
            <w:pPr>
              <w:spacing w:before="40" w:after="40"/>
            </w:pPr>
            <w:r>
              <w:rPr>
                <w:rFonts w:ascii="Calibri" w:hAnsi="Calibri"/>
                <w:color w:val="1A1A2E"/>
                <w:sz w:val="20"/>
              </w:rPr>
              <w:t>TBD</w:t>
            </w:r>
          </w:p>
        </w:tc>
        <w:tc>
          <w:tcPr>
            <w:tcW w:type="dxa" w:w="1872"/>
            <w:shd w:val="clear" w:color="auto" w:fill="FFFFFF"/>
          </w:tcPr>
          <w:p>
            <w:pPr>
              <w:spacing w:before="40" w:after="40"/>
            </w:pPr>
            <w:r>
              <w:rPr>
                <w:rFonts w:ascii="Calibri" w:hAnsi="Calibri"/>
                <w:color w:val="1A1A2E"/>
                <w:sz w:val="20"/>
              </w:rPr>
              <w:t>&lt; 1%</w:t>
            </w:r>
          </w:p>
        </w:tc>
        <w:tc>
          <w:tcPr>
            <w:tcW w:type="dxa" w:w="2016"/>
            <w:shd w:val="clear" w:color="auto" w:fill="FFFFFF"/>
          </w:tcPr>
          <w:p>
            <w:pPr>
              <w:spacing w:before="40" w:after="40"/>
            </w:pPr>
            <w:r>
              <w:rPr>
                <w:rFonts w:ascii="Calibri" w:hAnsi="Calibri"/>
                <w:color w:val="1A1A2E"/>
                <w:sz w:val="20"/>
              </w:rPr>
              <w:t>&lt; 0.3%</w:t>
            </w:r>
          </w:p>
        </w:tc>
        <w:tc>
          <w:tcPr>
            <w:tcW w:type="dxa" w:w="2448"/>
            <w:shd w:val="clear" w:color="auto" w:fill="FFFFFF"/>
          </w:tcPr>
          <w:p>
            <w:pPr>
              <w:spacing w:before="40" w:after="40"/>
            </w:pPr>
            <w:r>
              <w:rPr>
                <w:rFonts w:ascii="Calibri" w:hAnsi="Calibri"/>
                <w:color w:val="1A1A2E"/>
                <w:sz w:val="20"/>
              </w:rPr>
              <w:t>Engineering</w:t>
            </w:r>
          </w:p>
        </w:tc>
      </w:tr>
      <w:tr>
        <w:tc>
          <w:tcPr>
            <w:tcW w:type="dxa" w:w="4032"/>
            <w:shd w:val="clear" w:color="auto" w:fill="E9F1FB"/>
          </w:tcPr>
          <w:p>
            <w:pPr>
              <w:spacing w:before="40" w:after="40"/>
            </w:pPr>
            <w:r>
              <w:rPr>
                <w:rFonts w:ascii="Calibri" w:hAnsi="Calibri"/>
                <w:color w:val="1A1A2E"/>
                <w:sz w:val="20"/>
              </w:rPr>
              <w:t>Field Completeness (required)</w:t>
            </w:r>
          </w:p>
        </w:tc>
        <w:tc>
          <w:tcPr>
            <w:tcW w:type="dxa" w:w="1584"/>
            <w:shd w:val="clear" w:color="auto" w:fill="E9F1FB"/>
          </w:tcPr>
          <w:p>
            <w:pPr>
              <w:spacing w:before="40" w:after="40"/>
            </w:pPr>
            <w:r>
              <w:rPr>
                <w:rFonts w:ascii="Calibri" w:hAnsi="Calibri"/>
                <w:color w:val="1A1A2E"/>
                <w:sz w:val="20"/>
              </w:rPr>
              <w:t>TBD</w:t>
            </w:r>
          </w:p>
        </w:tc>
        <w:tc>
          <w:tcPr>
            <w:tcW w:type="dxa" w:w="1872"/>
            <w:shd w:val="clear" w:color="auto" w:fill="E9F1FB"/>
          </w:tcPr>
          <w:p>
            <w:pPr>
              <w:spacing w:before="40" w:after="40"/>
            </w:pPr>
            <w:r>
              <w:rPr>
                <w:rFonts w:ascii="Calibri" w:hAnsi="Calibri"/>
                <w:color w:val="1A1A2E"/>
                <w:sz w:val="20"/>
              </w:rPr>
              <w:t>≥ 97%</w:t>
            </w:r>
          </w:p>
        </w:tc>
        <w:tc>
          <w:tcPr>
            <w:tcW w:type="dxa" w:w="2016"/>
            <w:shd w:val="clear" w:color="auto" w:fill="E9F1FB"/>
          </w:tcPr>
          <w:p>
            <w:pPr>
              <w:spacing w:before="40" w:after="40"/>
            </w:pPr>
            <w:r>
              <w:rPr>
                <w:rFonts w:ascii="Calibri" w:hAnsi="Calibri"/>
                <w:color w:val="1A1A2E"/>
                <w:sz w:val="20"/>
              </w:rPr>
              <w:t>≥ 99%</w:t>
            </w:r>
          </w:p>
        </w:tc>
        <w:tc>
          <w:tcPr>
            <w:tcW w:type="dxa" w:w="2448"/>
            <w:shd w:val="clear" w:color="auto" w:fill="E9F1FB"/>
          </w:tcPr>
          <w:p>
            <w:pPr>
              <w:spacing w:before="40" w:after="40"/>
            </w:pPr>
            <w:r>
              <w:rPr>
                <w:rFonts w:ascii="Calibri" w:hAnsi="Calibri"/>
                <w:color w:val="1A1A2E"/>
                <w:sz w:val="20"/>
              </w:rPr>
              <w:t>Stewards</w:t>
            </w:r>
          </w:p>
        </w:tc>
      </w:tr>
      <w:tr>
        <w:tc>
          <w:tcPr>
            <w:tcW w:type="dxa" w:w="4032"/>
            <w:shd w:val="clear" w:color="auto" w:fill="FFFFFF"/>
          </w:tcPr>
          <w:p>
            <w:pPr>
              <w:spacing w:before="40" w:after="40"/>
            </w:pPr>
            <w:r>
              <w:rPr>
                <w:rFonts w:ascii="Calibri" w:hAnsi="Calibri"/>
                <w:color w:val="1A1A2E"/>
                <w:sz w:val="20"/>
              </w:rPr>
              <w:t>Referential Integrity Pass Rate</w:t>
            </w:r>
          </w:p>
        </w:tc>
        <w:tc>
          <w:tcPr>
            <w:tcW w:type="dxa" w:w="1584"/>
            <w:shd w:val="clear" w:color="auto" w:fill="FFFFFF"/>
          </w:tcPr>
          <w:p>
            <w:pPr>
              <w:spacing w:before="40" w:after="40"/>
            </w:pPr>
            <w:r>
              <w:rPr>
                <w:rFonts w:ascii="Calibri" w:hAnsi="Calibri"/>
                <w:color w:val="1A1A2E"/>
                <w:sz w:val="20"/>
              </w:rPr>
              <w:t>TBD</w:t>
            </w:r>
          </w:p>
        </w:tc>
        <w:tc>
          <w:tcPr>
            <w:tcW w:type="dxa" w:w="1872"/>
            <w:shd w:val="clear" w:color="auto" w:fill="FFFFFF"/>
          </w:tcPr>
          <w:p>
            <w:pPr>
              <w:spacing w:before="40" w:after="40"/>
            </w:pPr>
            <w:r>
              <w:rPr>
                <w:rFonts w:ascii="Calibri" w:hAnsi="Calibri"/>
                <w:color w:val="1A1A2E"/>
                <w:sz w:val="20"/>
              </w:rPr>
              <w:t>≥ 98%</w:t>
            </w:r>
          </w:p>
        </w:tc>
        <w:tc>
          <w:tcPr>
            <w:tcW w:type="dxa" w:w="2016"/>
            <w:shd w:val="clear" w:color="auto" w:fill="FFFFFF"/>
          </w:tcPr>
          <w:p>
            <w:pPr>
              <w:spacing w:before="40" w:after="40"/>
            </w:pPr>
            <w:r>
              <w:rPr>
                <w:rFonts w:ascii="Calibri" w:hAnsi="Calibri"/>
                <w:color w:val="1A1A2E"/>
                <w:sz w:val="20"/>
              </w:rPr>
              <w:t>100%</w:t>
            </w:r>
          </w:p>
        </w:tc>
        <w:tc>
          <w:tcPr>
            <w:tcW w:type="dxa" w:w="2448"/>
            <w:shd w:val="clear" w:color="auto" w:fill="FFFFFF"/>
          </w:tcPr>
          <w:p>
            <w:pPr>
              <w:spacing w:before="40" w:after="40"/>
            </w:pPr>
            <w:r>
              <w:rPr>
                <w:rFonts w:ascii="Calibri" w:hAnsi="Calibri"/>
                <w:color w:val="1A1A2E"/>
                <w:sz w:val="20"/>
              </w:rPr>
              <w:t>Engineering</w:t>
            </w:r>
          </w:p>
        </w:tc>
      </w:tr>
      <w:tr>
        <w:tc>
          <w:tcPr>
            <w:tcW w:type="dxa" w:w="4032"/>
            <w:shd w:val="clear" w:color="auto" w:fill="E9F1FB"/>
          </w:tcPr>
          <w:p>
            <w:pPr>
              <w:spacing w:before="40" w:after="40"/>
            </w:pPr>
            <w:r>
              <w:rPr>
                <w:rFonts w:ascii="Calibri" w:hAnsi="Calibri"/>
                <w:color w:val="1A1A2E"/>
                <w:sz w:val="20"/>
              </w:rPr>
              <w:t>Reporting Accuracy vs Source</w:t>
            </w:r>
          </w:p>
        </w:tc>
        <w:tc>
          <w:tcPr>
            <w:tcW w:type="dxa" w:w="1584"/>
            <w:shd w:val="clear" w:color="auto" w:fill="E9F1FB"/>
          </w:tcPr>
          <w:p>
            <w:pPr>
              <w:spacing w:before="40" w:after="40"/>
            </w:pPr>
            <w:r>
              <w:rPr>
                <w:rFonts w:ascii="Calibri" w:hAnsi="Calibri"/>
                <w:color w:val="1A1A2E"/>
                <w:sz w:val="20"/>
              </w:rPr>
              <w:t>TBD</w:t>
            </w:r>
          </w:p>
        </w:tc>
        <w:tc>
          <w:tcPr>
            <w:tcW w:type="dxa" w:w="1872"/>
            <w:shd w:val="clear" w:color="auto" w:fill="E9F1FB"/>
          </w:tcPr>
          <w:p>
            <w:pPr>
              <w:spacing w:before="40" w:after="40"/>
            </w:pPr>
            <w:r>
              <w:rPr>
                <w:rFonts w:ascii="Calibri" w:hAnsi="Calibri"/>
                <w:color w:val="1A1A2E"/>
                <w:sz w:val="20"/>
              </w:rPr>
              <w:t>≥ 95%</w:t>
            </w:r>
          </w:p>
        </w:tc>
        <w:tc>
          <w:tcPr>
            <w:tcW w:type="dxa" w:w="2016"/>
            <w:shd w:val="clear" w:color="auto" w:fill="E9F1FB"/>
          </w:tcPr>
          <w:p>
            <w:pPr>
              <w:spacing w:before="40" w:after="40"/>
            </w:pPr>
            <w:r>
              <w:rPr>
                <w:rFonts w:ascii="Calibri" w:hAnsi="Calibri"/>
                <w:color w:val="1A1A2E"/>
                <w:sz w:val="20"/>
              </w:rPr>
              <w:t>≥ 99%</w:t>
            </w:r>
          </w:p>
        </w:tc>
        <w:tc>
          <w:tcPr>
            <w:tcW w:type="dxa" w:w="2448"/>
            <w:shd w:val="clear" w:color="auto" w:fill="E9F1FB"/>
          </w:tcPr>
          <w:p>
            <w:pPr>
              <w:spacing w:before="40" w:after="40"/>
            </w:pPr>
            <w:r>
              <w:rPr>
                <w:rFonts w:ascii="Calibri" w:hAnsi="Calibri"/>
                <w:color w:val="1A1A2E"/>
                <w:sz w:val="20"/>
              </w:rPr>
              <w:t>BAs</w:t>
            </w:r>
          </w:p>
        </w:tc>
      </w:tr>
      <w:tr>
        <w:tc>
          <w:tcPr>
            <w:tcW w:type="dxa" w:w="4032"/>
            <w:shd w:val="clear" w:color="auto" w:fill="FFFFFF"/>
          </w:tcPr>
          <w:p>
            <w:pPr>
              <w:spacing w:before="40" w:after="40"/>
            </w:pPr>
            <w:r>
              <w:rPr>
                <w:rFonts w:ascii="Calibri" w:hAnsi="Calibri"/>
                <w:color w:val="1A1A2E"/>
                <w:sz w:val="20"/>
              </w:rPr>
              <w:t>Time to Resolve Critical Issues</w:t>
            </w:r>
          </w:p>
        </w:tc>
        <w:tc>
          <w:tcPr>
            <w:tcW w:type="dxa" w:w="1584"/>
            <w:shd w:val="clear" w:color="auto" w:fill="FFFFFF"/>
          </w:tcPr>
          <w:p>
            <w:pPr>
              <w:spacing w:before="40" w:after="40"/>
            </w:pPr>
            <w:r>
              <w:rPr>
                <w:rFonts w:ascii="Calibri" w:hAnsi="Calibri"/>
                <w:color w:val="1A1A2E"/>
                <w:sz w:val="20"/>
              </w:rPr>
              <w:t>Ad hoc</w:t>
            </w:r>
          </w:p>
        </w:tc>
        <w:tc>
          <w:tcPr>
            <w:tcW w:type="dxa" w:w="1872"/>
            <w:shd w:val="clear" w:color="auto" w:fill="FFFFFF"/>
          </w:tcPr>
          <w:p>
            <w:pPr>
              <w:spacing w:before="40" w:after="40"/>
            </w:pPr>
            <w:r>
              <w:rPr>
                <w:rFonts w:ascii="Calibri" w:hAnsi="Calibri"/>
                <w:color w:val="1A1A2E"/>
                <w:sz w:val="20"/>
              </w:rPr>
              <w:t>&lt; 48h</w:t>
            </w:r>
          </w:p>
        </w:tc>
        <w:tc>
          <w:tcPr>
            <w:tcW w:type="dxa" w:w="2016"/>
            <w:shd w:val="clear" w:color="auto" w:fill="FFFFFF"/>
          </w:tcPr>
          <w:p>
            <w:pPr>
              <w:spacing w:before="40" w:after="40"/>
            </w:pPr>
            <w:r>
              <w:rPr>
                <w:rFonts w:ascii="Calibri" w:hAnsi="Calibri"/>
                <w:color w:val="1A1A2E"/>
                <w:sz w:val="20"/>
              </w:rPr>
              <w:t>&lt; 24h</w:t>
            </w:r>
          </w:p>
        </w:tc>
        <w:tc>
          <w:tcPr>
            <w:tcW w:type="dxa" w:w="2448"/>
            <w:shd w:val="clear" w:color="auto" w:fill="FFFFFF"/>
          </w:tcPr>
          <w:p>
            <w:pPr>
              <w:spacing w:before="40" w:after="40"/>
            </w:pPr>
            <w:r>
              <w:rPr>
                <w:rFonts w:ascii="Calibri" w:hAnsi="Calibri"/>
                <w:color w:val="1A1A2E"/>
                <w:sz w:val="20"/>
              </w:rPr>
              <w:t>Engineering</w:t>
            </w:r>
          </w:p>
        </w:tc>
      </w:tr>
      <w:tr>
        <w:tc>
          <w:tcPr>
            <w:tcW w:type="dxa" w:w="4032"/>
            <w:shd w:val="clear" w:color="auto" w:fill="E9F1FB"/>
          </w:tcPr>
          <w:p>
            <w:pPr>
              <w:spacing w:before="40" w:after="40"/>
            </w:pPr>
            <w:r>
              <w:rPr>
                <w:rFonts w:ascii="Calibri" w:hAnsi="Calibri"/>
                <w:color w:val="1A1A2E"/>
                <w:sz w:val="20"/>
              </w:rPr>
              <w:t>Governance Coverage (domains)</w:t>
            </w:r>
          </w:p>
        </w:tc>
        <w:tc>
          <w:tcPr>
            <w:tcW w:type="dxa" w:w="1584"/>
            <w:shd w:val="clear" w:color="auto" w:fill="E9F1FB"/>
          </w:tcPr>
          <w:p>
            <w:pPr>
              <w:spacing w:before="40" w:after="40"/>
            </w:pPr>
            <w:r>
              <w:rPr>
                <w:rFonts w:ascii="Calibri" w:hAnsi="Calibri"/>
                <w:color w:val="1A1A2E"/>
                <w:sz w:val="20"/>
              </w:rPr>
              <w:t>0%</w:t>
            </w:r>
          </w:p>
        </w:tc>
        <w:tc>
          <w:tcPr>
            <w:tcW w:type="dxa" w:w="1872"/>
            <w:shd w:val="clear" w:color="auto" w:fill="E9F1FB"/>
          </w:tcPr>
          <w:p>
            <w:pPr>
              <w:spacing w:before="40" w:after="40"/>
            </w:pPr>
            <w:r>
              <w:rPr>
                <w:rFonts w:ascii="Calibri" w:hAnsi="Calibri"/>
                <w:color w:val="1A1A2E"/>
                <w:sz w:val="20"/>
              </w:rPr>
              <w:t>75%</w:t>
            </w:r>
          </w:p>
        </w:tc>
        <w:tc>
          <w:tcPr>
            <w:tcW w:type="dxa" w:w="2016"/>
            <w:shd w:val="clear" w:color="auto" w:fill="E9F1FB"/>
          </w:tcPr>
          <w:p>
            <w:pPr>
              <w:spacing w:before="40" w:after="40"/>
            </w:pPr>
            <w:r>
              <w:rPr>
                <w:rFonts w:ascii="Calibri" w:hAnsi="Calibri"/>
                <w:color w:val="1A1A2E"/>
                <w:sz w:val="20"/>
              </w:rPr>
              <w:t>100%</w:t>
            </w:r>
          </w:p>
        </w:tc>
        <w:tc>
          <w:tcPr>
            <w:tcW w:type="dxa" w:w="2448"/>
            <w:shd w:val="clear" w:color="auto" w:fill="E9F1FB"/>
          </w:tcPr>
          <w:p>
            <w:pPr>
              <w:spacing w:before="40" w:after="40"/>
            </w:pPr>
            <w:r>
              <w:rPr>
                <w:rFonts w:ascii="Calibri" w:hAnsi="Calibri"/>
                <w:color w:val="1A1A2E"/>
                <w:sz w:val="20"/>
              </w:rPr>
              <w:t>CDO</w:t>
            </w:r>
          </w:p>
        </w:tc>
      </w:tr>
      <w:tr>
        <w:tc>
          <w:tcPr>
            <w:tcW w:type="dxa" w:w="4032"/>
            <w:shd w:val="clear" w:color="auto" w:fill="FFFFFF"/>
          </w:tcPr>
          <w:p>
            <w:pPr>
              <w:spacing w:before="40" w:after="40"/>
            </w:pPr>
            <w:r>
              <w:rPr>
                <w:rFonts w:ascii="Calibri" w:hAnsi="Calibri"/>
                <w:color w:val="1A1A2E"/>
                <w:sz w:val="20"/>
              </w:rPr>
              <w:t>Analytics Generation Speed</w:t>
            </w:r>
          </w:p>
        </w:tc>
        <w:tc>
          <w:tcPr>
            <w:tcW w:type="dxa" w:w="1584"/>
            <w:shd w:val="clear" w:color="auto" w:fill="FFFFFF"/>
          </w:tcPr>
          <w:p>
            <w:pPr>
              <w:spacing w:before="40" w:after="40"/>
            </w:pPr>
            <w:r>
              <w:rPr>
                <w:rFonts w:ascii="Calibri" w:hAnsi="Calibri"/>
                <w:color w:val="1A1A2E"/>
                <w:sz w:val="20"/>
              </w:rPr>
              <w:t>Baseline</w:t>
            </w:r>
          </w:p>
        </w:tc>
        <w:tc>
          <w:tcPr>
            <w:tcW w:type="dxa" w:w="1872"/>
            <w:shd w:val="clear" w:color="auto" w:fill="FFFFFF"/>
          </w:tcPr>
          <w:p>
            <w:pPr>
              <w:spacing w:before="40" w:after="40"/>
            </w:pPr>
            <w:r>
              <w:rPr>
                <w:rFonts w:ascii="Calibri" w:hAnsi="Calibri"/>
                <w:color w:val="1A1A2E"/>
                <w:sz w:val="20"/>
              </w:rPr>
              <w:t>+30%</w:t>
            </w:r>
          </w:p>
        </w:tc>
        <w:tc>
          <w:tcPr>
            <w:tcW w:type="dxa" w:w="2016"/>
            <w:shd w:val="clear" w:color="auto" w:fill="FFFFFF"/>
          </w:tcPr>
          <w:p>
            <w:pPr>
              <w:spacing w:before="40" w:after="40"/>
            </w:pPr>
            <w:r>
              <w:rPr>
                <w:rFonts w:ascii="Calibri" w:hAnsi="Calibri"/>
                <w:color w:val="1A1A2E"/>
                <w:sz w:val="20"/>
              </w:rPr>
              <w:t>+50%</w:t>
            </w:r>
          </w:p>
        </w:tc>
        <w:tc>
          <w:tcPr>
            <w:tcW w:type="dxa" w:w="2448"/>
            <w:shd w:val="clear" w:color="auto" w:fill="FFFFFF"/>
          </w:tcPr>
          <w:p>
            <w:pPr>
              <w:spacing w:before="40" w:after="40"/>
            </w:pPr>
            <w:r>
              <w:rPr>
                <w:rFonts w:ascii="Calibri" w:hAnsi="Calibri"/>
                <w:color w:val="1A1A2E"/>
                <w:sz w:val="20"/>
              </w:rPr>
              <w:t>BAs</w:t>
            </w:r>
          </w:p>
        </w:tc>
      </w:tr>
    </w:tbl>
    <w:p/>
    <w:p>
      <w:pPr>
        <w:spacing w:before="400" w:after="40"/>
      </w:pPr>
      <w:r>
        <w:rPr>
          <w:rFonts w:ascii="Calibri" w:hAnsi="Calibri"/>
          <w:b/>
          <w:color w:val="1A509C"/>
          <w:sz w:val="36"/>
        </w:rPr>
        <w:t>8. Continuous Improvement Mechanisms</w:t>
      </w:r>
    </w:p>
    <w:p>
      <w:pPr>
        <w:spacing w:before="0" w:after="160"/>
      </w:pPr>
      <w:r>
        <w:rPr>
          <w:color w:val="00878A"/>
          <w:sz w:val="10"/>
        </w:rPr>
        <w:t>─────────────────────────────────────────────────────────────────────────────────────</w:t>
      </w:r>
    </w:p>
    <w:p>
      <w:pPr>
        <w:spacing w:before="120" w:after="40"/>
      </w:pPr>
      <w:r>
        <w:rPr>
          <w:rFonts w:ascii="Calibri" w:hAnsi="Calibri"/>
          <w:b/>
          <w:color w:val="1A1A2E"/>
          <w:sz w:val="22"/>
        </w:rPr>
        <w:t>▸  Root-Cause Analysis Loop</w:t>
      </w:r>
    </w:p>
    <w:p>
      <w:pPr>
        <w:spacing w:before="40" w:after="120"/>
      </w:pPr>
      <w:r>
        <w:rPr>
          <w:rFonts w:ascii="Calibri" w:hAnsi="Calibri"/>
          <w:color w:val="1A1A2E"/>
          <w:sz w:val="22"/>
        </w:rPr>
        <w:t>Every Critical issue triggers a root-cause session within 5 days. Findings feed back into source system design or upstream validation.</w:t>
      </w:r>
    </w:p>
    <w:p>
      <w:pPr>
        <w:spacing w:before="120" w:after="40"/>
      </w:pPr>
      <w:r>
        <w:rPr>
          <w:rFonts w:ascii="Calibri" w:hAnsi="Calibri"/>
          <w:b/>
          <w:color w:val="1A1A2E"/>
          <w:sz w:val="22"/>
        </w:rPr>
        <w:t>▸  Rule Enrichment Cycle</w:t>
      </w:r>
    </w:p>
    <w:p>
      <w:pPr>
        <w:spacing w:before="40" w:after="120"/>
      </w:pPr>
      <w:r>
        <w:rPr>
          <w:rFonts w:ascii="Calibri" w:hAnsi="Calibri"/>
          <w:color w:val="1A1A2E"/>
          <w:sz w:val="22"/>
        </w:rPr>
        <w:t>Monthly review of new business rules proposed by stewards. Rules peer-reviewed, tested in sandbox, then promoted to production.</w:t>
      </w:r>
    </w:p>
    <w:p>
      <w:pPr>
        <w:spacing w:before="120" w:after="40"/>
      </w:pPr>
      <w:r>
        <w:rPr>
          <w:rFonts w:ascii="Calibri" w:hAnsi="Calibri"/>
          <w:b/>
          <w:color w:val="1A1A2E"/>
          <w:sz w:val="22"/>
        </w:rPr>
        <w:t>▸  Data Quality Maturity Model</w:t>
      </w:r>
    </w:p>
    <w:p>
      <w:pPr>
        <w:spacing w:before="40" w:after="120"/>
      </w:pPr>
      <w:r>
        <w:rPr>
          <w:rFonts w:ascii="Calibri" w:hAnsi="Calibri"/>
          <w:color w:val="1A1A2E"/>
          <w:sz w:val="22"/>
        </w:rPr>
        <w:t>Annual maturity assessment against a 5-level scale (Initial → Managed → Defined → Quantified → Optimising). Progress report presented to board.</w:t>
      </w:r>
    </w:p>
    <w:p>
      <w:pPr>
        <w:spacing w:before="120" w:after="40"/>
      </w:pPr>
      <w:r>
        <w:rPr>
          <w:rFonts w:ascii="Calibri" w:hAnsi="Calibri"/>
          <w:b/>
          <w:color w:val="1A1A2E"/>
          <w:sz w:val="22"/>
        </w:rPr>
        <w:t>▸  Vendor &amp; Integration Reviews</w:t>
      </w:r>
    </w:p>
    <w:p>
      <w:pPr>
        <w:spacing w:before="40" w:after="120"/>
      </w:pPr>
      <w:r>
        <w:rPr>
          <w:rFonts w:ascii="Calibri" w:hAnsi="Calibri"/>
          <w:color w:val="1A1A2E"/>
          <w:sz w:val="22"/>
        </w:rPr>
        <w:t>Quarterly review of third-party data feeds and integration SLAs. Enforce contractual data quality standards with LMS and payment providers.</w:t>
      </w:r>
    </w:p>
    <w:p>
      <w:pPr>
        <w:spacing w:before="120" w:after="40"/>
      </w:pPr>
      <w:r>
        <w:rPr>
          <w:rFonts w:ascii="Calibri" w:hAnsi="Calibri"/>
          <w:b/>
          <w:color w:val="1A1A2E"/>
          <w:sz w:val="22"/>
        </w:rPr>
        <w:t>▸  Training &amp; Culture Programme</w:t>
      </w:r>
    </w:p>
    <w:p>
      <w:pPr>
        <w:spacing w:before="40" w:after="120"/>
      </w:pPr>
      <w:r>
        <w:rPr>
          <w:rFonts w:ascii="Calibri" w:hAnsi="Calibri"/>
          <w:color w:val="1A1A2E"/>
          <w:sz w:val="22"/>
        </w:rPr>
        <w:t>Bi-annual data literacy workshops for all business users. Champions network across product, finance, and success teams.</w:t>
      </w:r>
    </w:p>
    <w:tbl>
      <w:tblPr>
        <w:tblW w:type="auto" w:w="0"/>
        <w:jc w:val="left"/>
        <w:tblLook w:firstColumn="1" w:firstRow="1" w:lastColumn="0" w:lastRow="0" w:noHBand="0" w:noVBand="1" w:val="04A0"/>
      </w:tblPr>
      <w:tblGrid>
        <w:gridCol w:w="9406"/>
      </w:tblGrid>
      <w:tr>
        <w:tc>
          <w:tcPr>
            <w:tcW w:type="dxa" w:w="9406"/>
            <w:shd w:val="clear" w:color="auto" w:fill="E8F6F7"/>
          </w:tcPr>
          <w:p>
            <w:pPr>
              <w:spacing w:before="80" w:after="80"/>
              <w:ind w:left="173"/>
            </w:pPr>
            <w:r>
              <w:rPr>
                <w:b/>
                <w:color w:val="00878A"/>
                <w:sz w:val="22"/>
              </w:rPr>
              <w:t xml:space="preserve">Strategic Principle:  </w:t>
            </w:r>
            <w:r>
              <w:rPr>
                <w:color w:val="1A1A2E"/>
                <w:sz w:val="22"/>
              </w:rPr>
              <w:t>Data quality is not a project with an end date — it is a business capability that must be continuously invested in, measured, and improved to sustain competitive advantage.</w:t>
            </w:r>
          </w:p>
        </w:tc>
      </w:tr>
    </w:tbl>
    <w:p/>
    <w:p>
      <w:r>
        <w:br w:type="page"/>
      </w:r>
    </w:p>
    <w:p>
      <w:pPr>
        <w:jc w:val="center"/>
      </w:pPr>
      <w:r>
        <w:rPr>
          <w:rFonts w:ascii="Calibri" w:hAnsi="Calibri"/>
          <w:i/>
          <w:color w:val="55657A"/>
          <w:sz w:val="20"/>
        </w:rPr>
        <w:t>— End of DQA Framework Document —</w:t>
        <w:br/>
        <w:t>Business Strategy Consulting Division  |  March 2026  |  CONFIDENTIAL</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