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BRIEF DESCRIPTION OF DRAWINGS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SWIFTSEND</w:t>
      </w:r>
    </w:p>
    <w:p>
      <w:pPr>
        <w:spacing w:after="200" w:line="360" w:lineRule="auto"/>
      </w:pPr>
      <w:r>
        <w:rPr>
          <w:rFonts w:ascii="Arial" w:cs="Arial" w:eastAsia="Arial" w:hAnsi="Arial"/>
          <w:sz w:val="24"/>
          <w:szCs w:val="24"/>
        </w:rPr>
        <w:t xml:space="preserve">The following figures accompany this application. All drawings are in black ink on white background, executed to KIPI drawing standards.</w:t>
      </w:r>
    </w:p>
    <w:p>
      <w:pPr>
        <w:spacing w:line="360" w:lineRule="auto"/>
      </w:pPr>
      <w:r>
        <w:t xml:space="preserve"/>
      </w:r>
    </w:p>
    <w:p>
      <w:pPr>
        <w:pStyle w:val="Heading1"/>
        <w:spacing w:after="120" w:before="240" w:line="360" w:lineRule="auto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FIGURE 1: System Architecture Diagram</w:t>
      </w:r>
    </w:p>
    <w:p>
      <w:pPr>
        <w:spacing w:after="120" w:line="360" w:lineRule="auto"/>
      </w:pPr>
      <w:r>
        <w:rPr>
          <w:rFonts w:ascii="Arial" w:cs="Arial" w:eastAsia="Arial" w:hAnsi="Arial"/>
          <w:sz w:val="24"/>
          <w:szCs w:val="24"/>
        </w:rPr>
        <w:t xml:space="preserve">Components to be shown (reference numerals in parentheses):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Customer Mobile Application - Android/iOS (Ref. 101)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Courier Mobile Application - Android/iOS (Ref. 102)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Agent Web Portal (Ref. 103)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API Server - Cloud Infrastructure (Ref. 104)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Database Cluster - PostgreSQL (Ref. 105)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Machine Learning Inference Service (Ref. 106)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Payment Processing Service (Ref. 107)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M-Pesa API - External Service (Ref. 108)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Mapping Services - External Service (Ref. 109)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SMS Gateway - External Service (Ref. 110)</w:t>
      </w:r>
    </w:p>
    <w:p>
      <w:pPr>
        <w:spacing w:line="360" w:lineRule="auto"/>
      </w:pPr>
      <w:r>
        <w:t xml:space="preserve"/>
      </w:r>
    </w:p>
    <w:p>
      <w:p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Connections: Bidirectional arrows (Ref. 111) indicate HTTPS/REST API data flow. Database read/write operations (Ref. 112) shown as dashed lines. External API integrations (Ref. 113) shown as dotted lines.</w:t>
      </w:r>
    </w:p>
    <w:p>
      <w:pPr>
        <w:spacing w:line="360" w:lineRule="auto"/>
      </w:pPr>
      <w:r>
        <w:t xml:space="preserve"/>
      </w:r>
    </w:p>
    <w:p>
      <w:pPr>
        <w:pStyle w:val="Heading1"/>
        <w:spacing w:after="120" w:before="240" w:line="360" w:lineRule="auto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FIGURE 2: Address Resolution Process Flowchart</w:t>
      </w:r>
    </w:p>
    <w:p>
      <w:pPr>
        <w:spacing w:after="120" w:line="360" w:lineRule="auto"/>
      </w:pPr>
      <w:r>
        <w:rPr>
          <w:rFonts w:ascii="Arial" w:cs="Arial" w:eastAsia="Arial" w:hAnsi="Arial"/>
          <w:sz w:val="24"/>
          <w:szCs w:val="24"/>
        </w:rPr>
        <w:t xml:space="preserve">Process steps (reference numerals in parentheses):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START: User inputs informal address text (Ref. 201)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Text transmitted to natural language processing module (Ref. 202)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Tokenisation and Named Entity Recognition (Ref. 203)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Landmark database query with fuzzy matching (Ref. 204)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Directional and distance modifier parsing (Ref. 205)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Community data lookup within 100m radius (Ref. 206)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Decision: Multiple candidates? YES -&gt; Machine learning ranking (Ref. 207a); NO -&gt; proceed (Ref. 207b)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Confidence score calculation (0-100) (Ref. 208)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Decision: Score above 60? YES -&gt; Auto-resolve (Ref. 209a); NO -&gt; Verification protocol (Ref. 209b)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GPS coordinates returned with accuracy zone (Ref. 210)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Map confirmation displayed to user (Ref. 211)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Decision: User adjusts pin? YES -&gt; Store correction for learning (Ref. 212a); NO -&gt; END (Ref. 212b)</w:t>
      </w:r>
    </w:p>
    <w:p>
      <w:pPr>
        <w:spacing w:line="360" w:lineRule="auto"/>
      </w:pPr>
      <w:r>
        <w:t xml:space="preserve"/>
      </w:r>
    </w:p>
    <w:p>
      <w:pPr>
        <w:pStyle w:val="Heading1"/>
        <w:spacing w:after="120" w:before="240" w:line="360" w:lineRule="auto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FIGURE 3: Escrow Payment System Flowchart</w:t>
      </w:r>
    </w:p>
    <w:p>
      <w:pPr>
        <w:spacing w:after="120" w:line="360" w:lineRule="auto"/>
      </w:pPr>
      <w:r>
        <w:rPr>
          <w:rFonts w:ascii="Arial" w:cs="Arial" w:eastAsia="Arial" w:hAnsi="Arial"/>
          <w:sz w:val="24"/>
          <w:szCs w:val="24"/>
        </w:rPr>
        <w:t xml:space="preserve">Payment flow steps (reference numerals in parentheses):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START: Customer initiates M-Pesa payment (Ref. 301)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STK push to customer phone (Ref. 302)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Customer enters M-Pesa PIN (Ref. 303)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Funds transferred to platform escrow account (Ref. 304)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Server receives payment confirmation (Ref. 305)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Status set to ESCROWED; courier matching triggered (Ref. 306)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Courier assigned and completes delivery (Ref. 307)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Proof-of-delivery captured: signature, photo, GPS (Ref. 308)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Cryptographic hash (SHA-256) generated (Ref. 309)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Customer notification sent (Ref. 310)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2-hour dispute window timer starts (Ref. 311)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Decision: Dispute filed? YES -&gt; Funds frozen; mediation process (Ref. 312a); NO -&gt; Auto-release (Ref. 312b)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Payment split: 85% to courier wallet (Ref. 313a), 15% to platform (Ref. 313b)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Courier withdraws to M-Pesa at any time (Ref. 314)</w:t>
      </w:r>
    </w:p>
    <w:p>
      <w:pPr>
        <w:spacing w:line="360" w:lineRule="auto"/>
      </w:pPr>
      <w:r>
        <w:t xml:space="preserve"/>
      </w:r>
    </w:p>
    <w:p>
      <w:pPr>
        <w:pStyle w:val="Heading1"/>
        <w:spacing w:after="120" w:before="240" w:line="360" w:lineRule="auto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FIGURE 4: Courier Matching Algorithm Diagram</w:t>
      </w:r>
    </w:p>
    <w:p>
      <w:pPr>
        <w:spacing w:after="120" w:line="360" w:lineRule="auto"/>
      </w:pPr>
      <w:r>
        <w:rPr>
          <w:rFonts w:ascii="Arial" w:cs="Arial" w:eastAsia="Arial" w:hAnsi="Arial"/>
          <w:sz w:val="24"/>
          <w:szCs w:val="24"/>
        </w:rPr>
        <w:t xml:space="preserve">Three-stage visual representation (reference numerals in parentheses):</w:t>
      </w:r>
    </w:p>
    <w:p>
      <w:pPr>
        <w:spacing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Stage 1 - Initial Filtering (Ref. 401):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Input: New delivery order (Ref. 401a)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Query: Online couriers within 5km radius (Ref. 401b)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Filter: Vehicle type compatible with package size (Ref. 401c)</w:t>
      </w:r>
    </w:p>
    <w:p>
      <w:pPr>
        <w:spacing w:line="360" w:lineRule="auto"/>
      </w:pPr>
      <w:r>
        <w:t xml:space="preserve"/>
      </w:r>
    </w:p>
    <w:p>
      <w:pPr>
        <w:spacing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Stage 2 - Weighted Scoring (Ref. 402):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Score = (0.30 x Proximity) + (0.20 x Rating) + (0.20 x Vehicle_Match) + (0.15 x Acceptance_Rate) + (0.10 x Current_Load) + (0.05 x Traffic) (Ref. 402a)</w:t>
      </w:r>
    </w:p>
    <w:p>
      <w:pPr>
        <w:spacing w:line="360" w:lineRule="auto"/>
      </w:pPr>
      <w:r>
        <w:t xml:space="preserve"/>
      </w:r>
    </w:p>
    <w:p>
      <w:pPr>
        <w:spacing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Stage 3 - Parallel Dispatch (Ref. 403):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Rank couriers by score descending (Ref. 403a)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Simultaneously send offer to top 3 couriers (Ref. 403b)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60-second timer starts (Ref. 403c)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Decision: First acceptance wins assignment (Ref. 403d)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No acceptance within 60 seconds -&gt; Expand radius to 10km and repeat (Ref. 403e)</w:t>
      </w:r>
    </w:p>
    <w:p>
      <w:pPr>
        <w:spacing w:line="360" w:lineRule="auto"/>
      </w:pPr>
      <w:r>
        <w:t xml:space="preserve"/>
      </w:r>
    </w:p>
    <w:p>
      <w:pPr>
        <w:pStyle w:val="Heading1"/>
        <w:spacing w:after="120" w:before="240" w:line="360" w:lineRule="auto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FIGURE 5: Offline Operation Architecture</w:t>
      </w:r>
    </w:p>
    <w:p>
      <w:pPr>
        <w:spacing w:after="120" w:line="360" w:lineRule="auto"/>
      </w:pPr>
      <w:r>
        <w:rPr>
          <w:rFonts w:ascii="Arial" w:cs="Arial" w:eastAsia="Arial" w:hAnsi="Arial"/>
          <w:sz w:val="24"/>
          <w:szCs w:val="24"/>
        </w:rPr>
        <w:t xml:space="preserve">Architecture layers (reference numerals in parentheses):</w:t>
      </w:r>
    </w:p>
    <w:p>
      <w:pPr>
        <w:spacing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Local Storage Layer (Ref. 501):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SQLite Database: delivery data, recipient info, navigation waypoints (Ref. 501a)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Map Cache: OpenStreetMap tiles for service area (Ref. 501b)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Proof-of-Delivery Queue: signatures, photos, GPS coordinates awaiting upload (Ref. 501c)</w:t>
      </w:r>
    </w:p>
    <w:p>
      <w:pPr>
        <w:spacing w:line="360" w:lineRule="auto"/>
      </w:pPr>
      <w:r>
        <w:t xml:space="preserve"/>
      </w:r>
    </w:p>
    <w:p>
      <w:pPr>
        <w:spacing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Offline Capabilities (Ref. 502):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View assigned deliveries (Ref. 502a)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GPS navigation with cached maps (Ref. 502b)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Capture proof-of-delivery: signature and photo (Ref. 502c)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Mark delivery complete (Ref. 502d)</w:t>
      </w:r>
    </w:p>
    <w:p>
      <w:pPr>
        <w:spacing w:line="360" w:lineRule="auto"/>
      </w:pPr>
      <w:r>
        <w:t xml:space="preserve"/>
      </w:r>
    </w:p>
    <w:p>
      <w:pPr>
        <w:spacing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Synchronisation Mechanism (Ref. 503):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Background service monitors connectivity at 30-second intervals (Ref. 503a)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On connectivity restore: query local database for PENDING records (Ref. 503b)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Batch upload proof-of-delivery data with retry logic (Ref. 503c)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SMS fallback for critical updates (Ref. 503d)</w:t>
      </w:r>
    </w:p>
    <w:p>
      <w:pPr>
        <w:spacing w:line="360" w:lineRule="auto"/>
      </w:pPr>
      <w:r>
        <w:t xml:space="preserve"/>
      </w:r>
    </w:p>
    <w:p>
      <w:pPr>
        <w:pStyle w:val="Heading1"/>
        <w:spacing w:after="120" w:before="240" w:line="360" w:lineRule="auto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FIGURE 6: Community Agent Network Topology</w:t>
      </w:r>
    </w:p>
    <w:p>
      <w:pPr>
        <w:spacing w:after="120" w:line="360" w:lineRule="auto"/>
      </w:pPr>
      <w:r>
        <w:rPr>
          <w:rFonts w:ascii="Arial" w:cs="Arial" w:eastAsia="Arial" w:hAnsi="Arial"/>
          <w:sz w:val="24"/>
          <w:szCs w:val="24"/>
        </w:rPr>
        <w:t xml:space="preserve">Network structure (reference numerals in parentheses):</w:t>
      </w:r>
    </w:p>
    <w:p>
      <w:pPr>
        <w:spacing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Agent Registration (Ref. 601):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Local shops, M-Pesa agents, kiosks in informal settlements (Ref. 601a)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Registered data: business name, GPS coordinates, operating hours, capacity (Ref. 601b)</w:t>
      </w:r>
    </w:p>
    <w:p>
      <w:pPr>
        <w:spacing w:line="360" w:lineRule="auto"/>
      </w:pPr>
      <w:r>
        <w:t xml:space="preserve"/>
      </w:r>
    </w:p>
    <w:p>
      <w:pPr>
        <w:spacing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Package Handoff Flow (Ref. 602):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Courier delivers to agent instead of final recipient (Ref. 602a)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Agent signature and photo captured as proof-of-delivery (Ref. 602b)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SMS with unique collection code sent to recipient (Ref. 602c)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Recipient has 48-hour collection window (Ref. 602d)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Recipient presents code; agent releases package (Ref. 602e)</w:t>
      </w:r>
    </w:p>
    <w:p>
      <w:pPr>
        <w:pStyle w:val="ListParagraph"/>
        <w:numPr>
          <w:ilvl w:val="0"/>
          <w:numId w:val="3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Agent earns KES 30 per collected package, paid weekly via M-Pesa (Ref. 602f)</w:t>
      </w:r>
    </w:p>
    <w:p>
      <w:pPr>
        <w:spacing w:line="360" w:lineRule="auto"/>
      </w:pPr>
      <w:r>
        <w:t xml:space="preserve"/>
      </w:r>
    </w:p>
    <w:p>
      <w:pPr>
        <w:pStyle w:val="Heading1"/>
        <w:spacing w:after="120" w:before="240" w:line="360" w:lineRule="auto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DRAWING STANDARDS</w:t>
      </w:r>
    </w:p>
    <w:p>
      <w:pPr>
        <w:spacing w:after="120" w:line="360" w:lineRule="auto"/>
      </w:pPr>
      <w:r>
        <w:rPr>
          <w:rFonts w:ascii="Arial" w:cs="Arial" w:eastAsia="Arial" w:hAnsi="Arial"/>
          <w:sz w:val="24"/>
          <w:szCs w:val="24"/>
        </w:rPr>
        <w:t xml:space="preserve">All drawings comply with KIPI Industrial Property Regulations 2002, Regulation 15: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Executed in durable black ink on white background (no colour).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Minimum margins: top 2.5cm, left 2.5cm, right 1.5cm, bottom 1.0cm.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Each figure on a separate sheet, not framed.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Figures numbered consecutively in Arabic numerals (Fig. 1, Fig. 2, etc.).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Reference numerals consistent across all figures and the description.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Text height minimum 0.32cm; all text in Latin alphabet.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Flowcharts use standard symbols: rectangles for processes, diamonds for decisions, ovals for start/end.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Arrows clearly indicate direction of data or process flow.</w:t>
      </w:r>
    </w:p>
    <w:p>
      <w:pPr>
        <w:pStyle w:val="ListParagraph"/>
        <w:numPr>
          <w:ilvl w:val="0"/>
          <w:numId w:val="2"/>
        </w:numPr>
        <w:spacing w:line="360" w:lineRule="auto"/>
      </w:pPr>
      <w:r>
        <w:rPr>
          <w:rFonts w:ascii="Arial" w:cs="Arial" w:eastAsia="Arial" w:hAnsi="Arial"/>
          <w:sz w:val="24"/>
          <w:szCs w:val="24"/>
        </w:rPr>
        <w:t xml:space="preserve">Sheets numbered as a separate series (e.g., 1/6, 2/6, 3/6, 4/6, 5/6, 6/6).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2026-04-06T05:32:17.456Z</dcterms:created>
  <dcterms:modified xsi:type="dcterms:W3CDTF">2026-04-06T05:32:17.456Z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