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B2A2" w14:textId="460F0FE0" w:rsidR="001D7013" w:rsidRDefault="00035DB3" w:rsidP="00035D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4AE0E4F5" w14:textId="57026892" w:rsidR="00035DB3" w:rsidRDefault="00035DB3" w:rsidP="00035D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12 Discussion</w:t>
      </w:r>
    </w:p>
    <w:p w14:paraId="12729D2E" w14:textId="07AFAA2F" w:rsidR="00035DB3" w:rsidRDefault="00035DB3" w:rsidP="00035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binary response variable </w:t>
      </w:r>
      <m:oMath>
        <m:r>
          <w:rPr>
            <w:rFonts w:ascii="Cambria Math" w:hAnsi="Cambria Math" w:cs="Times New Roman"/>
          </w:rPr>
          <m:t>y=0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, its mean is probability </w:t>
      </w:r>
      <m:oMath>
        <m:r>
          <w:rPr>
            <w:rFonts w:ascii="Cambria Math" w:hAnsi="Cambria Math" w:cs="Times New Roman"/>
          </w:rPr>
          <m:t>p=P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y=1</m:t>
            </m:r>
          </m:e>
        </m:d>
      </m:oMath>
      <w:r>
        <w:rPr>
          <w:rFonts w:ascii="Times New Roman" w:hAnsi="Times New Roman" w:cs="Times New Roman"/>
        </w:rPr>
        <w:t xml:space="preserve">. Most often used link function is logit link, i.e., </w:t>
      </w:r>
      <m:oMath>
        <m:r>
          <w:rPr>
            <w:rFonts w:ascii="Cambria Math" w:hAnsi="Cambria Math" w:cs="Times New Roman"/>
          </w:rPr>
          <m:t>η=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1-p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</w:rPr>
        <w:t>. Other link functions that are used in practice:</w:t>
      </w:r>
    </w:p>
    <w:p w14:paraId="79209035" w14:textId="38D21DE5" w:rsidR="00035DB3" w:rsidRDefault="00035DB3" w:rsidP="00035D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Probit link: </w:t>
      </w:r>
      <m:oMath>
        <m:r>
          <w:rPr>
            <w:rFonts w:ascii="Cambria Math" w:hAnsi="Cambria Math" w:cs="Times New Roman"/>
          </w:rPr>
          <m:t>η=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/>
        </w:rPr>
        <w:t xml:space="preserve"> represents the cumulative standard normal distribution.</w:t>
      </w:r>
    </w:p>
    <w:p w14:paraId="51C99152" w14:textId="77777777" w:rsidR="006C7BE5" w:rsidRDefault="00035DB3" w:rsidP="00035D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Log-log link: </w:t>
      </w:r>
      <m:oMath>
        <m:r>
          <w:rPr>
            <w:rFonts w:ascii="Cambria Math" w:hAnsi="Cambria Math" w:cs="Times New Roman"/>
          </w:rPr>
          <m:t>η=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1-p</m:t>
                        </m:r>
                      </m:e>
                    </m:d>
                  </m:e>
                </m:func>
              </m:e>
            </m:d>
          </m:e>
        </m:func>
      </m:oMath>
      <w:r>
        <w:rPr>
          <w:rFonts w:ascii="Times New Roman" w:hAnsi="Times New Roman" w:cs="Times New Roman"/>
        </w:rPr>
        <w:t>.</w:t>
      </w:r>
    </w:p>
    <w:p w14:paraId="6FD1BD52" w14:textId="08411FCF" w:rsidR="00035DB3" w:rsidRDefault="00913D6F" w:rsidP="006C7B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Note: There is a correction from the </w:t>
      </w:r>
      <w:r w:rsidR="006C7BE5">
        <w:rPr>
          <w:rFonts w:ascii="Times New Roman" w:hAnsi="Times New Roman" w:cs="Times New Roman"/>
          <w:i/>
          <w:iCs/>
        </w:rPr>
        <w:t>discussion prompt, where a negative sign is added into the first natural log. This is based on the textbook formula for the complimentary log-log. Otherwise, the function is not calculable.</w:t>
      </w:r>
      <w:r>
        <w:rPr>
          <w:rFonts w:ascii="Times New Roman" w:hAnsi="Times New Roman" w:cs="Times New Roman"/>
        </w:rPr>
        <w:t>)</w:t>
      </w:r>
    </w:p>
    <w:p w14:paraId="0FE284A3" w14:textId="69187C66" w:rsidR="00035DB3" w:rsidRDefault="00035DB3" w:rsidP="00035DB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three link functions and comment on how they differ.</w:t>
      </w:r>
    </w:p>
    <w:p w14:paraId="6B693CC1" w14:textId="3F4CA0F0" w:rsidR="00035DB3" w:rsidRDefault="00035DB3" w:rsidP="00035DB3">
      <w:pPr>
        <w:ind w:left="720"/>
        <w:rPr>
          <w:rFonts w:ascii="Times New Roman" w:hAnsi="Times New Roman" w:cs="Times New Roman"/>
        </w:rPr>
      </w:pPr>
    </w:p>
    <w:p w14:paraId="79C6F585" w14:textId="5724F3B2" w:rsidR="00035DB3" w:rsidRDefault="00035DB3" w:rsidP="00035DB3">
      <w:pPr>
        <w:rPr>
          <w:rFonts w:ascii="Times New Roman" w:hAnsi="Times New Roman" w:cs="Times New Roman"/>
          <w:u w:val="single"/>
        </w:rPr>
      </w:pPr>
      <w:r w:rsidRPr="00035DB3">
        <w:rPr>
          <w:rFonts w:ascii="Times New Roman" w:hAnsi="Times New Roman" w:cs="Times New Roman"/>
          <w:u w:val="single"/>
        </w:rPr>
        <w:t>Ans:</w:t>
      </w:r>
    </w:p>
    <w:p w14:paraId="3FA5C9FB" w14:textId="18D92EBD" w:rsidR="001D1006" w:rsidRDefault="001D1006" w:rsidP="00035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below in Figure 1 shows each of the link functions plotted against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>, the probability ranging from 0 to 1.</w:t>
      </w:r>
      <w:r w:rsidR="00FA6300">
        <w:rPr>
          <w:rFonts w:ascii="Times New Roman" w:hAnsi="Times New Roman" w:cs="Times New Roman"/>
        </w:rPr>
        <w:t xml:space="preserve"> </w:t>
      </w:r>
      <w:r w:rsidR="002E3A3A">
        <w:rPr>
          <w:rFonts w:ascii="Times New Roman" w:hAnsi="Times New Roman" w:cs="Times New Roman"/>
        </w:rPr>
        <w:t xml:space="preserve">Specifically, the </w:t>
      </w:r>
      <w:r w:rsidR="00FA6300">
        <w:rPr>
          <w:rFonts w:ascii="Times New Roman" w:hAnsi="Times New Roman" w:cs="Times New Roman"/>
        </w:rPr>
        <w:t>plot shows the logit (green), probit (red), and complimentary log-log (blue) link functions.</w:t>
      </w:r>
      <w:r w:rsidR="00146EFA">
        <w:rPr>
          <w:rFonts w:ascii="Times New Roman" w:hAnsi="Times New Roman" w:cs="Times New Roman"/>
        </w:rPr>
        <w:t xml:space="preserve"> </w:t>
      </w:r>
      <w:r w:rsidR="00FA6300">
        <w:rPr>
          <w:rFonts w:ascii="Times New Roman" w:hAnsi="Times New Roman" w:cs="Times New Roman"/>
        </w:rPr>
        <w:t>The plot reinforces what was stated in the book regarding the first</w:t>
      </w:r>
      <w:r w:rsidR="00146EFA">
        <w:rPr>
          <w:rFonts w:ascii="Times New Roman" w:hAnsi="Times New Roman" w:cs="Times New Roman"/>
        </w:rPr>
        <w:t xml:space="preserve"> two link functions, which is that they seem to be symmetric around the origin and </w:t>
      </w:r>
      <m:oMath>
        <m:r>
          <w:rPr>
            <w:rFonts w:ascii="Cambria Math" w:hAnsi="Cambria Math" w:cs="Times New Roman"/>
          </w:rPr>
          <m:t>p=0.5</m:t>
        </m:r>
      </m:oMath>
      <w:r w:rsidR="00146EFA">
        <w:rPr>
          <w:rFonts w:ascii="Times New Roman" w:hAnsi="Times New Roman" w:cs="Times New Roman"/>
        </w:rPr>
        <w:t>, while the latter link function is off-center slightly.</w:t>
      </w:r>
      <w:r w:rsidR="00CA51DB">
        <w:rPr>
          <w:rFonts w:ascii="Times New Roman" w:hAnsi="Times New Roman" w:cs="Times New Roman"/>
        </w:rPr>
        <w:t xml:space="preserve"> This can be seen since in black are horizontal and vertical dotted lines at the horizontal axis of 0.5 and vertical axis of 0 respectively.</w:t>
      </w:r>
    </w:p>
    <w:p w14:paraId="5EE2B6D0" w14:textId="3A8C4592" w:rsidR="00685E54" w:rsidRDefault="00685E54" w:rsidP="00035DB3">
      <w:pPr>
        <w:rPr>
          <w:rFonts w:ascii="Times New Roman" w:hAnsi="Times New Roman" w:cs="Times New Roman"/>
        </w:rPr>
      </w:pPr>
    </w:p>
    <w:p w14:paraId="3255BD1E" w14:textId="5050927A" w:rsidR="00685E54" w:rsidRPr="001D1006" w:rsidRDefault="00685E54" w:rsidP="00035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interesting to note that when </w:t>
      </w:r>
      <m:oMath>
        <m:r>
          <w:rPr>
            <w:rFonts w:ascii="Cambria Math" w:hAnsi="Cambria Math" w:cs="Times New Roman"/>
          </w:rPr>
          <m:t>p&lt;0.5</m:t>
        </m:r>
      </m:oMath>
      <w:r>
        <w:rPr>
          <w:rFonts w:ascii="Times New Roman" w:hAnsi="Times New Roman" w:cs="Times New Roman"/>
        </w:rPr>
        <w:t xml:space="preserve">, the log-log seems closer to the logit. While </w:t>
      </w:r>
      <m:oMath>
        <m:r>
          <w:rPr>
            <w:rFonts w:ascii="Cambria Math" w:hAnsi="Cambria Math" w:cs="Times New Roman"/>
          </w:rPr>
          <m:t>p&gt;0.5</m:t>
        </m:r>
      </m:oMath>
      <w:r>
        <w:rPr>
          <w:rFonts w:ascii="Times New Roman" w:hAnsi="Times New Roman" w:cs="Times New Roman"/>
        </w:rPr>
        <w:t>, it starts to seem that the log-log is closer to the probit.</w:t>
      </w:r>
      <w:r w:rsidR="000819C2">
        <w:rPr>
          <w:rFonts w:ascii="Times New Roman" w:hAnsi="Times New Roman" w:cs="Times New Roman"/>
        </w:rPr>
        <w:t xml:space="preserve"> The textbook also mentions how there is not much of a noticeable difference when the sample size is small. So it would be interesting to see how from a more empirical point of view how having one link function or another can impact the resulting classification.</w:t>
      </w:r>
    </w:p>
    <w:p w14:paraId="7569A2F6" w14:textId="77777777" w:rsidR="009A6782" w:rsidRDefault="009A6782" w:rsidP="009A6782">
      <w:pPr>
        <w:keepNext/>
        <w:jc w:val="center"/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3532CEA" wp14:editId="2BD4B4CA">
            <wp:extent cx="3496182" cy="281065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43" cy="28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9EF" w14:textId="025A0AEC" w:rsidR="00035DB3" w:rsidRDefault="009A6782" w:rsidP="009A678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above figure shows the link functions against p. The link functions include: logit (green), probit (red) and complimentary log-log (blue).</w:t>
      </w:r>
    </w:p>
    <w:p w14:paraId="5361B801" w14:textId="75897185" w:rsidR="00945292" w:rsidRPr="00945292" w:rsidRDefault="00945292" w:rsidP="00945292">
      <w:pPr>
        <w:rPr>
          <w:rFonts w:ascii="Times New Roman" w:hAnsi="Times New Roman" w:cs="Times New Roman"/>
        </w:rPr>
      </w:pPr>
      <w:r w:rsidRPr="00945292">
        <w:rPr>
          <w:rFonts w:ascii="Times New Roman" w:hAnsi="Times New Roman" w:cs="Times New Roman"/>
        </w:rPr>
        <w:lastRenderedPageBreak/>
        <w:t>Code Appendix</w:t>
      </w:r>
    </w:p>
    <w:p w14:paraId="15499F8A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logit &lt;- function(p) {</w:t>
      </w:r>
    </w:p>
    <w:p w14:paraId="447A3970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return(log(p / (1 - p)))</w:t>
      </w:r>
    </w:p>
    <w:p w14:paraId="1FFA6265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}</w:t>
      </w:r>
    </w:p>
    <w:p w14:paraId="639D74F6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</w:p>
    <w:p w14:paraId="2A9CEB05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probit &lt;- function(p) {</w:t>
      </w:r>
    </w:p>
    <w:p w14:paraId="60F0D6A3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return(qnorm(p = p))</w:t>
      </w:r>
    </w:p>
    <w:p w14:paraId="1267116C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}</w:t>
      </w:r>
    </w:p>
    <w:p w14:paraId="1714066C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</w:p>
    <w:p w14:paraId="76471AD3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log_log &lt;- function(p) {</w:t>
      </w:r>
    </w:p>
    <w:p w14:paraId="20DCF655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return(log(-log(1 - p)))</w:t>
      </w:r>
    </w:p>
    <w:p w14:paraId="57E2E116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}</w:t>
      </w:r>
    </w:p>
    <w:p w14:paraId="35E1EA66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</w:p>
    <w:p w14:paraId="36EA29FD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p_seq &lt;- seq(0, 1, length.out = 1e3)</w:t>
      </w:r>
    </w:p>
    <w:p w14:paraId="5059AE12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plot(p_seq, logit(p_seq), type = 'l',</w:t>
      </w:r>
    </w:p>
    <w:p w14:paraId="1B77B63E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   main = 'Link Functions vs. p',</w:t>
      </w:r>
    </w:p>
    <w:p w14:paraId="5A9729DC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   xlab = 'p', ylab = 'Link Function', lty = 2, col = 'green')</w:t>
      </w:r>
    </w:p>
    <w:p w14:paraId="742DC5BE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lines(p_seq, probit(p_seq), lty = 2, col = 'red')</w:t>
      </w:r>
    </w:p>
    <w:p w14:paraId="1B080EA6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lines(p_seq, log_log(p_seq), lty = 2, col = 'blue')</w:t>
      </w:r>
    </w:p>
    <w:p w14:paraId="1F26BD44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legend("topleft", legend = c('Logit', 'Probit', 'Log-log'),</w:t>
      </w:r>
    </w:p>
    <w:p w14:paraId="2C378DB4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 xml:space="preserve">       col = c('green', 'red', 'blue'), lty = rep(2,3))</w:t>
      </w:r>
    </w:p>
    <w:p w14:paraId="6A440E7A" w14:textId="77777777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abline(h = 0, lty = 2)</w:t>
      </w:r>
    </w:p>
    <w:p w14:paraId="34D4F11B" w14:textId="4FEC413A" w:rsidR="00945292" w:rsidRPr="00945292" w:rsidRDefault="00945292" w:rsidP="00945292">
      <w:pPr>
        <w:rPr>
          <w:rFonts w:ascii="Courier New" w:hAnsi="Courier New"/>
          <w:sz w:val="16"/>
          <w:szCs w:val="16"/>
        </w:rPr>
      </w:pPr>
      <w:r w:rsidRPr="00945292">
        <w:rPr>
          <w:rFonts w:ascii="Courier New" w:hAnsi="Courier New"/>
          <w:sz w:val="16"/>
          <w:szCs w:val="16"/>
        </w:rPr>
        <w:t>abline(v = 0.5, lty = 2)</w:t>
      </w:r>
    </w:p>
    <w:sectPr w:rsidR="00945292" w:rsidRPr="0094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F0FB0"/>
    <w:multiLevelType w:val="hybridMultilevel"/>
    <w:tmpl w:val="730A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3"/>
    <w:rsid w:val="00035DB3"/>
    <w:rsid w:val="000819C2"/>
    <w:rsid w:val="00146EFA"/>
    <w:rsid w:val="001D1006"/>
    <w:rsid w:val="001D7013"/>
    <w:rsid w:val="001F7E68"/>
    <w:rsid w:val="002E3A3A"/>
    <w:rsid w:val="003B671E"/>
    <w:rsid w:val="0046277C"/>
    <w:rsid w:val="00685E54"/>
    <w:rsid w:val="006C7BE5"/>
    <w:rsid w:val="00913D6F"/>
    <w:rsid w:val="00945292"/>
    <w:rsid w:val="009A6782"/>
    <w:rsid w:val="00CA51DB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44F3"/>
  <w15:chartTrackingRefBased/>
  <w15:docId w15:val="{90C632F9-9E89-BD43-BA20-9B9F0FE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DB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678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16</cp:revision>
  <dcterms:created xsi:type="dcterms:W3CDTF">2020-11-21T23:12:00Z</dcterms:created>
  <dcterms:modified xsi:type="dcterms:W3CDTF">2020-11-21T23:44:00Z</dcterms:modified>
</cp:coreProperties>
</file>