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맑은 고딕" w:cs="맑은 고딕" w:eastAsia="맑은 고딕" w:hAnsi="맑은 고딕"/>
          <w:sz w:val="22"/>
          <w:szCs w:val="22"/>
        </w:rPr>
        <w:t xml:space="preserve">「형식선정·기초·안정성검토·이음·배수·뒤채움·철근상세」</w:t>
      </w:r>
    </w:p>
    <w:p>
      <w:pPr>
        <w:spacing w:after="100" w:before="200"/>
        <w:jc w:val="center"/>
      </w:pPr>
      <w:r>
        <w:rPr>
          <w:rFonts w:ascii="맑은 고딕" w:cs="맑은 고딕" w:eastAsia="맑은 고딕" w:hAnsi="맑은 고딕"/>
          <w:b/>
          <w:bCs/>
          <w:sz w:val="40"/>
          <w:szCs w:val="40"/>
        </w:rPr>
        <w:t xml:space="preserve">자립식(콘크리트) 옹벽 설계 및 시공 지침 분석 보고서</w:t>
      </w:r>
    </w:p>
    <w:p>
      <w:pPr>
        <w:spacing w:after="400" w:before="100"/>
        <w:jc w:val="center"/>
      </w:pPr>
      <w:r>
        <w:rPr>
          <w:rFonts w:ascii="맑은 고딕" w:cs="맑은 고딕" w:eastAsia="맑은 고딕" w:hAnsi="맑은 고딕"/>
          <w:sz w:val="22"/>
          <w:szCs w:val="22"/>
        </w:rPr>
        <w:t xml:space="preserve">(2026.07.24.)</w:t>
      </w:r>
    </w:p>
    <w:p>
      <w:pPr>
        <w:spacing w:after="120" w:before="300"/>
      </w:pPr>
      <w:r>
        <w:rPr>
          <w:rFonts w:ascii="맑은 고딕" w:cs="맑은 고딕" w:eastAsia="맑은 고딕" w:hAnsi="맑은 고딕"/>
          <w:b/>
          <w:bCs/>
          <w:sz w:val="24"/>
          <w:szCs w:val="24"/>
        </w:rPr>
        <w:t xml:space="preserve">■ 작성 배경</w:t>
      </w:r>
    </w:p>
    <w:p>
      <w:pPr>
        <w:spacing w:after="120"/>
      </w:pPr>
      <w:r>
        <w:rPr>
          <w:rFonts w:ascii="맑은 고딕" w:cs="맑은 고딕" w:eastAsia="맑은 고딕" w:hAnsi="맑은 고딕"/>
        </w:rPr>
        <w:t xml:space="preserve">본 보고서는 자립식(콘크리트) 옹벽의 주요 구성요소 7개 항목에 대하여, 현행 설계기준(KDS)·표준시방서(KCS)·발주기관 설계지침(LH)을 근거로 정리한 분석 자료이다. 보강토 옹벽이 뒤채움 흙과 보강재의 마찰저항으로 토체를 일체화하는 구조라면, 자립식 옹벽은 옹벽체 자체의 자중·형상·철근 단면으로 토압에 저항하는 콘크리트(중력식·반중력식·캔틸레버식·부벽식) 구조물이라는 점에서 검토 항목의 성격이 달라진다.</w:t>
      </w:r>
    </w:p>
    <w:p>
      <w:pPr>
        <w:spacing w:after="120" w:before="200"/>
      </w:pPr>
      <w:r>
        <w:rPr>
          <w:rFonts w:ascii="맑은 고딕" w:cs="맑은 고딕" w:eastAsia="맑은 고딕" w:hAnsi="맑은 고딕"/>
          <w:b/>
          <w:bCs/>
        </w:rPr>
        <w:t xml:space="preserve">작성에 사용한 자료(출처)</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2E5395"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구분</w:t>
            </w:r>
          </w:p>
        </w:tc>
        <w:tc>
          <w:tcPr>
            <w:tcW w:type="dxa" w:w="7150"/>
            <w:shd w:fill="2E5395"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자료명(출처)</w:t>
            </w:r>
          </w:p>
        </w:tc>
      </w:tr>
      <w:tr>
        <w:tc>
          <w:tcPr>
            <w:tcW w:type="dxa" w:w="220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설계기준</w:t>
            </w:r>
          </w:p>
        </w:tc>
        <w:tc>
          <w:tcPr>
            <w:tcW w:type="dxa" w:w="715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KDS 11 80 05 콘크리트옹벽
(2025.12.24. 개정)</w:t>
            </w:r>
          </w:p>
        </w:tc>
      </w:tr>
      <w:tr>
        <w:tc>
          <w:tcPr>
            <w:tcW w:type="dxa" w:w="220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표준시방서</w:t>
            </w:r>
          </w:p>
        </w:tc>
        <w:tc>
          <w:tcPr>
            <w:tcW w:type="dxa" w:w="715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KCS 11 80 05 콘크리트옹벽공사
(2025.12.24. 개정)</w:t>
            </w:r>
          </w:p>
        </w:tc>
      </w:tr>
      <w:tr>
        <w:tc>
          <w:tcPr>
            <w:tcW w:type="dxa" w:w="220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설계지침</w:t>
            </w:r>
          </w:p>
        </w:tc>
        <w:tc>
          <w:tcPr>
            <w:tcW w:type="dxa" w:w="715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LH 설계지침(토목) 제42차 개정(안) 옹벽·돌쌓기공사
7.1~7.2 일반옹벽 (2024.01.02. 개정)</w:t>
            </w:r>
          </w:p>
        </w:tc>
      </w:tr>
    </w:tbl>
    <w:p>
      <w:pPr>
        <w:spacing w:after="100" w:before="240"/>
      </w:pPr>
      <w:r>
        <w:rPr>
          <w:rFonts w:ascii="맑은 고딕" w:cs="맑은 고딕" w:eastAsia="맑은 고딕" w:hAnsi="맑은 고딕"/>
        </w:rPr>
        <w:t xml:space="preserve">참고 자료는 별첨 파일로 제공드리며 표 구분 별 파일명은 하기와 같습니다.</w:t>
      </w:r>
    </w:p>
    <w:p>
      <w:pPr>
        <w:spacing w:after="120"/>
      </w:pPr>
      <w:r>
        <w:rPr>
          <w:rFonts w:ascii="맑은 고딕" w:cs="맑은 고딕" w:eastAsia="맑은 고딕" w:hAnsi="맑은 고딕"/>
        </w:rPr>
        <w:t xml:space="preserve">01. KDS 11 80 05 콘크리트옹벽_(25. 12. 24.).hwp</w:t>
      </w:r>
    </w:p>
    <w:p>
      <w:pPr>
        <w:spacing w:after="120"/>
      </w:pPr>
      <w:r>
        <w:rPr>
          <w:rFonts w:ascii="맑은 고딕" w:cs="맑은 고딕" w:eastAsia="맑은 고딕" w:hAnsi="맑은 고딕"/>
        </w:rPr>
        <w:t xml:space="preserve">02. KCS 11 80 05 콘크리트옹벽공사_(25. 12. 24.).hwp</w:t>
      </w:r>
    </w:p>
    <w:p>
      <w:pPr>
        <w:spacing w:after="120"/>
      </w:pPr>
      <w:r>
        <w:rPr>
          <w:rFonts w:ascii="맑은 고딕" w:cs="맑은 고딕" w:eastAsia="맑은 고딕" w:hAnsi="맑은 고딕"/>
        </w:rPr>
        <w:t xml:space="preserve">03. LH 설계지침(토목) 옹벽공사 7.1~7.2 발췌 (원본: 202401_LH_붙임2설계지침(토목)제42차개정(안)전문_07_옹벽,돌쌓기공사.pdf)</w:t>
      </w:r>
    </w:p>
    <w:p>
      <w:r>
        <w:br w:type="page"/>
      </w:r>
    </w:p>
    <w:p>
      <w:pPr>
        <w:spacing w:after="200"/>
        <w:jc w:val="center"/>
      </w:pPr>
      <w:r>
        <w:rPr>
          <w:rFonts w:ascii="맑은 고딕" w:cs="맑은 고딕" w:eastAsia="맑은 고딕" w:hAnsi="맑은 고딕"/>
          <w:b/>
          <w:bCs/>
          <w:sz w:val="32"/>
          <w:szCs w:val="32"/>
        </w:rPr>
        <w:t xml:space="preserve">목차</w:t>
      </w:r>
    </w:p>
    <w:p>
      <w:pPr>
        <w:spacing w:after="300"/>
        <w:jc w:val="center"/>
      </w:pPr>
      <w:r>
        <w:rPr>
          <w:rFonts w:ascii="맑은 고딕" w:cs="맑은 고딕" w:eastAsia="맑은 고딕" w:hAnsi="맑은 고딕"/>
          <w:i/>
          <w:iCs/>
          <w:color w:val="999999"/>
          <w:sz w:val="18"/>
          <w:szCs w:val="18"/>
        </w:rPr>
        <w:t xml:space="preserve">(※ 문서를 열면 우클릭 → "필드 업데이트"를 눌러야 아래 목차의 쪽번호가 채워집니다)</w:t>
      </w:r>
    </w:p>
    <w:sdt>
      <w:sdtPr>
        <w:alias w:val="목차"/>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rPr>
          <w:rFonts w:ascii="맑은 고딕" w:cs="맑은 고딕" w:eastAsia="맑은 고딕" w:hAnsi="맑은 고딕"/>
          <w:b/>
          <w:bCs/>
          <w:sz w:val="30"/>
          <w:szCs w:val="30"/>
        </w:rPr>
        <w:t xml:space="preserve">1. 옹벽 형식의 선정 – 높이에 따라 어떤 형식을 써야 하는가?</w:t>
      </w:r>
    </w:p>
    <w:p>
      <w:pPr>
        <w:spacing w:after="120"/>
      </w:pPr>
      <w:r>
        <w:rPr>
          <w:rFonts w:ascii="맑은 고딕" w:cs="맑은 고딕" w:eastAsia="맑은 고딕" w:hAnsi="맑은 고딕"/>
        </w:rPr>
        <w:t xml:space="preserve">자립식 옹벽은 하나의 고정된 형태가 아니라, 옹벽 높이와 부지 조건에 따라 4가지 구조형식 중에서 선택되는 구조물이다. "콘크리트옹벽 = 캔틸레버(역T형)"로 단순화해서 이해하는 경우가 많지만, 기준상으로는 저높이 구간의 중력식부터 고높이 구간의 부벽식까지 명확한 적용 스펙트럼이 있다.</w:t>
      </w:r>
    </w:p>
    <w:p>
      <w:pPr>
        <w:pStyle w:val="Heading2"/>
        <w:spacing w:after="140" w:before="260"/>
      </w:pPr>
      <w:r>
        <w:rPr>
          <w:rFonts w:ascii="맑은 고딕" w:cs="맑은 고딕" w:eastAsia="맑은 고딕" w:hAnsi="맑은 고딕"/>
          <w:b/>
          <w:bCs/>
          <w:color w:val="1F4E79"/>
          <w:sz w:val="25"/>
          <w:szCs w:val="25"/>
        </w:rPr>
        <w:t xml:space="preserve">1.1 콘크리트옹벽의 4가지 구조형식</w:t>
      </w:r>
    </w:p>
    <w:p>
      <w:pPr>
        <w:spacing w:after="100"/>
        <w:ind w:left="200"/>
      </w:pPr>
      <w:r>
        <w:rPr>
          <w:rFonts w:ascii="맑은 고딕" w:cs="맑은 고딕" w:eastAsia="맑은 고딕" w:hAnsi="맑은 고딕"/>
        </w:rPr>
        <w:t xml:space="preserve">■ KDS 11 80 05에서는 콘크리트옹벽의 구조 형식을 중력식, 반중력식, 캔틸레버식, 부벽식(앞부벽식·뒷부벽식)으로 구분하고, 옹벽은 높이가 커짐에 따라 순차로 중력식 → 캔틸레버식 → 부벽식을 이용하는 것이 일반적이라고 명시한다.</w:t>
      </w:r>
    </w:p>
    <w:p>
      <w:pPr>
        <w:spacing w:after="100"/>
        <w:ind w:left="200"/>
      </w:pPr>
      <w:r>
        <w:rPr>
          <w:rFonts w:ascii="맑은 고딕" w:cs="맑은 고딕" w:eastAsia="맑은 고딕" w:hAnsi="맑은 고딕"/>
        </w:rPr>
        <w:t xml:space="preserve">■ 각 형식의 하중저항 메커니즘은 서로 다르다.</w:t>
      </w:r>
    </w:p>
    <w:p>
      <w:pPr>
        <w:spacing w:after="80"/>
        <w:ind w:left="400"/>
      </w:pPr>
      <w:r>
        <w:rPr>
          <w:rFonts w:ascii="맑은 고딕" w:cs="맑은 고딕" w:eastAsia="맑은 고딕" w:hAnsi="맑은 고딕"/>
        </w:rPr>
        <w:t xml:space="preserve">- 중력식·반중력식: 자중만으로(또는 자중 위주로) 토압을 지지하며, 반중력식은 벽체 두께를 얇게 해야 하는 경우 인장영역을 철근이 부담하도록 배근한다.</w:t>
      </w:r>
    </w:p>
    <w:p>
      <w:pPr>
        <w:spacing w:after="80"/>
        <w:ind w:left="400"/>
      </w:pPr>
      <w:r>
        <w:rPr>
          <w:rFonts w:ascii="맑은 고딕" w:cs="맑은 고딕" w:eastAsia="맑은 고딕" w:hAnsi="맑은 고딕"/>
        </w:rPr>
        <w:t xml:space="preserve">- 캔틸레버식(역T형·L형): 벽체와 기초 접합부를 고정단으로 하는 캔틸레버로 거동하며, 벽체 설계 시 자중은 무시하고 토압의 수평분력만 고려한다.</w:t>
      </w:r>
    </w:p>
    <w:p>
      <w:pPr>
        <w:spacing w:after="80"/>
        <w:ind w:left="400"/>
      </w:pPr>
      <w:r>
        <w:rPr>
          <w:rFonts w:ascii="맑은 고딕" w:cs="맑은 고딕" w:eastAsia="맑은 고딕" w:hAnsi="맑은 고딕"/>
        </w:rPr>
        <w:t xml:space="preserve">- 뒷부벽식·앞부벽식: 벽체·저판을 부벽이 지지하는 연속판으로 보고, 부벽 자체는 저판에 고정된 캔틸레버 보(뒷부벽식) 또는 구형보(앞부벽식)로 설계한다.</w:t>
      </w:r>
    </w:p>
    <w:p>
      <w:pPr>
        <w:pStyle w:val="Heading2"/>
        <w:spacing w:after="140" w:before="260"/>
      </w:pPr>
      <w:r>
        <w:rPr>
          <w:rFonts w:ascii="맑은 고딕" w:cs="맑은 고딕" w:eastAsia="맑은 고딕" w:hAnsi="맑은 고딕"/>
          <w:b/>
          <w:bCs/>
          <w:color w:val="1F4E79"/>
          <w:sz w:val="25"/>
          <w:szCs w:val="25"/>
        </w:rPr>
        <w:t xml:space="preserve">1.2 형식 선정 기준(높이·부위별)</w:t>
      </w:r>
    </w:p>
    <w:p>
      <w:pPr>
        <w:spacing w:after="100"/>
        <w:ind w:left="200"/>
      </w:pPr>
      <w:r>
        <w:rPr>
          <w:rFonts w:ascii="맑은 고딕" w:cs="맑은 고딕" w:eastAsia="맑은 고딕" w:hAnsi="맑은 고딕"/>
        </w:rPr>
        <w:t xml:space="preserve">■ LH 설계지침은 흙깎기부/흙쌓기부와 옹벽 높이 구간(H-2m 이하 / H-2~7m 미만 / H-7m 이상)별로 적용 가능한 형식을 표로 제시한다.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2550"/>
        <w:gridCol w:w="2550"/>
        <w:gridCol w:w="2550"/>
      </w:tblGrid>
      <w:tr>
        <w:trPr>
          <w:tblHeader/>
        </w:trPr>
        <w:tc>
          <w:tcPr>
            <w:tcW w:type="dxa" w:w="1700"/>
            <w:shd w:fill="2E5395"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구분</w:t>
            </w:r>
          </w:p>
        </w:tc>
        <w:tc>
          <w:tcPr>
            <w:tcW w:type="dxa" w:w="2550"/>
            <w:shd w:fill="2E5395"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H-2m 이하</w:t>
            </w:r>
          </w:p>
        </w:tc>
        <w:tc>
          <w:tcPr>
            <w:tcW w:type="dxa" w:w="2550"/>
            <w:shd w:fill="2E5395"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H-2~7m 미만</w:t>
            </w:r>
          </w:p>
        </w:tc>
        <w:tc>
          <w:tcPr>
            <w:tcW w:type="dxa" w:w="2550"/>
            <w:shd w:fill="2E5395"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H-7m 이상</w:t>
            </w:r>
          </w:p>
        </w:tc>
      </w:tr>
      <w:tr>
        <w:tc>
          <w:tcPr>
            <w:tcW w:type="dxa" w:w="170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흙깎기부</w:t>
            </w:r>
          </w:p>
        </w:tc>
        <w:tc>
          <w:tcPr>
            <w:tcW w:type="dxa" w:w="255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반중력식, 중력식 등</w:t>
            </w:r>
          </w:p>
        </w:tc>
        <w:tc>
          <w:tcPr>
            <w:tcW w:type="dxa" w:w="255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역T형, 역L형, L형 등</w:t>
            </w:r>
          </w:p>
        </w:tc>
        <w:tc>
          <w:tcPr>
            <w:tcW w:type="dxa" w:w="255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부벽식 등</w:t>
            </w:r>
          </w:p>
        </w:tc>
      </w:tr>
      <w:tr>
        <w:tc>
          <w:tcPr>
            <w:tcW w:type="dxa" w:w="170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흙쌓기부</w:t>
            </w:r>
          </w:p>
        </w:tc>
        <w:tc>
          <w:tcPr>
            <w:tcW w:type="dxa" w:w="255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반중력식, 중력식,
블록식보강토 등</w:t>
            </w:r>
          </w:p>
        </w:tc>
        <w:tc>
          <w:tcPr>
            <w:tcW w:type="dxa" w:w="255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역T형, L형,
블록식보강토 등</w:t>
            </w:r>
          </w:p>
        </w:tc>
        <w:tc>
          <w:tcPr>
            <w:tcW w:type="dxa" w:w="255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부벽식,
블록식보강토 등</w:t>
            </w:r>
          </w:p>
        </w:tc>
      </w:tr>
    </w:tbl>
    <w:p>
      <w:pPr>
        <w:spacing w:after="100"/>
        <w:ind w:left="200"/>
      </w:pPr>
      <w:r>
        <w:rPr>
          <w:rFonts w:ascii="맑은 고딕" w:cs="맑은 고딕" w:eastAsia="맑은 고딕" w:hAnsi="맑은 고딕"/>
        </w:rPr>
        <w:t xml:space="preserve">■ 경계옹벽(용지 경계부)의 경우, 다른 그룹(중요도·지가가 다른 용지)과의 경계에는 중요도가 낮은 쪽에 기초저판이 편입되도록 L형·역L형을 쓰고, 같은 그룹끼리의 경계에는 구조적으로 유리한 역T형을 쓴다(*LH 설계지침).</w:t>
      </w:r>
    </w:p>
    <w:p>
      <w:pPr>
        <w:spacing w:after="100"/>
        <w:ind w:left="200"/>
      </w:pPr>
      <w:r>
        <w:rPr>
          <w:rFonts w:ascii="맑은 고딕" w:cs="맑은 고딕" w:eastAsia="맑은 고딕" w:hAnsi="맑은 고딕"/>
        </w:rPr>
        <w:t xml:space="preserve">■ KDS 11 80 05는 이 선택을 형식의 문제가 아니라 종합판단의 문제로 규정한다. 위치·공간 제약, 옹벽 높이·설치 지형, 지반·지하수 조건, 시공 시간·경제성, 미관·유지관리 편의성을 함께 고려하여 형식을 결정해야 한다(*KDS 1.6.1).</w:t>
      </w:r>
    </w:p>
    <w:p>
      <w:pPr>
        <w:pStyle w:val="Heading2"/>
        <w:spacing w:after="140" w:before="260"/>
      </w:pPr>
      <w:r>
        <w:rPr>
          <w:rFonts w:ascii="맑은 고딕" w:cs="맑은 고딕" w:eastAsia="맑은 고딕" w:hAnsi="맑은 고딕"/>
          <w:b/>
          <w:bCs/>
          <w:color w:val="1F4E79"/>
          <w:sz w:val="25"/>
          <w:szCs w:val="25"/>
        </w:rPr>
        <w:t xml:space="preserve">1.3 보통설계와 특수설계의 구분</w:t>
      </w:r>
    </w:p>
    <w:p>
      <w:pPr>
        <w:spacing w:after="100"/>
        <w:ind w:left="200"/>
      </w:pPr>
      <w:r>
        <w:rPr>
          <w:rFonts w:ascii="맑은 고딕" w:cs="맑은 고딕" w:eastAsia="맑은 고딕" w:hAnsi="맑은 고딕"/>
        </w:rPr>
        <w:t xml:space="preserve">■ KDS는 "옹벽의 보통설계"를 연약하지 않은 평탄한 지반 위에 중력식·캔틸레버식·부벽식을 일반적인 형상으로 적용한 경우로 한정한다. 이외의 경우 — 배면토의 점착력을 고려하는 경우, 배면 지표면 형상이 복잡한 경우, 배면이 원지반·구조물에 근접한 경우, 국부하중이 작용하는 경우, 연약지반·비탈면 위의 옹벽, U형·흙채움 U형 옹벽 등 특수한 구조 — 는 특수설계로 별도 검토해야 한다(*KDS 1.6.2, 4.3).</w:t>
      </w:r>
    </w:p>
    <w:tbl>
      <w:tblPr>
        <w:tblW w:type="dxa" w:w="9350"/>
        <w:tblBorders>
          <w:top w:val="single" w:color="4472C4" w:sz="4"/>
          <w:left w:val="single" w:color="4472C4" w:sz="4"/>
          <w:bottom w:val="single" w:color="4472C4" w:sz="4"/>
          <w:right w:val="single" w:color="4472C4" w:sz="4"/>
          <w:insideH w:val="single" w:color="auto" w:sz="4"/>
          <w:insideV w:val="single" w:color="auto" w:sz="4"/>
        </w:tblBorders>
      </w:tblPr>
      <w:tblGrid>
        <w:gridCol w:w="9350"/>
      </w:tblGrid>
      <w:tr>
        <w:tc>
          <w:tcPr>
            <w:tcW w:type="dxa" w:w="9350"/>
            <w:shd w:fill="EAF1FB" w:val="clear"/>
            <w:tcMar>
              <w:top w:type="dxa" w:w="150"/>
              <w:left w:type="dxa" w:w="200"/>
              <w:bottom w:type="dxa" w:w="150"/>
              <w:right w:type="dxa" w:w="200"/>
            </w:tcMar>
          </w:tcPr>
          <w:p>
            <w:r>
              <w:rPr>
                <w:rFonts w:ascii="맑은 고딕" w:cs="맑은 고딕" w:eastAsia="맑은 고딕" w:hAnsi="맑은 고딕"/>
                <w:b/>
                <w:bCs/>
              </w:rPr>
              <w:t xml:space="preserve">◎ 요약 결론</w:t>
            </w:r>
            <w:r>
              <w:rPr>
                <w:rFonts w:ascii="맑은 고딕" w:cs="맑은 고딕" w:eastAsia="맑은 고딕" w:hAnsi="맑은 고딕"/>
              </w:rPr>
              <w:t xml:space="preserve">   자립식 옹벽은 높이 구간(대략 2m, 7~8m를 경계)에 따라 중력식·반중력식 → 캔틸레버식(역T형·L형) → 부벽식으로 형식이 달라지는 것이 원칙이며, 흙깎기부/흙쌓기부, 경계부 용지의 중요도, 지반·미관 조건이 함께 형식을 결정한다. "평탄한 지반 + 일반 형상"을 벗어나는 경우는 보통설계가 아닌 특수설계로 별도 검토가 필요하다.</w:t>
            </w:r>
          </w:p>
        </w:tc>
      </w:tr>
    </w:tbl>
    <w:p>
      <w:pPr>
        <w:pStyle w:val="Heading1"/>
        <w:spacing w:after="200" w:before="400"/>
      </w:pPr>
      <w:r>
        <w:rPr>
          <w:rFonts w:ascii="맑은 고딕" w:cs="맑은 고딕" w:eastAsia="맑은 고딕" w:hAnsi="맑은 고딕"/>
          <w:b/>
          <w:bCs/>
          <w:sz w:val="30"/>
          <w:szCs w:val="30"/>
        </w:rPr>
        <w:t xml:space="preserve">2. 기초부 처리 – 근입깊이와 지지력은 어떻게 결정하는가?</w:t>
      </w:r>
    </w:p>
    <w:p>
      <w:pPr>
        <w:pStyle w:val="Heading2"/>
        <w:spacing w:after="140" w:before="260"/>
      </w:pPr>
      <w:r>
        <w:rPr>
          <w:rFonts w:ascii="맑은 고딕" w:cs="맑은 고딕" w:eastAsia="맑은 고딕" w:hAnsi="맑은 고딕"/>
          <w:b/>
          <w:bCs/>
          <w:color w:val="1F4E79"/>
          <w:sz w:val="25"/>
          <w:szCs w:val="25"/>
        </w:rPr>
        <w:t xml:space="preserve">2.1 기초형식 선정</w:t>
      </w:r>
    </w:p>
    <w:p>
      <w:pPr>
        <w:spacing w:after="100"/>
        <w:ind w:left="200"/>
      </w:pPr>
      <w:r>
        <w:rPr>
          <w:rFonts w:ascii="맑은 고딕" w:cs="맑은 고딕" w:eastAsia="맑은 고딕" w:hAnsi="맑은 고딕"/>
        </w:rPr>
        <w:t xml:space="preserve">■ 콘크리트옹벽 기초는 지지 지반의 조건에 따라 직접기초, 말뚝기초 등 적절한 형식을 선정한다(*KDS 1.6.1(5)). 지지력이 부족한 경우 KCS 시공 단계에서도 적절한 보강을 하도록 규정한다(*KCS 3.1.1(3)).</w:t>
      </w:r>
    </w:p>
    <w:p>
      <w:pPr>
        <w:spacing w:after="100"/>
        <w:ind w:left="200"/>
      </w:pPr>
      <w:r>
        <w:rPr>
          <w:rFonts w:ascii="맑은 고딕" w:cs="맑은 고딕" w:eastAsia="맑은 고딕" w:hAnsi="맑은 고딕"/>
        </w:rPr>
        <w:t xml:space="preserve">■ 기초지반 조사범위는 임의로 정하지 않는다. 기초지반의 활동파괴 영향범위는 배면쌓기 높이의 1.5배 이내, 접지압에 의한 침하 영향범위는 쌓기 높이의 1.5배~3.0배 이내로 알려져 있으므로, 이 범위를 기준으로 지반조사 깊이를 설정해야 한다(*KDS 2.1.1).</w:t>
      </w:r>
    </w:p>
    <w:p>
      <w:pPr>
        <w:pStyle w:val="Heading2"/>
        <w:spacing w:after="140" w:before="260"/>
      </w:pPr>
      <w:r>
        <w:rPr>
          <w:rFonts w:ascii="맑은 고딕" w:cs="맑은 고딕" w:eastAsia="맑은 고딕" w:hAnsi="맑은 고딕"/>
          <w:b/>
          <w:bCs/>
          <w:color w:val="1F4E79"/>
          <w:sz w:val="25"/>
          <w:szCs w:val="25"/>
        </w:rPr>
        <w:t xml:space="preserve">2.2 근입깊이(동결심도) 기준</w:t>
      </w:r>
    </w:p>
    <w:p>
      <w:pPr>
        <w:spacing w:after="100"/>
        <w:ind w:left="200"/>
      </w:pPr>
      <w:r>
        <w:rPr>
          <w:rFonts w:ascii="맑은 고딕" w:cs="맑은 고딕" w:eastAsia="맑은 고딕" w:hAnsi="맑은 고딕"/>
        </w:rPr>
        <w:t xml:space="preserve">■ 옹벽 저판의 설치깊이는 동결심도 이상이어야 하며, 설령 동결심도가 얕은 지반이라 하더라도 지표면 아래로 최소한 1.0m 이상의 깊이에 설치해야 한다(*KDS 4.4.1(4)). 이는 보강토 옹벽의 전면벽체 최소 근입깊이(0.6m, *KDS 11 80 10)보다 큰 값으로, 자립식 옹벽은 저판 전체가 구조체로서 지지력·활동에 직접 관여하기 때문이다.</w:t>
      </w:r>
    </w:p>
    <w:p>
      <w:pPr>
        <w:spacing w:after="100"/>
        <w:ind w:left="200"/>
      </w:pPr>
      <w:r>
        <w:rPr>
          <w:rFonts w:ascii="맑은 고딕" w:cs="맑은 고딕" w:eastAsia="맑은 고딕" w:hAnsi="맑은 고딕"/>
        </w:rPr>
        <w:t xml:space="preserve">■ 다만 KDS는 저판이 소요 근입깊이를 확보하더라도, 다음 이유로 옹벽 전면 흙의 수동토압에 의한 저항을 활동 안정 계산에 그대로 포함하는 것은 안전측이 아니라고 명시한다: ① 수동토압이 발현되려면 상당한 옹벽 변위가 선행되어야 함, ② 우수·유수에 의해 앞굽 주변 흙이 세굴될 수 있음, ③ 앞굽 주변은 되메움 흙이라 초기 강도를 기대하기 어려움(*KDS 4.4.1(4)). 앞굽 위 토피가 유지될 수 있다고 판단하여 수동토압을 고려하는 경우에도, 이때의 활동 안전율은 2.0 이상으로 상향 적용해야 한다(*KDS 4.4.1(5)).</w:t>
      </w:r>
    </w:p>
    <w:p>
      <w:pPr>
        <w:pStyle w:val="Heading2"/>
        <w:spacing w:after="140" w:before="260"/>
      </w:pPr>
      <w:r>
        <w:rPr>
          <w:rFonts w:ascii="맑은 고딕" w:cs="맑은 고딕" w:eastAsia="맑은 고딕" w:hAnsi="맑은 고딕"/>
          <w:b/>
          <w:bCs/>
          <w:color w:val="1F4E79"/>
          <w:sz w:val="25"/>
          <w:szCs w:val="25"/>
        </w:rPr>
        <w:t xml:space="preserve">2.3 활동방지벽(Shear key)</w:t>
      </w:r>
    </w:p>
    <w:p>
      <w:pPr>
        <w:spacing w:after="100"/>
        <w:ind w:left="200"/>
      </w:pPr>
      <w:r>
        <w:rPr>
          <w:rFonts w:ascii="맑은 고딕" w:cs="맑은 고딕" w:eastAsia="맑은 고딕" w:hAnsi="맑은 고딕"/>
        </w:rPr>
        <w:t xml:space="preserve">■ 저판과 흙 사이의 마찰력·부착력만으로 활동 안정이 확보되지 않는 경우, 저판 바닥면에 돌출부(활동방지벽) 또는 말뚝을 설치해 저항력을 증대시킬 수 있다(*KDS 4.4.1(6)). 활동방지벽의 높이는 저판높이의 2/3배 이상, 기초폭의 10%~15%가 바람직하다(*KDS 4.4.2). LH 지침은 반대로 마찰저항력만 보면 활동방지벽을 배면 쪽에 설치할수록 유리하나, 뒷굽판 끝단에 설치하면 그 깊이만큼 토압이 증가하므로 토압이 늘지 않는 범위에서 배면측에 근접 설치하도록 절충안을 제시한다(*LH 7.1.4다).</w:t>
      </w:r>
    </w:p>
    <w:p>
      <w:pPr>
        <w:spacing w:after="100"/>
        <w:ind w:left="200"/>
      </w:pPr>
      <w:r>
        <w:rPr>
          <w:rFonts w:ascii="맑은 고딕" w:cs="맑은 고딕" w:eastAsia="맑은 고딕" w:hAnsi="맑은 고딕"/>
        </w:rPr>
        <w:t xml:space="preserve">■ 시공 단계에서는 활동방지벽을 직각으로 터파기해 여굴을 최소화하고, 저판의 빈배합콘크리트(압축강도 16MPa 이상) 타설 시 활동방지벽 여굴부분까지 동시에 타설한다. 다만 활동방지벽 콘크리트를 먼저 타설한 후 1~2시간 경과 후에 저판콘크리트를 타설해 침하·수축에 의한 전단균열을 방지해야 한다(*KCS 3.3.5).</w:t>
      </w:r>
    </w:p>
    <w:p>
      <w:pPr>
        <w:spacing w:after="100"/>
        <w:ind w:left="200"/>
      </w:pPr>
      <w:r>
        <w:rPr>
          <w:rFonts w:ascii="맑은 고딕" w:cs="맑은 고딕" w:eastAsia="맑은 고딕" w:hAnsi="맑은 고딕"/>
        </w:rPr>
        <w:t xml:space="preserve">■ 활동방지벽은 사질토 지반에서는 유효하나, 점성토 지반에서는 비배수 전단강도에 의해 저항력이 결정되므로 효과가 제한적일 수 있어 세부검토가 필요하다(*KDS 4.6.2(5)).</w:t>
      </w:r>
    </w:p>
    <w:tbl>
      <w:tblPr>
        <w:tblW w:type="dxa" w:w="9350"/>
        <w:tblBorders>
          <w:top w:val="single" w:color="4472C4" w:sz="4"/>
          <w:left w:val="single" w:color="4472C4" w:sz="4"/>
          <w:bottom w:val="single" w:color="4472C4" w:sz="4"/>
          <w:right w:val="single" w:color="4472C4" w:sz="4"/>
          <w:insideH w:val="single" w:color="auto" w:sz="4"/>
          <w:insideV w:val="single" w:color="auto" w:sz="4"/>
        </w:tblBorders>
      </w:tblPr>
      <w:tblGrid>
        <w:gridCol w:w="9350"/>
      </w:tblGrid>
      <w:tr>
        <w:tc>
          <w:tcPr>
            <w:tcW w:type="dxa" w:w="9350"/>
            <w:shd w:fill="EAF1FB" w:val="clear"/>
            <w:tcMar>
              <w:top w:type="dxa" w:w="150"/>
              <w:left w:type="dxa" w:w="200"/>
              <w:bottom w:type="dxa" w:w="150"/>
              <w:right w:type="dxa" w:w="200"/>
            </w:tcMar>
          </w:tcPr>
          <w:p>
            <w:r>
              <w:rPr>
                <w:rFonts w:ascii="맑은 고딕" w:cs="맑은 고딕" w:eastAsia="맑은 고딕" w:hAnsi="맑은 고딕"/>
                <w:b/>
                <w:bCs/>
              </w:rPr>
              <w:t xml:space="preserve">◎ 요약 결론</w:t>
            </w:r>
            <w:r>
              <w:rPr>
                <w:rFonts w:ascii="맑은 고딕" w:cs="맑은 고딕" w:eastAsia="맑은 고딕" w:hAnsi="맑은 고딕"/>
              </w:rPr>
              <w:t xml:space="preserve">   자립식 옹벽의 저판은 동결심도 이상이면서 최소 1.0m 이상 근입되어야 하며, 수동토압을 활동저항에 반영하려면 안전율을 2.0 이상으로 올려야 한다. 활동 안정이 부족하면 저판 하부 활동방지벽(높이 저판높이의 2/3 이상, 폭의 10~15%)을 검토하되, 배면측에 근접 설치해 토압 증가를 최소화하고 점성토 지반에서는 효과를 별도 검증해야 한다.</w:t>
            </w:r>
          </w:p>
        </w:tc>
      </w:tr>
    </w:tbl>
    <w:p>
      <w:pPr>
        <w:pStyle w:val="Heading1"/>
        <w:spacing w:after="200" w:before="400"/>
      </w:pPr>
      <w:r>
        <w:rPr>
          <w:rFonts w:ascii="맑은 고딕" w:cs="맑은 고딕" w:eastAsia="맑은 고딕" w:hAnsi="맑은 고딕"/>
          <w:b/>
          <w:bCs/>
          <w:sz w:val="30"/>
          <w:szCs w:val="30"/>
        </w:rPr>
        <w:t xml:space="preserve">3. 안정성 검토 4대 조건과 안전율 – 얼마나 안전해야 통과인가?</w:t>
      </w:r>
    </w:p>
    <w:p>
      <w:pPr>
        <w:pStyle w:val="Heading2"/>
        <w:spacing w:after="140" w:before="260"/>
      </w:pPr>
      <w:r>
        <w:rPr>
          <w:rFonts w:ascii="맑은 고딕" w:cs="맑은 고딕" w:eastAsia="맑은 고딕" w:hAnsi="맑은 고딕"/>
          <w:b/>
          <w:bCs/>
          <w:color w:val="1F4E79"/>
          <w:sz w:val="25"/>
          <w:szCs w:val="25"/>
        </w:rPr>
        <w:t xml:space="preserve">3.1 4대(5대) 검토항목</w:t>
      </w:r>
    </w:p>
    <w:p>
      <w:pPr>
        <w:spacing w:after="100"/>
        <w:ind w:left="200"/>
      </w:pPr>
      <w:r>
        <w:rPr>
          <w:rFonts w:ascii="맑은 고딕" w:cs="맑은 고딕" w:eastAsia="맑은 고딕" w:hAnsi="맑은 고딕"/>
        </w:rPr>
        <w:t xml:space="preserve">■ KDS 11 80 05는 콘크리트옹벽의 안정해석 시 다음 항목을 검토하도록 규정한다: ① 활동파괴(sliding) ② 전도파괴(overturning) ③ 지지력 파괴(bearing capacity) ④ 전체안정성(overall stability) ⑤ 기초지반의 침하(settlement)(*KDS 4.1.1). LH 지침도 활동·전도·지지력에 대한 안정조건을 만족하도록 요구하여 동일한 골격을 공유한다(*LH 7.1.1나).</w:t>
      </w:r>
    </w:p>
    <w:p>
      <w:pPr>
        <w:pStyle w:val="Heading2"/>
        <w:spacing w:after="140" w:before="260"/>
      </w:pPr>
      <w:r>
        <w:rPr>
          <w:rFonts w:ascii="맑은 고딕" w:cs="맑은 고딕" w:eastAsia="맑은 고딕" w:hAnsi="맑은 고딕"/>
          <w:b/>
          <w:bCs/>
          <w:color w:val="1F4E79"/>
          <w:sz w:val="25"/>
          <w:szCs w:val="25"/>
        </w:rPr>
        <w:t xml:space="preserve">3.2 안전율 기준(KDS vs LH 비교)</w:t>
      </w:r>
    </w:p>
    <w:p>
      <w:pPr>
        <w:spacing w:after="100"/>
        <w:ind w:left="200"/>
      </w:pPr>
      <w:r>
        <w:rPr>
          <w:rFonts w:ascii="맑은 고딕" w:cs="맑은 고딕" w:eastAsia="맑은 고딕" w:hAnsi="맑은 고딕"/>
        </w:rPr>
        <w:t xml:space="preserve">■ 두 기준의 안전율은 세부 항목에서 다소 차이가 있어 적용 시 어느 기준을 따를지 명확히 할 필요가 있다.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3150"/>
      </w:tblGrid>
      <w:tr>
        <w:trPr>
          <w:tblHeader/>
        </w:trPr>
        <w:tc>
          <w:tcPr>
            <w:tcW w:type="dxa" w:w="2500"/>
            <w:shd w:fill="2E5395"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검토항목</w:t>
            </w:r>
          </w:p>
        </w:tc>
        <w:tc>
          <w:tcPr>
            <w:tcW w:type="dxa" w:w="3700"/>
            <w:shd w:fill="2E5395"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KDS 11 80 05
(평상시/지진시)</w:t>
            </w:r>
          </w:p>
        </w:tc>
        <w:tc>
          <w:tcPr>
            <w:tcW w:type="dxa" w:w="3150"/>
            <w:shd w:fill="2E5395"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LH 설계지침
(평상시/지진시)</w:t>
            </w:r>
          </w:p>
        </w:tc>
      </w:tr>
      <w:tr>
        <w:tc>
          <w:tcPr>
            <w:tcW w:type="dxa" w:w="250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활동</w:t>
            </w:r>
          </w:p>
        </w:tc>
        <w:tc>
          <w:tcPr>
            <w:tcW w:type="dxa" w:w="370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1.5 / 1.2
(수동토압 고려 시 2.0)</w:t>
            </w:r>
          </w:p>
        </w:tc>
        <w:tc>
          <w:tcPr>
            <w:tcW w:type="dxa" w:w="315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1.5 / 1.2</w:t>
            </w:r>
          </w:p>
        </w:tc>
      </w:tr>
      <w:tr>
        <w:tc>
          <w:tcPr>
            <w:tcW w:type="dxa" w:w="250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전도</w:t>
            </w:r>
          </w:p>
        </w:tc>
        <w:tc>
          <w:tcPr>
            <w:tcW w:type="dxa" w:w="370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2.0 / 1.5</w:t>
            </w:r>
          </w:p>
        </w:tc>
        <w:tc>
          <w:tcPr>
            <w:tcW w:type="dxa" w:w="315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2.0 / 1.5</w:t>
            </w:r>
          </w:p>
        </w:tc>
      </w:tr>
      <w:tr>
        <w:tc>
          <w:tcPr>
            <w:tcW w:type="dxa" w:w="250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지지력</w:t>
            </w:r>
          </w:p>
        </w:tc>
        <w:tc>
          <w:tcPr>
            <w:tcW w:type="dxa" w:w="370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3.0 / 2.0</w:t>
            </w:r>
          </w:p>
        </w:tc>
        <w:tc>
          <w:tcPr>
            <w:tcW w:type="dxa" w:w="315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3.0 / 2.0</w:t>
            </w:r>
          </w:p>
        </w:tc>
      </w:tr>
      <w:tr>
        <w:tc>
          <w:tcPr>
            <w:tcW w:type="dxa" w:w="250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전체안정성</w:t>
            </w:r>
          </w:p>
        </w:tc>
        <w:tc>
          <w:tcPr>
            <w:tcW w:type="dxa" w:w="370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1.5 / 1.1</w:t>
            </w:r>
          </w:p>
        </w:tc>
        <w:tc>
          <w:tcPr>
            <w:tcW w:type="dxa" w:w="315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1.2~1.5 / 1.1</w:t>
            </w:r>
          </w:p>
        </w:tc>
      </w:tr>
    </w:tbl>
    <w:p>
      <w:pPr>
        <w:spacing w:after="100"/>
        <w:ind w:left="200"/>
      </w:pPr>
      <w:r>
        <w:rPr>
          <w:rFonts w:ascii="맑은 고딕" w:cs="맑은 고딕" w:eastAsia="맑은 고딕" w:hAnsi="맑은 고딕"/>
        </w:rPr>
        <w:t xml:space="preserve">■ 전도 안정성은 별도 계산 없이도, 하중저항계수설계법에서 다음 조건을 만족하면 안정한 것으로 간주할 수 있다: 기초지반이 흙인 경우 힘의 합력이 기초중심에서 1/4B 이내, 암인 경우 3/8B 이내(*KDS 4.4.3(3)).</w:t>
      </w:r>
    </w:p>
    <w:p>
      <w:pPr>
        <w:pStyle w:val="Heading2"/>
        <w:spacing w:after="140" w:before="260"/>
      </w:pPr>
      <w:r>
        <w:rPr>
          <w:rFonts w:ascii="맑은 고딕" w:cs="맑은 고딕" w:eastAsia="맑은 고딕" w:hAnsi="맑은 고딕"/>
          <w:b/>
          <w:bCs/>
          <w:color w:val="1F4E79"/>
          <w:sz w:val="25"/>
          <w:szCs w:val="25"/>
        </w:rPr>
        <w:t xml:space="preserve">3.3 지진 시 안정해석</w:t>
      </w:r>
    </w:p>
    <w:p>
      <w:pPr>
        <w:spacing w:after="100"/>
        <w:ind w:left="200"/>
      </w:pPr>
      <w:r>
        <w:rPr>
          <w:rFonts w:ascii="맑은 고딕" w:cs="맑은 고딕" w:eastAsia="맑은 고딕" w:hAnsi="맑은 고딕"/>
        </w:rPr>
        <w:t xml:space="preserve">■ 콘크리트옹벽의 내진설계는 모든 옹벽에 일률 적용되는 것이 아니라 조건부다. ① 시설물의 안전관리에 관한 특별법 시행령상 2종 시설물로 분류되는 규모인 경우, ② 옹벽 상·하부 피해범위 내에 내진설계를 요하는 주구조물·1·2종 시설물이 있는 경우, ③ 발주자가 요구하거나 설계자가 필요하다고 판단하는 경우에 수행한다(*KDS 4.3.5). 지진 시 검토항목은 기초지반 액상화·활동·전도·지지력·전체안정성이며, 액상화 검토는 KDS 11 90 00(비탈면 내진설계기준)을 참조한다(*KDS 4.5).</w:t>
      </w:r>
    </w:p>
    <w:p>
      <w:pPr>
        <w:spacing w:after="100"/>
        <w:ind w:left="200"/>
      </w:pPr>
      <w:r>
        <w:rPr>
          <w:rFonts w:ascii="맑은 고딕" w:cs="맑은 고딕" w:eastAsia="맑은 고딕" w:hAnsi="맑은 고딕"/>
        </w:rPr>
        <w:t xml:space="preserve">■ 전체안정성이 문제되는 연약지반(안전율 1.5 이하)에서는 ① 활동방지벽 깊이 증가, ② 연약층 치환(치환재는 뒤채움재 이상 품질, 지하수가 있으면 쇄석 등 사용), ③ 치환이 곤란하면 기초 슬래브 저면을 지지층까지 내림, ④ 국부 불량구간은 굴착 후 콘크리트로 치환(최소 0.5m 받침대), ⑤ 말뚝기초 검토, ⑥ 그래도 안전율 미확보 시 전체계획 변경까지 단계적으로 대응하도록 규정한다(*KDS 4.4.5(2)).</w:t>
      </w:r>
    </w:p>
    <w:tbl>
      <w:tblPr>
        <w:tblW w:type="dxa" w:w="9350"/>
        <w:tblBorders>
          <w:top w:val="single" w:color="4472C4" w:sz="4"/>
          <w:left w:val="single" w:color="4472C4" w:sz="4"/>
          <w:bottom w:val="single" w:color="4472C4" w:sz="4"/>
          <w:right w:val="single" w:color="4472C4" w:sz="4"/>
          <w:insideH w:val="single" w:color="auto" w:sz="4"/>
          <w:insideV w:val="single" w:color="auto" w:sz="4"/>
        </w:tblBorders>
      </w:tblPr>
      <w:tblGrid>
        <w:gridCol w:w="9350"/>
      </w:tblGrid>
      <w:tr>
        <w:tc>
          <w:tcPr>
            <w:tcW w:type="dxa" w:w="9350"/>
            <w:shd w:fill="EAF1FB" w:val="clear"/>
            <w:tcMar>
              <w:top w:type="dxa" w:w="150"/>
              <w:left w:type="dxa" w:w="200"/>
              <w:bottom w:type="dxa" w:w="150"/>
              <w:right w:type="dxa" w:w="200"/>
            </w:tcMar>
          </w:tcPr>
          <w:p>
            <w:r>
              <w:rPr>
                <w:rFonts w:ascii="맑은 고딕" w:cs="맑은 고딕" w:eastAsia="맑은 고딕" w:hAnsi="맑은 고딕"/>
                <w:b/>
                <w:bCs/>
              </w:rPr>
              <w:t xml:space="preserve">◎ 요약 결론</w:t>
            </w:r>
            <w:r>
              <w:rPr>
                <w:rFonts w:ascii="맑은 고딕" w:cs="맑은 고딕" w:eastAsia="맑은 고딕" w:hAnsi="맑은 고딕"/>
              </w:rPr>
              <w:t xml:space="preserve">   자립식 옹벽은 활동·전도·지지력·전체안정성·침하 5개 항목을 모두 검토해야 하며, 안전율은 KDS·LH가 대체로 일치하되(활동 1.5/전도 2.0/지지력 3.0) 전체안정성 기준(KDS 1.5, LH 1.2~1.5)에서만 미세한 차이가 있어 발주처 지침을 우선 확인해야 한다. 내진설계는 모든 옹벽에 일괄 요구되지 않고 시설물 등급·주변 구조물 조건에 따라 조건부로 수행한다.</w:t>
            </w:r>
          </w:p>
        </w:tc>
      </w:tr>
    </w:tbl>
    <w:p>
      <w:pPr>
        <w:pStyle w:val="Heading1"/>
        <w:spacing w:after="200" w:before="400"/>
      </w:pPr>
      <w:r>
        <w:rPr>
          <w:rFonts w:ascii="맑은 고딕" w:cs="맑은 고딕" w:eastAsia="맑은 고딕" w:hAnsi="맑은 고딕"/>
          <w:b/>
          <w:bCs/>
          <w:sz w:val="30"/>
          <w:szCs w:val="30"/>
        </w:rPr>
        <w:t xml:space="preserve">4. 신축이음과 수축이음 – 간격 기준은 왜 자료마다 다른가?</w:t>
      </w:r>
    </w:p>
    <w:p>
      <w:pPr>
        <w:spacing w:after="120"/>
      </w:pPr>
      <w:r>
        <w:rPr>
          <w:rFonts w:ascii="맑은 고딕" w:cs="맑은 고딕" w:eastAsia="맑은 고딕" w:hAnsi="맑은 고딕"/>
        </w:rPr>
        <w:t xml:space="preserve">콘크리트옹벽은 긴 연장에 걸쳐 타설되는 구조물이므로, 건조수축·온도변화·부등침하에 대응하는 신축이음·수축이음이 보강토 옹벽에는 없는 자립식 옹벽 고유의 검토 항목이 된다. 다만 신축이음 간격은 세 기준이 서로 다른 수치를 제시하고 있어, 실무에서 가장 혼동하기 쉬운 지점이다.</w:t>
      </w:r>
    </w:p>
    <w:p>
      <w:pPr>
        <w:pStyle w:val="Heading2"/>
        <w:spacing w:after="140" w:before="260"/>
      </w:pPr>
      <w:r>
        <w:rPr>
          <w:rFonts w:ascii="맑은 고딕" w:cs="맑은 고딕" w:eastAsia="맑은 고딕" w:hAnsi="맑은 고딕"/>
          <w:b/>
          <w:bCs/>
          <w:color w:val="1F4E79"/>
          <w:sz w:val="25"/>
          <w:szCs w:val="25"/>
        </w:rPr>
        <w:t xml:space="preserve">4.1 신축이음 간격 (KDS·KCS·LH 교차비교)</w:t>
      </w:r>
    </w:p>
    <w:p>
      <w:pPr>
        <w:spacing w:after="100"/>
        <w:ind w:left="200"/>
      </w:pPr>
      <w:r>
        <w:rPr>
          <w:rFonts w:ascii="맑은 고딕" w:cs="맑은 고딕" w:eastAsia="맑은 고딕" w:hAnsi="맑은 고딕"/>
        </w:rPr>
        <w:t xml:space="preserve">■ 세 자료의 신축이음 간격 기준을 나란히 놓으면 다음과 같다.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3050"/>
      </w:tblGrid>
      <w:tr>
        <w:trPr>
          <w:tblHeader/>
        </w:trPr>
        <w:tc>
          <w:tcPr>
            <w:tcW w:type="dxa" w:w="3300"/>
            <w:shd w:fill="2E5395"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출처</w:t>
            </w:r>
          </w:p>
        </w:tc>
        <w:tc>
          <w:tcPr>
            <w:tcW w:type="dxa" w:w="3000"/>
            <w:shd w:fill="2E5395"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중력식·반중력식</w:t>
            </w:r>
          </w:p>
        </w:tc>
        <w:tc>
          <w:tcPr>
            <w:tcW w:type="dxa" w:w="3050"/>
            <w:shd w:fill="2E5395"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캔틸레버식(역T형·L형)·부벽식</w:t>
            </w:r>
          </w:p>
        </w:tc>
      </w:tr>
      <w:tr>
        <w:tc>
          <w:tcPr>
            <w:tcW w:type="dxa" w:w="330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KDS 11 80 05 (4.6.2(3)④)</w:t>
            </w:r>
          </w:p>
        </w:tc>
        <w:tc>
          <w:tcPr>
            <w:tcW w:type="dxa" w:w="300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10m 이하</w:t>
            </w:r>
          </w:p>
        </w:tc>
        <w:tc>
          <w:tcPr>
            <w:tcW w:type="dxa" w:w="305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15m~20m 이하</w:t>
            </w:r>
          </w:p>
        </w:tc>
      </w:tr>
      <w:tr>
        <w:tc>
          <w:tcPr>
            <w:tcW w:type="dxa" w:w="330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KCS 11 80 05 (3.3.7(1))</w:t>
            </w:r>
          </w:p>
        </w:tc>
        <w:tc>
          <w:tcPr>
            <w:tcW w:type="dxa" w:w="300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10m 이하</w:t>
            </w:r>
          </w:p>
        </w:tc>
        <w:tc>
          <w:tcPr>
            <w:tcW w:type="dxa" w:w="305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20m~30m 이하</w:t>
            </w:r>
          </w:p>
        </w:tc>
      </w:tr>
      <w:tr>
        <w:tc>
          <w:tcPr>
            <w:tcW w:type="dxa" w:w="330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LH 설계지침 (7.1.7가)</w:t>
            </w:r>
          </w:p>
        </w:tc>
        <w:tc>
          <w:tcPr>
            <w:tcW w:type="dxa" w:w="300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10m/1개소</w:t>
            </w:r>
          </w:p>
        </w:tc>
        <w:tc>
          <w:tcPr>
            <w:tcW w:type="dxa" w:w="305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20m/1개소(역T형·L형)</w:t>
            </w:r>
          </w:p>
        </w:tc>
      </w:tr>
    </w:tbl>
    <w:p>
      <w:pPr>
        <w:spacing w:after="100"/>
        <w:ind w:left="200"/>
      </w:pPr>
      <w:r>
        <w:rPr>
          <w:rFonts w:ascii="맑은 고딕" w:cs="맑은 고딕" w:eastAsia="맑은 고딕" w:hAnsi="맑은 고딕"/>
        </w:rPr>
        <w:t xml:space="preserve">■ 세 기준 모두 중력식·반중력식은 10m로 일치하지만, 캔틸레버식·부벽식 구간은 15~20m(KDS), 20~30m(KCS), 20m(LH)로 폭이 있다. KDS는 이를 임의 선택의 문제가 아니라 "건조수축, 크리프, 온도영향을 고려한 상세해석을 통하여 신축이음 간격을 결정할 수 있다"고 하여, 표준값은 상한이 아니라 상세해석으로 조정 가능한 참고값임을 명시한다(*LH 7.1.7가 주). 따라서 실무에서는 발주처 지침(LH 등)이 있으면 그 값을 우선 적용하고, 없으면 KDS·KCS 범위 내에서 구조계산으로 확정하는 것이 합리적이다.</w:t>
      </w:r>
    </w:p>
    <w:p>
      <w:pPr>
        <w:spacing w:after="100"/>
        <w:ind w:left="200"/>
      </w:pPr>
      <w:r>
        <w:rPr>
          <w:rFonts w:ascii="맑은 고딕" w:cs="맑은 고딕" w:eastAsia="맑은 고딕" w:hAnsi="맑은 고딕"/>
        </w:rPr>
        <w:t xml:space="preserve">■ 신축이음은 기초바닥까지 철근을 완전히 절단해야 하며, 절곡되는 부분(우각부)에는 신축이음을 두어서는 안 된다(*KCS 3.3.7(1)(8)). 부벽식 옹벽에서 신축이음을 두는 부벽 간격은 다른 부벽 간격의 0.8배로 하고, 이음은 그 중앙에 둔다(*KCS 3.3.7(2)). 신축이음부 양측의 일체성은 강철봉으로 보강하되, 강철봉 표면에 윤활유를 발라 콘크리트와의 부착(이는 신축이음의 효과를 상실시킨다)을 방지해야 한다(*KDS 4.6.2(3)④다).</w:t>
      </w:r>
    </w:p>
    <w:p>
      <w:pPr>
        <w:pStyle w:val="Heading2"/>
        <w:spacing w:after="140" w:before="260"/>
      </w:pPr>
      <w:r>
        <w:rPr>
          <w:rFonts w:ascii="맑은 고딕" w:cs="맑은 고딕" w:eastAsia="맑은 고딕" w:hAnsi="맑은 고딕"/>
          <w:b/>
          <w:bCs/>
          <w:color w:val="1F4E79"/>
          <w:sz w:val="25"/>
          <w:szCs w:val="25"/>
        </w:rPr>
        <w:t xml:space="preserve">4.2 수축이음 간격</w:t>
      </w:r>
    </w:p>
    <w:p>
      <w:pPr>
        <w:spacing w:after="100"/>
        <w:ind w:left="200"/>
      </w:pPr>
      <w:r>
        <w:rPr>
          <w:rFonts w:ascii="맑은 고딕" w:cs="맑은 고딕" w:eastAsia="맑은 고딕" w:hAnsi="맑은 고딕"/>
        </w:rPr>
        <w:t xml:space="preserve">■ 수축이음은 신축이음과 달리 철근을 끊지 않는다는 점이 핵심이다. KDS는 폭 6~8mm, 깊이 12~16mm의 홈을 9m 이하 간격으로 설치하여 기초 슬래브 상부에서 벽체 상단까지 연속시키되 철근은 끊지 않도록 하며(*KDS 4.6.2(3)③), KCS도 동일하게 9m 이하 간격, 깊이 0.3m 정도의 V형·U형 홈으로 규정한다(*KCS 3.3.7(5)). LH는 간격을 5m/1개소로 더 촘촘하게 제시하며, 홈 깊이는 역T형·L형 35mm 이상, 중력식·반중력식은 부재두께의 10% 이상으로 규정한다(*LH 7.1.8). 부벽식 옹벽은 수평철근량이 이미 많으므로 수축이음을 생략할 수 있다(*KDS 4.6.2(3)③나).</w:t>
      </w:r>
    </w:p>
    <w:p>
      <w:pPr>
        <w:pStyle w:val="Heading2"/>
        <w:spacing w:after="140" w:before="260"/>
      </w:pPr>
      <w:r>
        <w:rPr>
          <w:rFonts w:ascii="맑은 고딕" w:cs="맑은 고딕" w:eastAsia="맑은 고딕" w:hAnsi="맑은 고딕"/>
          <w:b/>
          <w:bCs/>
          <w:color w:val="1F4E79"/>
          <w:sz w:val="25"/>
          <w:szCs w:val="25"/>
        </w:rPr>
        <w:t xml:space="preserve">4.3 이음부 상세 및 시공이음</w:t>
      </w:r>
    </w:p>
    <w:p>
      <w:pPr>
        <w:spacing w:after="100"/>
        <w:ind w:left="200"/>
      </w:pPr>
      <w:r>
        <w:rPr>
          <w:rFonts w:ascii="맑은 고딕" w:cs="맑은 고딕" w:eastAsia="맑은 고딕" w:hAnsi="맑은 고딕"/>
        </w:rPr>
        <w:t xml:space="preserve">■ 시공이음(construction joint)은 전단력이 적은 위치, 부재 압축력 방향과 직각인 위치에 설치하는 것이 원칙이며, 단면 두께가 급변하는 위치·철근 절곡 위치·수밀이 요구되는 부위는 가급적 피하거나 별도 대책(홈, 강재 보강, 지수판)을 세워야 한다(*KCS 3.3.8). 중력식 옹벽의 시공이음은 계산상 불필요하더라도 전면벽체에 배근된 만큼 가외철근을 배근해야 한다(*KDS 4.6.2(3)②가).</w:t>
      </w:r>
    </w:p>
    <w:p>
      <w:pPr>
        <w:spacing w:after="100"/>
        <w:ind w:left="200"/>
      </w:pPr>
      <w:r>
        <w:rPr>
          <w:rFonts w:ascii="맑은 고딕" w:cs="맑은 고딕" w:eastAsia="맑은 고딕" w:hAnsi="맑은 고딕"/>
        </w:rPr>
        <w:t xml:space="preserve">■ 수밀을 요하는 이음(신축이음 포함)에는 지수판을 이음재와 직각방향으로 양쪽 콘크리트에 완전히 매입되도록 설치한다(*KCS 3.3.7(6)).</w:t>
      </w:r>
    </w:p>
    <w:tbl>
      <w:tblPr>
        <w:tblW w:type="dxa" w:w="9350"/>
        <w:tblBorders>
          <w:top w:val="single" w:color="4472C4" w:sz="4"/>
          <w:left w:val="single" w:color="4472C4" w:sz="4"/>
          <w:bottom w:val="single" w:color="4472C4" w:sz="4"/>
          <w:right w:val="single" w:color="4472C4" w:sz="4"/>
          <w:insideH w:val="single" w:color="auto" w:sz="4"/>
          <w:insideV w:val="single" w:color="auto" w:sz="4"/>
        </w:tblBorders>
      </w:tblPr>
      <w:tblGrid>
        <w:gridCol w:w="9350"/>
      </w:tblGrid>
      <w:tr>
        <w:tc>
          <w:tcPr>
            <w:tcW w:type="dxa" w:w="9350"/>
            <w:shd w:fill="EAF1FB" w:val="clear"/>
            <w:tcMar>
              <w:top w:type="dxa" w:w="150"/>
              <w:left w:type="dxa" w:w="200"/>
              <w:bottom w:type="dxa" w:w="150"/>
              <w:right w:type="dxa" w:w="200"/>
            </w:tcMar>
          </w:tcPr>
          <w:p>
            <w:r>
              <w:rPr>
                <w:rFonts w:ascii="맑은 고딕" w:cs="맑은 고딕" w:eastAsia="맑은 고딕" w:hAnsi="맑은 고딕"/>
                <w:b/>
                <w:bCs/>
              </w:rPr>
              <w:t xml:space="preserve">◎ 요약 결론</w:t>
            </w:r>
            <w:r>
              <w:rPr>
                <w:rFonts w:ascii="맑은 고딕" w:cs="맑은 고딕" w:eastAsia="맑은 고딕" w:hAnsi="맑은 고딕"/>
              </w:rPr>
              <w:t xml:space="preserve">   신축이음 간격은 중력식·반중력식 10m로는 세 기준이 일치하지만, 캔틸레버식·부벽식은 15~30m로 자료마다 편차가 있으므로 발주처 지침을 우선 적용하고 없으면 구조계산으로 확정해야 한다. 수축이음은 철근을 끊지 않는 얕은 홈으로 5~9m 간격(신축이음보다 촘촘)에 두는 별개의 이음으로, 신축이음(철근 절단, 완전 분리)과 혼동해서는 안 된다.</w:t>
            </w:r>
          </w:p>
        </w:tc>
      </w:tr>
    </w:tbl>
    <w:p>
      <w:pPr>
        <w:pStyle w:val="Heading1"/>
        <w:spacing w:after="200" w:before="400"/>
      </w:pPr>
      <w:r>
        <w:rPr>
          <w:rFonts w:ascii="맑은 고딕" w:cs="맑은 고딕" w:eastAsia="맑은 고딕" w:hAnsi="맑은 고딕"/>
          <w:b/>
          <w:bCs/>
          <w:sz w:val="30"/>
          <w:szCs w:val="30"/>
        </w:rPr>
        <w:t xml:space="preserve">5. 배수시설 – 배수공 규격과 배치간격</w:t>
      </w:r>
    </w:p>
    <w:p>
      <w:pPr>
        <w:pStyle w:val="Heading2"/>
        <w:spacing w:after="140" w:before="260"/>
      </w:pPr>
      <w:r>
        <w:rPr>
          <w:rFonts w:ascii="맑은 고딕" w:cs="맑은 고딕" w:eastAsia="맑은 고딕" w:hAnsi="맑은 고딕"/>
          <w:b/>
          <w:bCs/>
          <w:color w:val="1F4E79"/>
          <w:sz w:val="25"/>
          <w:szCs w:val="25"/>
        </w:rPr>
        <w:t xml:space="preserve">5.1 배수공 규격·간격</w:t>
      </w:r>
    </w:p>
    <w:p>
      <w:pPr>
        <w:spacing w:after="100"/>
        <w:ind w:left="200"/>
      </w:pPr>
      <w:r>
        <w:rPr>
          <w:rFonts w:ascii="맑은 고딕" w:cs="맑은 고딕" w:eastAsia="맑은 고딕" w:hAnsi="맑은 고딕"/>
        </w:rPr>
        <w:t xml:space="preserve">■ 배수공은 옹벽배면에 모인 물을 벽체 전면으로 배수하기 위한 것으로, KDS는 배면 배수공 면적을 합하여 2m²~4m²당 1개소, 내경 60mm~100mm의 경질염화비닐관 등을 수평 또는 완만한 기울기로 설치하도록 규정한다. 부벽식 옹벽에는 각 판넬마다 반드시 설치해야 한다(*KDS 4.6.3(3)). KCS는 관경을 65mm~100mm로 제시하며(*KCS 2.1.10), LH는 배수구멍(Φ100mm)을 4.5㎡당 1개 이상, 국토교통부 구조물표준도 기준 직경 100mm로 명시한다(*LH 7.2.1). 세 기준 모두 "100mm 관, 수 ㎡당 1개소"라는 골격은 일치하며 세부 간격·하한 관경에서만 표현이 다르다.</w:t>
      </w:r>
    </w:p>
    <w:p>
      <w:pPr>
        <w:spacing w:after="100"/>
        <w:ind w:left="200"/>
      </w:pPr>
      <w:r>
        <w:rPr>
          <w:rFonts w:ascii="맑은 고딕" w:cs="맑은 고딕" w:eastAsia="맑은 고딕" w:hAnsi="맑은 고딕"/>
        </w:rPr>
        <w:t xml:space="preserve">■ 배수구멍은 콘크리트 타설 중 시멘트 페이스트·모르타르가 침입해 막히는 경우가 많으므로, 거푸집 탈형 후 강봉과 해머로 경화된 모르타르를 반드시 파쇄·제거해야 한다(*KCS 3.3.9(1)③). 최하단 배수구멍은 침투수가 정체되지 않도록 최대한 하단부에 위치시킨다(*LH 7.2.1가).</w:t>
      </w:r>
    </w:p>
    <w:p>
      <w:pPr>
        <w:pStyle w:val="Heading2"/>
        <w:spacing w:after="140" w:before="260"/>
      </w:pPr>
      <w:r>
        <w:rPr>
          <w:rFonts w:ascii="맑은 고딕" w:cs="맑은 고딕" w:eastAsia="맑은 고딕" w:hAnsi="맑은 고딕"/>
          <w:b/>
          <w:bCs/>
          <w:color w:val="1F4E79"/>
          <w:sz w:val="25"/>
          <w:szCs w:val="25"/>
        </w:rPr>
        <w:t xml:space="preserve">5.2 배면 배수 방식 6종</w:t>
      </w:r>
    </w:p>
    <w:p>
      <w:pPr>
        <w:spacing w:after="100"/>
        <w:ind w:left="200"/>
      </w:pPr>
      <w:r>
        <w:rPr>
          <w:rFonts w:ascii="맑은 고딕" w:cs="맑은 고딕" w:eastAsia="맑은 고딕" w:hAnsi="맑은 고딕"/>
        </w:rPr>
        <w:t xml:space="preserve">■ KCS는 배면 지반·지하수 조건에 따라 6가지 배수방식을 구분하여 제시한다.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2E5395"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배수방식</w:t>
            </w:r>
          </w:p>
        </w:tc>
        <w:tc>
          <w:tcPr>
            <w:tcW w:type="dxa" w:w="6950"/>
            <w:shd w:fill="2E5395"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적용 조건</w:t>
            </w:r>
          </w:p>
        </w:tc>
      </w:tr>
      <w:tr>
        <w:tc>
          <w:tcPr>
            <w:tcW w:type="dxa" w:w="240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연직배수</w:t>
            </w:r>
          </w:p>
        </w:tc>
        <w:tc>
          <w:tcPr>
            <w:tcW w:type="dxa" w:w="695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가장 일반적, 하단에 충분한 배수 확보(경사 2% 정도)</w:t>
            </w:r>
          </w:p>
        </w:tc>
      </w:tr>
      <w:tr>
        <w:tc>
          <w:tcPr>
            <w:tcW w:type="dxa" w:w="240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구형배수</w:t>
            </w:r>
          </w:p>
        </w:tc>
        <w:tc>
          <w:tcPr>
            <w:tcW w:type="dxa" w:w="695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배면 지하수위가 비교적 높은 경우, 수평층·연직층 교점에 설치</w:t>
            </w:r>
          </w:p>
        </w:tc>
      </w:tr>
      <w:tr>
        <w:tc>
          <w:tcPr>
            <w:tcW w:type="dxa" w:w="240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경사배수</w:t>
            </w:r>
          </w:p>
        </w:tc>
        <w:tc>
          <w:tcPr>
            <w:tcW w:type="dxa" w:w="695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배면 쌓기가 높고 뒤채움이 투수성 나쁜 점성토인 경우</w:t>
            </w:r>
          </w:p>
        </w:tc>
      </w:tr>
      <w:tr>
        <w:tc>
          <w:tcPr>
            <w:tcW w:type="dxa" w:w="240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면배수</w:t>
            </w:r>
          </w:p>
        </w:tc>
        <w:tc>
          <w:tcPr>
            <w:tcW w:type="dxa" w:w="695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뒤채움이 압밀에 장기간 소요되는 점성토인 경우</w:t>
            </w:r>
          </w:p>
        </w:tc>
      </w:tr>
      <w:tr>
        <w:tc>
          <w:tcPr>
            <w:tcW w:type="dxa" w:w="240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격리배수</w:t>
            </w:r>
          </w:p>
        </w:tc>
        <w:tc>
          <w:tcPr>
            <w:tcW w:type="dxa" w:w="695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매우 단단한 점토를 뒤채움으로 사용한 경우</w:t>
            </w:r>
          </w:p>
        </w:tc>
      </w:tr>
      <w:tr>
        <w:tc>
          <w:tcPr>
            <w:tcW w:type="dxa" w:w="240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빙층형성 방지배수</w:t>
            </w:r>
          </w:p>
        </w:tc>
        <w:tc>
          <w:tcPr>
            <w:tcW w:type="dxa" w:w="695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한랭지에서 지하수위가 높거나 모관수 상승이 우려되는 경우</w:t>
            </w:r>
          </w:p>
        </w:tc>
      </w:tr>
    </w:tbl>
    <w:p>
      <w:pPr>
        <w:spacing w:after="100"/>
        <w:ind w:left="200"/>
      </w:pPr>
      <w:r>
        <w:rPr>
          <w:rFonts w:ascii="맑은 고딕" w:cs="맑은 고딕" w:eastAsia="맑은 고딕" w:hAnsi="맑은 고딕"/>
        </w:rPr>
        <w:t xml:space="preserve">■ 이는 "배수공만 있으면 배수는 끝"이라는 통념과 달리, 뒤채움재의 토질·지하수 조건에 따라 별도의 배수층 구성(연직/구형/경사/면/격리/동상방지)이 선택되어야 함을 보여준다(*KCS 3.3.9(2)).</w:t>
      </w:r>
    </w:p>
    <w:p>
      <w:pPr>
        <w:pStyle w:val="Heading2"/>
        <w:spacing w:after="140" w:before="260"/>
      </w:pPr>
      <w:r>
        <w:rPr>
          <w:rFonts w:ascii="맑은 고딕" w:cs="맑은 고딕" w:eastAsia="맑은 고딕" w:hAnsi="맑은 고딕"/>
          <w:b/>
          <w:bCs/>
          <w:color w:val="1F4E79"/>
          <w:sz w:val="25"/>
          <w:szCs w:val="25"/>
        </w:rPr>
        <w:t xml:space="preserve">5.3 전면배수</w:t>
      </w:r>
    </w:p>
    <w:p>
      <w:pPr>
        <w:spacing w:after="100"/>
        <w:ind w:left="200"/>
      </w:pPr>
      <w:r>
        <w:rPr>
          <w:rFonts w:ascii="맑은 고딕" w:cs="맑은 고딕" w:eastAsia="맑은 고딕" w:hAnsi="맑은 고딕"/>
        </w:rPr>
        <w:t xml:space="preserve">■ 옹벽이 낮고 배면 지하수가 적으면 배수공으로 유출되는 물을 방치해도 무방하지만, 옹벽이 높고 지하수가 많으면 배수된 물이 앞굽을 따라 전면으로 침투할 우려가 있어 전면배수로(U형 배수구 등)를 별도로 설치해야 한다(*KCS 3.3.9(3)).</w:t>
      </w:r>
    </w:p>
    <w:p>
      <w:pPr>
        <w:spacing w:after="100"/>
        <w:ind w:left="200"/>
      </w:pPr>
      <w:r>
        <w:rPr>
          <w:rFonts w:ascii="맑은 고딕" w:cs="맑은 고딕" w:eastAsia="맑은 고딕" w:hAnsi="맑은 고딕"/>
        </w:rPr>
        <w:t xml:space="preserve">■ 드레인보드·토목섬유를 사용하는 경우 이음 위치는 서로 0.3m 이상 이격해야 하며, 드레인보드 상단부는 토목섬유로 0.1m 이상 감싼 후 부착한다. 되메우기 토사 중 토목섬유에 접하는 두께 0.3m 범위는 돌 등이 포함되지 않아야 한다(*KCS 3.3.9(1)④).</w:t>
      </w:r>
    </w:p>
    <w:tbl>
      <w:tblPr>
        <w:tblW w:type="dxa" w:w="9350"/>
        <w:tblBorders>
          <w:top w:val="single" w:color="4472C4" w:sz="4"/>
          <w:left w:val="single" w:color="4472C4" w:sz="4"/>
          <w:bottom w:val="single" w:color="4472C4" w:sz="4"/>
          <w:right w:val="single" w:color="4472C4" w:sz="4"/>
          <w:insideH w:val="single" w:color="auto" w:sz="4"/>
          <w:insideV w:val="single" w:color="auto" w:sz="4"/>
        </w:tblBorders>
      </w:tblPr>
      <w:tblGrid>
        <w:gridCol w:w="9350"/>
      </w:tblGrid>
      <w:tr>
        <w:tc>
          <w:tcPr>
            <w:tcW w:type="dxa" w:w="9350"/>
            <w:shd w:fill="EAF1FB" w:val="clear"/>
            <w:tcMar>
              <w:top w:type="dxa" w:w="150"/>
              <w:left w:type="dxa" w:w="200"/>
              <w:bottom w:type="dxa" w:w="150"/>
              <w:right w:type="dxa" w:w="200"/>
            </w:tcMar>
          </w:tcPr>
          <w:p>
            <w:r>
              <w:rPr>
                <w:rFonts w:ascii="맑은 고딕" w:cs="맑은 고딕" w:eastAsia="맑은 고딕" w:hAnsi="맑은 고딕"/>
                <w:b/>
                <w:bCs/>
              </w:rPr>
              <w:t xml:space="preserve">◎ 요약 결론</w:t>
            </w:r>
            <w:r>
              <w:rPr>
                <w:rFonts w:ascii="맑은 고딕" w:cs="맑은 고딕" w:eastAsia="맑은 고딕" w:hAnsi="맑은 고딕"/>
              </w:rPr>
              <w:t xml:space="preserve">   배수공은 2~4㎡당 1개소, 내경 100mm 전후 관으로 설치하는 것이 공통 골격이나, 이는 배수체계의 일부일 뿐이다. 뒤채움 토질·지하수 조건에 따라 연직·구형·경사·면·격리·동상방지 배수 중 적합한 방식을 선정해야 하며, 옹벽이 높고 지하수가 많은 경우 전면배수로를 추가로 계획해야 한다.</w:t>
            </w:r>
          </w:p>
        </w:tc>
      </w:tr>
    </w:tbl>
    <w:p>
      <w:pPr>
        <w:pStyle w:val="Heading1"/>
        <w:spacing w:after="200" w:before="400"/>
      </w:pPr>
      <w:r>
        <w:rPr>
          <w:rFonts w:ascii="맑은 고딕" w:cs="맑은 고딕" w:eastAsia="맑은 고딕" w:hAnsi="맑은 고딕"/>
          <w:b/>
          <w:bCs/>
          <w:sz w:val="30"/>
          <w:szCs w:val="30"/>
        </w:rPr>
        <w:t xml:space="preserve">6. 뒤채움재와 다짐 관리</w:t>
      </w:r>
    </w:p>
    <w:p>
      <w:pPr>
        <w:pStyle w:val="Heading2"/>
        <w:spacing w:after="140" w:before="260"/>
      </w:pPr>
      <w:r>
        <w:rPr>
          <w:rFonts w:ascii="맑은 고딕" w:cs="맑은 고딕" w:eastAsia="맑은 고딕" w:hAnsi="맑은 고딕"/>
          <w:b/>
          <w:bCs/>
          <w:color w:val="1F4E79"/>
          <w:sz w:val="25"/>
          <w:szCs w:val="25"/>
        </w:rPr>
        <w:t xml:space="preserve">6.1 뒤채움재 품질기준</w:t>
      </w:r>
    </w:p>
    <w:p>
      <w:pPr>
        <w:spacing w:after="100"/>
        <w:ind w:left="200"/>
      </w:pPr>
      <w:r>
        <w:rPr>
          <w:rFonts w:ascii="맑은 고딕" w:cs="맑은 고딕" w:eastAsia="맑은 고딕" w:hAnsi="맑은 고딕"/>
        </w:rPr>
        <w:t xml:space="preserve">■ 뒤채움 흙은 다짐이 용이하고 배수가 잘되는 양질의 토사여야 하며(*KDS 1.6.1(4)), 뒤채움잡석은 경질이고 변질 우려가 없는 잡석·조약돌로서 최대입경 150mm 이하의 재료를 사용한다(*KCS 2.1.9(1)). 되메우기재료는 유기질토·동토·빙설·초목·다량의 부식물이 섞이지 않아야 하며, 함수·건조에 의해 불안정해지는 실트·점토 및 불량 연석 등은 제외해야 한다(*KCS 2.1.9(2)①).</w:t>
      </w:r>
    </w:p>
    <w:p>
      <w:pPr>
        <w:spacing w:after="100"/>
        <w:ind w:left="200"/>
      </w:pPr>
      <w:r>
        <w:rPr>
          <w:rFonts w:ascii="맑은 고딕" w:cs="맑은 고딕" w:eastAsia="맑은 고딕" w:hAnsi="맑은 고딕"/>
        </w:rPr>
        <w:t xml:space="preserve">■ 뒤채움재 종류에 따라 옹벽 설계정수(단위중량·토압계수) 자체가 달라진다. 높이 8m 이하 옹벽은 뒤채움재를 ① 자갈 또는 모래·자갈 혼합물, ② 사질토·실트, ③ 점성토(액성한계 WL&lt;50%) 3종으로 구분해 적용하고, 높이 8m를 초과하는 옹벽은 뒤채움재의 역학시험 결과를 바탕으로 설계정수를 별도 산정해야 한다(*KDS 2.1.1(1)①②).</w:t>
      </w:r>
    </w:p>
    <w:p>
      <w:pPr>
        <w:pStyle w:val="Heading2"/>
        <w:spacing w:after="140" w:before="260"/>
      </w:pPr>
      <w:r>
        <w:rPr>
          <w:rFonts w:ascii="맑은 고딕" w:cs="맑은 고딕" w:eastAsia="맑은 고딕" w:hAnsi="맑은 고딕"/>
          <w:b/>
          <w:bCs/>
          <w:color w:val="1F4E79"/>
          <w:sz w:val="25"/>
          <w:szCs w:val="25"/>
        </w:rPr>
        <w:t xml:space="preserve">6.2 다짐관리</w:t>
      </w:r>
    </w:p>
    <w:p>
      <w:pPr>
        <w:spacing w:after="100"/>
        <w:ind w:left="200"/>
      </w:pPr>
      <w:r>
        <w:rPr>
          <w:rFonts w:ascii="맑은 고딕" w:cs="맑은 고딕" w:eastAsia="맑은 고딕" w:hAnsi="맑은 고딕"/>
        </w:rPr>
        <w:t xml:space="preserve">■ 되메우기는 최적함수비에 가까운 함수비로 다짐완료 후 두께 0.2m 이내가 되도록 펴서 규정된 밀도로 다져야 한다(*KCS 3.3.17(2)). 옹벽배면의 되메우기(뒤채움)는 배수용 잡석층과 동일한 높이로 동시에 실시해야 한다(*KCS 3.3.17(3)).</w:t>
      </w:r>
    </w:p>
    <w:p>
      <w:pPr>
        <w:spacing w:after="100"/>
        <w:ind w:left="200"/>
      </w:pPr>
      <w:r>
        <w:rPr>
          <w:rFonts w:ascii="맑은 고딕" w:cs="맑은 고딕" w:eastAsia="맑은 고딕" w:hAnsi="맑은 고딕"/>
        </w:rPr>
        <w:t xml:space="preserve">■ 되메우기는 젖은 지반·스폰지 지반·동결지반에서 시공해서는 안 되며, 젖거나 덩어리지거나 동결된 재료를 되메우기 재료로 사용해서도 안 된다(*KCS 3.3.17(7)). 되메울 부분에 물이 고여 있으면 되메우기 전에 완전히 제거하고, 구조물 바깥쪽으로 2% 정도 경사를 두어 우수가 침입하지 못하도록 해야 한다(*KCS 3.3.17(6)).</w:t>
      </w:r>
    </w:p>
    <w:p>
      <w:pPr>
        <w:spacing w:after="100"/>
        <w:ind w:left="200"/>
      </w:pPr>
      <w:r>
        <w:rPr>
          <w:rFonts w:ascii="맑은 고딕" w:cs="맑은 고딕" w:eastAsia="맑은 고딕" w:hAnsi="맑은 고딕"/>
        </w:rPr>
        <w:t xml:space="preserve">■ 벽체 콘크리트가 설계기준강도를 발휘한 후에 뒤채움을 실시해야 하며(*KCS 3.3.13(5)), 되메우기의 각 층은 다짐이 끝나면 반드시 공사감독자의 검사를 받은 후 다음 층을 포설해야 한다. 현장밀도 시험 결과 적정 밀도를 얻지 못하면 재다짐·재시험을 소요밀도 확보 시까지 반복해야 하며, 그 비용은 수급인이 부담한다(*KCS 3.5.1).</w:t>
      </w:r>
    </w:p>
    <w:p>
      <w:pPr>
        <w:pStyle w:val="Heading2"/>
        <w:spacing w:after="140" w:before="260"/>
      </w:pPr>
      <w:r>
        <w:rPr>
          <w:rFonts w:ascii="맑은 고딕" w:cs="맑은 고딕" w:eastAsia="맑은 고딕" w:hAnsi="맑은 고딕"/>
          <w:b/>
          <w:bCs/>
          <w:color w:val="1F4E79"/>
          <w:sz w:val="25"/>
          <w:szCs w:val="25"/>
        </w:rPr>
        <w:t xml:space="preserve">6.3 배수층과의 관계</w:t>
      </w:r>
    </w:p>
    <w:p>
      <w:pPr>
        <w:spacing w:after="100"/>
        <w:ind w:left="200"/>
      </w:pPr>
      <w:r>
        <w:rPr>
          <w:rFonts w:ascii="맑은 고딕" w:cs="맑은 고딕" w:eastAsia="맑은 고딕" w:hAnsi="맑은 고딕"/>
        </w:rPr>
        <w:t xml:space="preserve">■ 뒤채움의 다짐관리는 배수시설과 분리해서 볼 수 없다. 드레인보드·토목섬유가 되메우기 시 손상·탈락되지 않도록 주의해야 하며, 배수받이(지수 콘크리트) 바깥쪽 가장자리는 토목섬유를 0.1m 이상 바닥에 깔고 잡석채움을 해야 한다(*KCS 3.3.9(1)④마).</w:t>
      </w:r>
    </w:p>
    <w:p>
      <w:pPr>
        <w:spacing w:after="100"/>
        <w:ind w:left="200"/>
      </w:pPr>
      <w:r>
        <w:rPr>
          <w:rFonts w:ascii="맑은 고딕" w:cs="맑은 고딕" w:eastAsia="맑은 고딕" w:hAnsi="맑은 고딕"/>
        </w:rPr>
        <w:t xml:space="preserve">■ 뒤채움 내부에 배수시설·배수층을 별도로 설치한 경우, 설계 시에는 배면 내에 존재하는 정상상태의 수두를 고려해 수압을 작용시키되, 배수층에 의해 가상배면범위 내에 수위가 발생하지 않도록 한 경우에는 수압을 고려하지 않을 수 있다(*KDS 1.7.5(2)). 즉 뒤채움·다짐의 품질이 곧 옹벽에 작용하는 수압 하중의 크기를 좌우한다.</w:t>
      </w:r>
    </w:p>
    <w:tbl>
      <w:tblPr>
        <w:tblW w:type="dxa" w:w="9350"/>
        <w:tblBorders>
          <w:top w:val="single" w:color="4472C4" w:sz="4"/>
          <w:left w:val="single" w:color="4472C4" w:sz="4"/>
          <w:bottom w:val="single" w:color="4472C4" w:sz="4"/>
          <w:right w:val="single" w:color="4472C4" w:sz="4"/>
          <w:insideH w:val="single" w:color="auto" w:sz="4"/>
          <w:insideV w:val="single" w:color="auto" w:sz="4"/>
        </w:tblBorders>
      </w:tblPr>
      <w:tblGrid>
        <w:gridCol w:w="9350"/>
      </w:tblGrid>
      <w:tr>
        <w:tc>
          <w:tcPr>
            <w:tcW w:type="dxa" w:w="9350"/>
            <w:shd w:fill="EAF1FB" w:val="clear"/>
            <w:tcMar>
              <w:top w:type="dxa" w:w="150"/>
              <w:left w:type="dxa" w:w="200"/>
              <w:bottom w:type="dxa" w:w="150"/>
              <w:right w:type="dxa" w:w="200"/>
            </w:tcMar>
          </w:tcPr>
          <w:p>
            <w:r>
              <w:rPr>
                <w:rFonts w:ascii="맑은 고딕" w:cs="맑은 고딕" w:eastAsia="맑은 고딕" w:hAnsi="맑은 고딕"/>
                <w:b/>
                <w:bCs/>
              </w:rPr>
              <w:t xml:space="preserve">◎ 요약 결론</w:t>
            </w:r>
            <w:r>
              <w:rPr>
                <w:rFonts w:ascii="맑은 고딕" w:cs="맑은 고딕" w:eastAsia="맑은 고딕" w:hAnsi="맑은 고딕"/>
              </w:rPr>
              <w:t xml:space="preserve">   뒤채움재는 최대입경 150mm 이하 잡석 또는 옹벽 높이(8m 기준)에 따라 구분된 토질별 재료를 사용하고, 0.2m 이내 층다짐과 최적함수비 관리가 원칙이다. 동결·과습 지반에서의 되메우기는 금지되며, 다짐 품질은 배수층 손상 방지 및 설계 수압 산정과 직결되므로 뒤채움과 배수시설은 하나의 공정으로 관리해야 한다.</w:t>
            </w:r>
          </w:p>
        </w:tc>
      </w:tr>
    </w:tbl>
    <w:p>
      <w:pPr>
        <w:pStyle w:val="Heading1"/>
        <w:spacing w:after="200" w:before="400"/>
      </w:pPr>
      <w:r>
        <w:rPr>
          <w:rFonts w:ascii="맑은 고딕" w:cs="맑은 고딕" w:eastAsia="맑은 고딕" w:hAnsi="맑은 고딕"/>
          <w:b/>
          <w:bCs/>
          <w:sz w:val="30"/>
          <w:szCs w:val="30"/>
        </w:rPr>
        <w:t xml:space="preserve">7. 철근 배근·피복두께와 균열관리 – 왜 콘크리트옹벽에만 있는 항목인가?</w:t>
      </w:r>
    </w:p>
    <w:p>
      <w:pPr>
        <w:spacing w:after="120"/>
      </w:pPr>
      <w:r>
        <w:rPr>
          <w:rFonts w:ascii="맑은 고딕" w:cs="맑은 고딕" w:eastAsia="맑은 고딕" w:hAnsi="맑은 고딕"/>
        </w:rPr>
        <w:t xml:space="preserve">보강토 옹벽은 블록·패널과 지오그리드로 구성되어 철근콘크리트 구조 검토가 사실상 없는 반면, 자립식 옹벽은 벽체·저판 자체가 철근콘크리트 부재이므로 피복두께·최소철근비·건조수축 균열 관리가 별도의 핵심 항목이 된다.</w:t>
      </w:r>
    </w:p>
    <w:p>
      <w:pPr>
        <w:pStyle w:val="Heading2"/>
        <w:spacing w:after="140" w:before="260"/>
      </w:pPr>
      <w:r>
        <w:rPr>
          <w:rFonts w:ascii="맑은 고딕" w:cs="맑은 고딕" w:eastAsia="맑은 고딕" w:hAnsi="맑은 고딕"/>
          <w:b/>
          <w:bCs/>
          <w:color w:val="1F4E79"/>
          <w:sz w:val="25"/>
          <w:szCs w:val="25"/>
        </w:rPr>
        <w:t xml:space="preserve">7.1 피복두께 기준</w:t>
      </w:r>
    </w:p>
    <w:p>
      <w:pPr>
        <w:spacing w:after="100"/>
        <w:ind w:left="200"/>
      </w:pPr>
      <w:r>
        <w:rPr>
          <w:rFonts w:ascii="맑은 고딕" w:cs="맑은 고딕" w:eastAsia="맑은 고딕" w:hAnsi="맑은 고딕"/>
        </w:rPr>
        <w:t xml:space="preserve">■ 피복두께는 벽의 노출면에서 50mm 이상, 콘크리트가 흙에 접하는 면에서 50mm 이상, 직접 흙 중에 묻히는 기초 슬래브에서는 80mm 이상으로 해야 한다(*KDS 4.6.2(2)①). KCS는 시공 단계에서 이 값이 설계도서에 명시된 대로 정확히 확보되도록 규정한다(*KCS 3.3.4).</w:t>
      </w:r>
    </w:p>
    <w:p>
      <w:pPr>
        <w:pStyle w:val="Heading2"/>
        <w:spacing w:after="140" w:before="260"/>
      </w:pPr>
      <w:r>
        <w:rPr>
          <w:rFonts w:ascii="맑은 고딕" w:cs="맑은 고딕" w:eastAsia="맑은 고딕" w:hAnsi="맑은 고딕"/>
          <w:b/>
          <w:bCs/>
          <w:color w:val="1F4E79"/>
          <w:sz w:val="25"/>
          <w:szCs w:val="25"/>
        </w:rPr>
        <w:t xml:space="preserve">7.2 온도·수축철근 및 최소철근비</w:t>
      </w:r>
    </w:p>
    <w:p>
      <w:pPr>
        <w:spacing w:after="100"/>
        <w:ind w:left="200"/>
      </w:pPr>
      <w:r>
        <w:rPr>
          <w:rFonts w:ascii="맑은 고딕" w:cs="맑은 고딕" w:eastAsia="맑은 고딕" w:hAnsi="맑은 고딕"/>
        </w:rPr>
        <w:t xml:space="preserve">■ 철근콘크리트에서는 수축·온도변화에 의한 균열을 방지하기 위해 벽의 노출면에 가깝게 수평방향으로, 벽 높이 1m당 5cm² 이상의 단면적을 가진 철근을 중심간격 300mm 이하로 배치해야 한다(*KDS 4.6.2(2)②). 이때 직경이 작은 철근을 좁은 간격으로 배치하는 것이 균열 제어에 유리하다.</w:t>
      </w:r>
    </w:p>
    <w:p>
      <w:pPr>
        <w:spacing w:after="100"/>
        <w:ind w:left="200"/>
      </w:pPr>
      <w:r>
        <w:rPr>
          <w:rFonts w:ascii="맑은 고딕" w:cs="맑은 고딕" w:eastAsia="맑은 고딕" w:hAnsi="맑은 고딕"/>
        </w:rPr>
        <w:t xml:space="preserve">■ 최소철근비는 철근 종류에 따라 구분된다: 설계기준항복강도 400MPa 이상이면서 지름 16mm 이하인 이형철근은 0.002, 기타 이형철근은 0.0025, 지름 16mm 이하인 용접강선망은 0.0020이며, 수평철근의 간격은 벽체 두께의 3배 이하 또는 450mm 이하로 제한한다(*KDS 4.6.2(2)⑤).</w:t>
      </w:r>
    </w:p>
    <w:p>
      <w:pPr>
        <w:spacing w:after="100"/>
        <w:ind w:left="200"/>
      </w:pPr>
      <w:r>
        <w:rPr>
          <w:rFonts w:ascii="맑은 고딕" w:cs="맑은 고딕" w:eastAsia="맑은 고딕" w:hAnsi="맑은 고딕"/>
        </w:rPr>
        <w:t xml:space="preserve">■ 부벽식 옹벽은 부재별로 추가 배근 기준이 있다. 뒷부벽식은 전면벽·기초슬래브가 부벽에 전달하는 응력을 지지할 철근을 부벽에 배근해야 하고, 전면벽·기초슬래브에는 인장철근의 20% 이상의 배력철근을 두어야 한다. 앞부벽식의 전면벽에도 인장철근의 20% 이상 배력철근이 필요하다(*KDS 4.6.2(2)③④).</w:t>
      </w:r>
    </w:p>
    <w:p>
      <w:pPr>
        <w:pStyle w:val="Heading2"/>
        <w:spacing w:after="140" w:before="260"/>
      </w:pPr>
      <w:r>
        <w:rPr>
          <w:rFonts w:ascii="맑은 고딕" w:cs="맑은 고딕" w:eastAsia="맑은 고딕" w:hAnsi="맑은 고딕"/>
          <w:b/>
          <w:bCs/>
          <w:color w:val="1F4E79"/>
          <w:sz w:val="25"/>
          <w:szCs w:val="25"/>
        </w:rPr>
        <w:t xml:space="preserve">7.3 절곡부 보강 및 캔틸레버 부재력 산정</w:t>
      </w:r>
    </w:p>
    <w:p>
      <w:pPr>
        <w:spacing w:after="100"/>
        <w:ind w:left="200"/>
      </w:pPr>
      <w:r>
        <w:rPr>
          <w:rFonts w:ascii="맑은 고딕" w:cs="맑은 고딕" w:eastAsia="맑은 고딕" w:hAnsi="맑은 고딕"/>
        </w:rPr>
        <w:t xml:space="preserve">■ 옹벽의 선형이 꺾이는 절곡부(우각부)에는 도면상 수평철근량(전면 온도철근 및 배면측 배력철근량)의 30%~50% 정도를 절곡점 양측으로 정착길이가 확보되도록 추가 배근해야 한다(*KCS 3.3.10). 이는 앞서 4장에서 다룬 "절곡부에는 신축이음을 두지 않는다"는 원칙과 짝을 이루는 규정으로, 이음도 두지 않고 응력집중도 큰 절곡부를 철근 보강으로 보완하는 구조다.</w:t>
      </w:r>
    </w:p>
    <w:p>
      <w:pPr>
        <w:spacing w:after="100"/>
        <w:ind w:left="200"/>
      </w:pPr>
      <w:r>
        <w:rPr>
          <w:rFonts w:ascii="맑은 고딕" w:cs="맑은 고딕" w:eastAsia="맑은 고딕" w:hAnsi="맑은 고딕"/>
        </w:rPr>
        <w:t xml:space="preserve">■ 캔틸레버식 옹벽의 부재력 산정에서, 뒷굽(기초슬래브 배면측)의 휨모멘트가 벽체의 휨모멘트를 초과하는 경우 부재설계에는 벽체의 휨모멘트값을 사용한다(뒷굽 모멘트가 벽체 모멘트보다 커지는 것을 허용하지 않는 구조적 가정, *KDS 4.6.1(3)⑧, *LH 7.1.6). 기초 슬래브의 앞판 상측과 뒷판 하측은 균열방지를 위해 반대측 주철근량의 1/3 이상을 배근해야 한다(*KDS 4.6.1(3)⑤).</w:t>
      </w:r>
    </w:p>
    <w:p>
      <w:pPr>
        <w:spacing w:after="100"/>
        <w:ind w:left="200"/>
      </w:pPr>
      <w:r>
        <w:rPr>
          <w:rFonts w:ascii="맑은 고딕" w:cs="맑은 고딕" w:eastAsia="맑은 고딕" w:hAnsi="맑은 고딕"/>
        </w:rPr>
        <w:t xml:space="preserve">■ 시공 단계에서는 굴곡부 보강철근을 옹벽 형상이 굴곡되는 경우 수평방향으로 추가 배근하고(*KCS 3.3.15(2)), 부벽식 옹벽처럼 단면이 비교적 얇은 부재는 주철근이 단면 외측에 오도록 배근해 유효고를 크게 확보해야 한다(*KCS 3.3.15(3)).</w:t>
      </w:r>
    </w:p>
    <w:tbl>
      <w:tblPr>
        <w:tblW w:type="dxa" w:w="9350"/>
        <w:tblBorders>
          <w:top w:val="single" w:color="4472C4" w:sz="4"/>
          <w:left w:val="single" w:color="4472C4" w:sz="4"/>
          <w:bottom w:val="single" w:color="4472C4" w:sz="4"/>
          <w:right w:val="single" w:color="4472C4" w:sz="4"/>
          <w:insideH w:val="single" w:color="auto" w:sz="4"/>
          <w:insideV w:val="single" w:color="auto" w:sz="4"/>
        </w:tblBorders>
      </w:tblPr>
      <w:tblGrid>
        <w:gridCol w:w="9350"/>
      </w:tblGrid>
      <w:tr>
        <w:tc>
          <w:tcPr>
            <w:tcW w:type="dxa" w:w="9350"/>
            <w:shd w:fill="EAF1FB" w:val="clear"/>
            <w:tcMar>
              <w:top w:type="dxa" w:w="150"/>
              <w:left w:type="dxa" w:w="200"/>
              <w:bottom w:type="dxa" w:w="150"/>
              <w:right w:type="dxa" w:w="200"/>
            </w:tcMar>
          </w:tcPr>
          <w:p>
            <w:r>
              <w:rPr>
                <w:rFonts w:ascii="맑은 고딕" w:cs="맑은 고딕" w:eastAsia="맑은 고딕" w:hAnsi="맑은 고딕"/>
                <w:b/>
                <w:bCs/>
              </w:rPr>
              <w:t xml:space="preserve">◎ 요약 결론</w:t>
            </w:r>
            <w:r>
              <w:rPr>
                <w:rFonts w:ascii="맑은 고딕" w:cs="맑은 고딕" w:eastAsia="맑은 고딕" w:hAnsi="맑은 고딕"/>
              </w:rPr>
              <w:t xml:space="preserve">   자립식 옹벽은 피복두께(노출면·흙 접촉면 50mm, 매립 기초슬래브 80mm)와 온도·수축 균열방지철근(1m당 5cm² 이상, 300mm 이하 간격), 최소철근비(0.002~0.0025)를 갖춘 철근콘크리트 부재로 설계된다. 절곡부는 수평철근량의 30~50%를 추가 배근하고 신축이음은 두지 않으며, 캔틸레버식은 뒷굽 모멘트가 벽체 모멘트를 넘지 않도록 설계에 반영하는 것이 원칙이다.</w:t>
            </w:r>
          </w:p>
        </w:tc>
      </w:tr>
    </w:tbl>
    <w:p>
      <w:pPr>
        <w:pStyle w:val="Heading1"/>
        <w:spacing w:after="200" w:before="400"/>
      </w:pPr>
      <w:r>
        <w:rPr>
          <w:rFonts w:ascii="맑은 고딕" w:cs="맑은 고딕" w:eastAsia="맑은 고딕" w:hAnsi="맑은 고딕"/>
          <w:b/>
          <w:bCs/>
          <w:sz w:val="30"/>
          <w:szCs w:val="30"/>
        </w:rPr>
        <w:t xml:space="preserve">8. 종합결론</w:t>
      </w:r>
    </w:p>
    <w:p>
      <w:pPr>
        <w:spacing w:after="120"/>
      </w:pPr>
      <w:r>
        <w:rPr>
          <w:rFonts w:ascii="맑은 고딕" w:cs="맑은 고딕" w:eastAsia="맑은 고딕" w:hAnsi="맑은 고딕"/>
        </w:rPr>
        <w:t xml:space="preserve">7개 항목을 관통하는 결론은, 자립식 옹벽의 안정성은 형식 선정(높이별 4형식)과 안정성 검토(활동·전도·지지력·전체안정·침하), 그리고 철근콘크리트 부재로서의 상세(이음·피복·배근)가 하나로 연결된 체계라는 점이다. 보강토 옹벽에서 핵심이었던 "보강재와 물 관리"는 자립식 옹벽에서 "자중·단면과 물 관리(배수·뒤채움)"로 대체되고, 여기에 철근콘크리트 구조물 특유의 이음·균열 관리가 더해진다.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50"/>
      </w:tblGrid>
      <w:tr>
        <w:trPr>
          <w:tblHeader/>
        </w:trPr>
        <w:tc>
          <w:tcPr>
            <w:tcW w:type="dxa" w:w="900"/>
            <w:shd w:fill="2E5395"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항목#</w:t>
            </w:r>
          </w:p>
        </w:tc>
        <w:tc>
          <w:tcPr>
            <w:tcW w:type="dxa" w:w="2400"/>
            <w:shd w:fill="2E5395"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내용</w:t>
            </w:r>
          </w:p>
        </w:tc>
        <w:tc>
          <w:tcPr>
            <w:tcW w:type="dxa" w:w="6050"/>
            <w:shd w:fill="2E5395"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핵심결론</w:t>
            </w:r>
          </w:p>
        </w:tc>
      </w:tr>
      <w:tr>
        <w:tc>
          <w:tcPr>
            <w:tcW w:type="dxa" w:w="90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1.</w:t>
            </w:r>
          </w:p>
        </w:tc>
        <w:tc>
          <w:tcPr>
            <w:tcW w:type="dxa" w:w="240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형식 선정</w:t>
            </w:r>
          </w:p>
        </w:tc>
        <w:tc>
          <w:tcPr>
            <w:tcW w:type="dxa" w:w="605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높이(2m, 7~8m 기준)에 따라 중력식·반중력식 → 캔틸레버식 → 부벽식 순으로 적용. 평탄·양호 지반 이외는 특수설계.</w:t>
            </w:r>
          </w:p>
        </w:tc>
      </w:tr>
      <w:tr>
        <w:tc>
          <w:tcPr>
            <w:tcW w:type="dxa" w:w="90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2.</w:t>
            </w:r>
          </w:p>
        </w:tc>
        <w:tc>
          <w:tcPr>
            <w:tcW w:type="dxa" w:w="240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기초부</w:t>
            </w:r>
          </w:p>
        </w:tc>
        <w:tc>
          <w:tcPr>
            <w:tcW w:type="dxa" w:w="605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근입깊이 동결심도 이상 및 최소 1.0m. 수동토압 반영 시 안전율 2.0 이상. 부족 시 활동방지벽·말뚝 검토.</w:t>
            </w:r>
          </w:p>
        </w:tc>
      </w:tr>
      <w:tr>
        <w:tc>
          <w:tcPr>
            <w:tcW w:type="dxa" w:w="90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3.</w:t>
            </w:r>
          </w:p>
        </w:tc>
        <w:tc>
          <w:tcPr>
            <w:tcW w:type="dxa" w:w="240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안정성·안전율</w:t>
            </w:r>
          </w:p>
        </w:tc>
        <w:tc>
          <w:tcPr>
            <w:tcW w:type="dxa" w:w="605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활동 1.5, 전도 2.0, 지지력 3.0, 전체안정 1.2~1.5(지진 시 1.1~1.5). 내진설계는 시설물 등급 등에 따라 조건부.</w:t>
            </w:r>
          </w:p>
        </w:tc>
      </w:tr>
      <w:tr>
        <w:tc>
          <w:tcPr>
            <w:tcW w:type="dxa" w:w="90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4.</w:t>
            </w:r>
          </w:p>
        </w:tc>
        <w:tc>
          <w:tcPr>
            <w:tcW w:type="dxa" w:w="240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신축·수축이음</w:t>
            </w:r>
          </w:p>
        </w:tc>
        <w:tc>
          <w:tcPr>
            <w:tcW w:type="dxa" w:w="605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신축이음은 중력식 10m로 공통이나 캔틸레버·부벽식은 15~30m로 자료마다 상이(발주처 지침 우선). 수축이음은 철근 미절단, 5~9m 간격.</w:t>
            </w:r>
          </w:p>
        </w:tc>
      </w:tr>
      <w:tr>
        <w:tc>
          <w:tcPr>
            <w:tcW w:type="dxa" w:w="90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5.</w:t>
            </w:r>
          </w:p>
        </w:tc>
        <w:tc>
          <w:tcPr>
            <w:tcW w:type="dxa" w:w="240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배수시설</w:t>
            </w:r>
          </w:p>
        </w:tc>
        <w:tc>
          <w:tcPr>
            <w:tcW w:type="dxa" w:w="605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배수공 2~4㎡당 1개소·내경 100mm 전후가 공통 골격. 배면 배수는 연직·구형·경사·면·격리·동상방지 6종 중 조건별 선정.</w:t>
            </w:r>
          </w:p>
        </w:tc>
      </w:tr>
      <w:tr>
        <w:tc>
          <w:tcPr>
            <w:tcW w:type="dxa" w:w="90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6.</w:t>
            </w:r>
          </w:p>
        </w:tc>
        <w:tc>
          <w:tcPr>
            <w:tcW w:type="dxa" w:w="240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뒤채움·다짐</w:t>
            </w:r>
          </w:p>
        </w:tc>
        <w:tc>
          <w:tcPr>
            <w:tcW w:type="dxa" w:w="605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최대입경 150mm 이하 잡석, 0.2m 이내 층다짐. 동결·과습 지반 되메우기 금지. 다짐 품질이 설계 수압에 직결.</w:t>
            </w:r>
          </w:p>
        </w:tc>
      </w:tr>
      <w:tr>
        <w:tc>
          <w:tcPr>
            <w:tcW w:type="dxa" w:w="90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7.</w:t>
            </w:r>
          </w:p>
        </w:tc>
        <w:tc>
          <w:tcPr>
            <w:tcW w:type="dxa" w:w="240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철근·피복·균열</w:t>
            </w:r>
          </w:p>
        </w:tc>
        <w:tc>
          <w:tcPr>
            <w:tcW w:type="dxa" w:w="6050"/>
            <w:tcMar>
              <w:top w:type="dxa" w:w="80"/>
              <w:left w:type="dxa" w:w="100"/>
              <w:bottom w:type="dxa" w:w="80"/>
              <w:right w:type="dxa" w:w="100"/>
            </w:tcMar>
            <w:vAlign w:val="center"/>
          </w:tcPr>
          <w:p>
            <w:pPr>
              <w:jc w:val="center"/>
            </w:pPr>
            <w:r>
              <w:rPr>
                <w:rFonts w:ascii="맑은 고딕" w:cs="맑은 고딕" w:eastAsia="맑은 고딕" w:hAnsi="맑은 고딕"/>
                <w:sz w:val="20"/>
                <w:szCs w:val="20"/>
              </w:rPr>
              <w:t xml:space="preserve">피복 50mm(노출·흙 접촉)/80mm(매립 기초). 절곡부 수평철근 30~50% 추가 배근. 캔틸레버 뒷굽 모멘트는 벽체 모멘트 초과 불허.</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sz w:val="18"/>
        <w:szCs w:val="18"/>
      </w:rPr>
      <w:t xml:space="preserve">- </w:t>
    </w:r>
    <w:r>
      <w:rPr>
        <w:rFonts w:ascii="맑은 고딕" w:cs="맑은 고딕" w:eastAsia="맑은 고딕" w:hAnsi="맑은 고딕"/>
        <w:sz w:val="18"/>
        <w:szCs w:val="18"/>
      </w:rPr>
      <w:fldChar w:fldCharType="begin"/>
      <w:instrText xml:space="preserve">PAGE</w:instrText>
      <w:fldChar w:fldCharType="separate"/>
      <w:fldChar w:fldCharType="end"/>
    </w:r>
    <w:r>
      <w:rPr>
        <w:rFonts w:ascii="맑은 고딕" w:cs="맑은 고딕" w:eastAsia="맑은 고딕" w:hAnsi="맑은 고딕"/>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888888"/>
        <w:sz w:val="16"/>
        <w:szCs w:val="16"/>
      </w:rPr>
      <w:t xml:space="preserve">자립식(콘크리트) 옹벽 분석 보고서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color w:val="1F4E79"/>
      <w:sz w:val="30"/>
      <w:szCs w:val="30"/>
    </w:rPr>
  </w:style>
  <w:style w:type="paragraph" w:styleId="Heading2">
    <w:name w:val="Heading 2"/>
    <w:basedOn w:val="Normal"/>
    <w:next w:val="Normal"/>
    <w:qFormat/>
    <w:pPr>
      <w:spacing w:after="140" w:before="260"/>
      <w:outlineLvl w:val="1"/>
    </w:pPr>
    <w:rPr>
      <w:rFonts w:ascii="맑은 고딕" w:cs="맑은 고딕" w:eastAsia="맑은 고딕" w:hAnsi="맑은 고딕"/>
      <w:b/>
      <w:bCs/>
      <w:color w:val="2E539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2026-07-24T03:50:36.850Z</dcterms:created>
  <dcterms:modified xsi:type="dcterms:W3CDTF">2026-07-24T03:50:36.851Z</dcterms:modified>
</cp:coreProperties>
</file>

<file path=docProps/custom.xml><?xml version="1.0" encoding="utf-8"?>
<Properties xmlns="http://schemas.openxmlformats.org/officeDocument/2006/custom-properties" xmlns:vt="http://schemas.openxmlformats.org/officeDocument/2006/docPropsVTypes"/>
</file>