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WEEKLY ENGINEERING REPORT</w:t>
      </w:r>
    </w:p>
    <w:p>
      <w:pPr>
        <w:keepNext/>
        <w:spacing w:before="0" w:after="16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52"/>
        </w:rPr>
        <w:t>第三周工作周报</w:t>
      </w:r>
    </w:p>
    <w:p>
      <w:pPr>
        <w:pStyle w:val="Subtitle"/>
        <w:keepNext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多模态嵌入引擎、端侧导出与检索评测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项目: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离线可访问多模态本地内容检索系统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版本: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1.0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日期: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2026-07-27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状态: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已验证</w:t>
      </w:r>
    </w:p>
    <w:p>
      <w:pPr>
        <w:spacing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本周目标与完成度</w:t>
      </w: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本周完成离线双空间嵌入引擎：文本分块与多语言向量、MobileCLIP 图片/文字向量、统一批处理服务、模型清单校验、LiteRT 导出、NQ/COCO 冻结评测、覆盖率与正式交付材料。范围内任务全部落地并通过回归。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0"/>
        <w:gridCol w:w="5200"/>
        <w:gridCol w:w="1760"/>
      </w:tblGrid>
      <w:tr>
        <w:trPr>
          <w:tblHeader w:val="true"/>
        </w:trPr>
        <w:tc>
          <w:tcPr>
            <w:tcW w:type="dxa" w:w="2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工作项</w:t>
            </w:r>
          </w:p>
        </w:tc>
        <w:tc>
          <w:tcPr>
            <w:tcW w:type="dxa" w:w="5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产物</w:t>
            </w:r>
          </w:p>
        </w:tc>
        <w:tc>
          <w:tcPr>
            <w:tcW w:type="dxa" w:w="17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状态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P0 契约与分块</w:t>
            </w:r>
          </w:p>
        </w:tc>
        <w:tc>
          <w:tcPr>
            <w:tcW w:type="dxa" w:w="5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TextChunk / EmbeddingVector / TextChunker</w:t>
            </w:r>
          </w:p>
        </w:tc>
        <w:tc>
          <w:tcPr>
            <w:tcW w:type="dxa" w:w="17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完成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文本嵌入</w:t>
            </w:r>
          </w:p>
        </w:tc>
        <w:tc>
          <w:tcPr>
            <w:tcW w:type="dxa" w:w="5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本地 Sentence Transformer + 清单</w:t>
            </w:r>
          </w:p>
        </w:tc>
        <w:tc>
          <w:tcPr>
            <w:tcW w:type="dxa" w:w="17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完成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图片与图文嵌入</w:t>
            </w:r>
          </w:p>
        </w:tc>
        <w:tc>
          <w:tcPr>
            <w:tcW w:type="dxa" w:w="5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MobileCLIP-S0 双编码入口</w:t>
            </w:r>
          </w:p>
        </w:tc>
        <w:tc>
          <w:tcPr>
            <w:tcW w:type="dxa" w:w="17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完成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统一服务</w:t>
            </w:r>
          </w:p>
        </w:tc>
        <w:tc>
          <w:tcPr>
            <w:tcW w:type="dxa" w:w="5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模态分派、顺序元数据、失败隔离</w:t>
            </w:r>
          </w:p>
        </w:tc>
        <w:tc>
          <w:tcPr>
            <w:tcW w:type="dxa" w:w="17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完成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端侧导出</w:t>
            </w:r>
          </w:p>
        </w:tc>
        <w:tc>
          <w:tcPr>
            <w:tcW w:type="dxa" w:w="5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 个真实 LiteRT 模型与一致性证据</w:t>
            </w:r>
          </w:p>
        </w:tc>
        <w:tc>
          <w:tcPr>
            <w:tcW w:type="dxa" w:w="17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完成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准确率与性能</w:t>
            </w:r>
          </w:p>
        </w:tc>
        <w:tc>
          <w:tcPr>
            <w:tcW w:type="dxa" w:w="5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NQ、COCO、CPU batch 基线</w:t>
            </w:r>
          </w:p>
        </w:tc>
        <w:tc>
          <w:tcPr>
            <w:tcW w:type="dxa" w:w="17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完成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质量与交付</w:t>
            </w:r>
          </w:p>
        </w:tc>
        <w:tc>
          <w:tcPr>
            <w:tcW w:type="dxa" w:w="5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262 项回归、覆盖率、四份 DOCX、代码 ZIP</w:t>
            </w:r>
          </w:p>
        </w:tc>
        <w:tc>
          <w:tcPr>
            <w:tcW w:type="dxa" w:w="17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完成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关键工程决策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采用 text-semantic-v1 与 mobileclip-image-text-v1 两个独立空间，接口层阻止跨空间相似度。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EmbeddingVector 使用通用 source_id，使文本分块和图片共享同一输出契约。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模型只从本地路径加载，并通过 revision、SHA-256、许可证和运行时字段形成可审计清单。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批次失败递归降级到单项，保证坏文件或坏向量不终止整批任务。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冻结 benchmark 与 validation 分离，报告只引用机器可读证据。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量化结果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400"/>
        <w:gridCol w:w="4960"/>
      </w:tblGrid>
      <w:tr>
        <w:trPr>
          <w:tblHeader w:val="true"/>
        </w:trPr>
        <w:tc>
          <w:tcPr>
            <w:tcW w:type="dxa" w:w="4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指标</w:t>
            </w:r>
          </w:p>
        </w:tc>
        <w:tc>
          <w:tcPr>
            <w:tcW w:type="dxa" w:w="49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4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统一 Python 回归</w:t>
            </w:r>
          </w:p>
        </w:tc>
        <w:tc>
          <w:tcPr>
            <w:tcW w:type="dxa" w:w="49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262 passed / 1 skipped</w:t>
            </w:r>
          </w:p>
        </w:tc>
      </w:tr>
      <w:tr>
        <w:tc>
          <w:tcPr>
            <w:tcW w:type="dxa" w:w="4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嵌入包覆盖率</w:t>
            </w:r>
          </w:p>
        </w:tc>
        <w:tc>
          <w:tcPr>
            <w:tcW w:type="dxa" w:w="49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86.51%（门槛 85%）</w:t>
            </w:r>
          </w:p>
        </w:tc>
      </w:tr>
      <w:tr>
        <w:tc>
          <w:tcPr>
            <w:tcW w:type="dxa" w:w="4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NQ Recall@10</w:t>
            </w:r>
          </w:p>
        </w:tc>
        <w:tc>
          <w:tcPr>
            <w:tcW w:type="dxa" w:w="49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59.58%</w:t>
            </w:r>
          </w:p>
        </w:tc>
      </w:tr>
      <w:tr>
        <w:tc>
          <w:tcPr>
            <w:tcW w:type="dxa" w:w="4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NQ MRR@10</w:t>
            </w:r>
          </w:p>
        </w:tc>
        <w:tc>
          <w:tcPr>
            <w:tcW w:type="dxa" w:w="49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0.2841</w:t>
            </w:r>
          </w:p>
        </w:tc>
      </w:tr>
      <w:tr>
        <w:tc>
          <w:tcPr>
            <w:tcW w:type="dxa" w:w="4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COCO Recall@1</w:t>
            </w:r>
          </w:p>
        </w:tc>
        <w:tc>
          <w:tcPr>
            <w:tcW w:type="dxa" w:w="49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91.04%</w:t>
            </w:r>
          </w:p>
        </w:tc>
      </w:tr>
      <w:tr>
        <w:tc>
          <w:tcPr>
            <w:tcW w:type="dxa" w:w="4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COCO Recall@5 / @10</w:t>
            </w:r>
          </w:p>
        </w:tc>
        <w:tc>
          <w:tcPr>
            <w:tcW w:type="dxa" w:w="49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100% / 100%</w:t>
            </w:r>
          </w:p>
        </w:tc>
      </w:tr>
      <w:tr>
        <w:tc>
          <w:tcPr>
            <w:tcW w:type="dxa" w:w="4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文本 LiteRT 最大绝对误差</w:t>
            </w:r>
          </w:p>
        </w:tc>
        <w:tc>
          <w:tcPr>
            <w:tcW w:type="dxa" w:w="49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1.49e-7</w:t>
            </w:r>
          </w:p>
        </w:tc>
      </w:tr>
      <w:tr>
        <w:tc>
          <w:tcPr>
            <w:tcW w:type="dxa" w:w="4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MobileCLIP 图像/文本最大绝对误差</w:t>
            </w:r>
          </w:p>
        </w:tc>
        <w:tc>
          <w:tcPr>
            <w:tcW w:type="dxa" w:w="49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9.74e-6 / 2.98e-7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问题与解决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0"/>
        <w:gridCol w:w="4300"/>
        <w:gridCol w:w="2060"/>
      </w:tblGrid>
      <w:tr>
        <w:trPr>
          <w:tblHeader w:val="true"/>
        </w:trPr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问题</w:t>
            </w:r>
          </w:p>
        </w:tc>
        <w:tc>
          <w:tcPr>
            <w:tcW w:type="dxa" w:w="4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解决方案</w:t>
            </w:r>
          </w:p>
        </w:tc>
        <w:tc>
          <w:tcPr>
            <w:tcW w:type="dxa" w:w="20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MobileCLIP 文本图内 arg_max 无法被 LiteRT 合法化</w:t>
            </w:r>
          </w:p>
        </w:tc>
        <w:tc>
          <w:tcPr>
            <w:tcW w:type="dxa" w:w="4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把 EOT index 移至 tokenizer 后的主机预处理，图内改用 gather</w:t>
            </w:r>
          </w:p>
        </w:tc>
        <w:tc>
          <w:tcPr>
            <w:tcW w:type="dxa" w:w="20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文本 TFLite 成功导出</w:t>
            </w:r>
          </w:p>
        </w:tc>
      </w:tr>
      <w:tr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NQ 存在标题非空、正文为空的合法段落</w:t>
            </w:r>
          </w:p>
        </w:tc>
        <w:tc>
          <w:tcPr>
            <w:tcW w:type="dxa" w:w="4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允许 title/text 至少一项非空，并新增回归测试</w:t>
            </w:r>
          </w:p>
        </w:tc>
        <w:tc>
          <w:tcPr>
            <w:tcW w:type="dxa" w:w="20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5,446 段落全部纳入</w:t>
            </w:r>
          </w:p>
        </w:tc>
      </w:tr>
      <w:tr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模型工具导入 MobileCLIP 时被解析器依赖耦合</w:t>
            </w:r>
          </w:p>
        </w:tc>
        <w:tc>
          <w:tcPr>
            <w:tcW w:type="dxa" w:w="4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包级统一服务改为惰性导出</w:t>
            </w:r>
          </w:p>
        </w:tc>
        <w:tc>
          <w:tcPr>
            <w:tcW w:type="dxa" w:w="20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模型环境无需 PDF 依赖</w:t>
            </w:r>
          </w:p>
        </w:tc>
      </w:tr>
      <w:tr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COCO HTTPS 端点证书主机名不匹配</w:t>
            </w:r>
          </w:p>
        </w:tc>
        <w:tc>
          <w:tcPr>
            <w:tcW w:type="dxa" w:w="4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不关闭 TLS 校验，使用官方 HTTP 端点并记录 SHA-256</w:t>
            </w:r>
          </w:p>
        </w:tc>
        <w:tc>
          <w:tcPr>
            <w:tcW w:type="dxa" w:w="20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标注包可审计</w:t>
            </w:r>
          </w:p>
        </w:tc>
      </w:tr>
      <w:tr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COCO 顺序下载过慢</w:t>
            </w:r>
          </w:p>
        </w:tc>
        <w:tc>
          <w:tcPr>
            <w:tcW w:type="dxa" w:w="4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 路并发、原子写入、完整文件复用</w:t>
            </w:r>
          </w:p>
        </w:tc>
        <w:tc>
          <w:tcPr>
            <w:tcW w:type="dxa" w:w="20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200 图准备完成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风险与下周建议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文本 NQ Recall@1 仍偏低；第四周应增加向量库候选召回、查询/文档提示词验证与可选重排。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MobileCLIP 权重与转换产物受研究模型许可约束，发布流程必须继续与代码包分离。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Flutter 端需要按导出契约实现 tokenizer、EOT index、图像归一化和两个独立集合。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建立 ChromaDB 双集合后，增加真实端到端 P50/P95 与索引增量更新测试。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在目标 Windows/Android 设备复测 LiteRT 线程、内存和批大小，避免只依赖开发机数据。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第三周  |  第 </w:t>
    </w:r>
    <w:fldSimple w:instr="PAGE">
      <w:r>
        <w:rPr>
          <w:rFonts w:ascii="Times New Roman" w:hAnsi="Times New Roman" w:eastAsia="Times New Roman"/>
          <w:color w:val="000000"/>
          <w:sz w:val="18"/>
        </w:rPr>
        <w:t>1</w:t>
      </w:r>
    </w:fldSimple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b w:val="0"/>
        <w:i w:val="0"/>
        <w:color w:val="000000"/>
        <w:sz w:val="18"/>
      </w:rPr>
      <w:t>第三周工作周报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/>
        <w:color w:val="000000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Times New Roman" w:hAnsi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 w:line="300" w:lineRule="auto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第三周工作周报</dc:title>
  <dc:subject>第三周多模态嵌入引擎交付文档</dc:subject>
  <dc:creator>Content Retrieval System Team</dc:creator>
  <cp:keywords>multimodal embedding, offline retrieval, week 3</cp:keywords>
  <dc:description>generated by python-docx</dc:description>
  <cp:lastModifiedBy>Content Retrieval System Team</cp:lastModifiedBy>
  <cp:revision>1</cp:revision>
  <dcterms:created xsi:type="dcterms:W3CDTF">2013-12-23T23:15:00Z</dcterms:created>
  <dcterms:modified xsi:type="dcterms:W3CDTF">2013-12-23T23:15:00Z</dcterms:modified>
  <cp:category/>
</cp:coreProperties>
</file>