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VERIFICATION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>多模态嵌入模块测试报告</w:t>
      </w:r>
    </w:p>
    <w:p>
      <w:pPr>
        <w:pStyle w:val="Subtitle"/>
        <w:keepNext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单元测试、回归、覆盖率与离线转换验收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2026-07-26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验收结论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结论：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第三周嵌入引擎通过功能、回归、覆盖率和真实模型一致性验收。统一测试入口共 262 passed、1 skipped；后端覆盖率运行共 242 passed、1 skipped；嵌入包行覆盖率为 86.51%，高于 85% 门槛。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2600"/>
        <w:gridCol w:w="3300"/>
        <w:gridCol w:w="1560"/>
      </w:tblGrid>
      <w:tr>
        <w:trPr>
          <w:tblHeader w:val="true"/>
        </w:trP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质量门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要求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实测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统一回归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无新增失败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262 passed / 1 skipped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嵌入覆盖率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&gt;= 85%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86.51%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 LiteRT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cos &gt;= 0.999; max error &lt;= 1e-4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0.9999999999995; 1.49e-7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 图像 LiteRT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同上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0.9999999980; 9.74e-6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 文本 LiteRT</w:t>
            </w:r>
          </w:p>
        </w:tc>
        <w:tc>
          <w:tcPr>
            <w:tcW w:type="dxa" w:w="26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同上</w:t>
            </w:r>
          </w:p>
        </w:tc>
        <w:tc>
          <w:tcPr>
            <w:tcW w:type="dxa" w:w="3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0.9999999999993; 2.98e-7</w:t>
            </w:r>
          </w:p>
        </w:tc>
        <w:tc>
          <w:tcPr>
            <w:tcW w:type="dxa" w:w="15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覆盖率明细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00"/>
        <w:gridCol w:w="1700"/>
        <w:gridCol w:w="1900"/>
        <w:gridCol w:w="2260"/>
      </w:tblGrid>
      <w:tr>
        <w:trPr>
          <w:tblHeader w:val="true"/>
        </w:trP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模块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语句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未覆盖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覆盖率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__init__.py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58%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manifest.py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112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85%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152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85%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sentence_transformer.py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36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81%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service.py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39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3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text.py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94%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覆盖率报告覆盖 manifest、text、sentence_transformer、mobileclip、service 与包级惰性导出。生产适配器中依赖真实第三方模型的异常分支占主要未覆盖行；核心统一服务达到 100%。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功能测试矩阵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5800"/>
        <w:gridCol w:w="1660"/>
      </w:tblGrid>
      <w:tr>
        <w:trPr>
          <w:tblHeader w:val="true"/>
        </w:trP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模块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主要测试点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判定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模型清单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路径约束、文件/目录哈希、重复 ID、未知 ID、缓存目录忽略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文本分块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页/段定位、重叠窗口、确定性 ID、空文本错误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文本嵌入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批处理、顺序、归一化、维度、零向量、失败隔离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图片/查询双入口、稳定查询 ID、EXIF/RGB、联合空间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统一服务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模态分派、输入位置、局部失败、跨空间拒绝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评测工具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NQ 指标、COCO Recall/median rank、数据装载校验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转换工具</w:t>
            </w:r>
          </w:p>
        </w:tc>
        <w:tc>
          <w:tcPr>
            <w:tcW w:type="dxa" w:w="5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形状、余弦、绝对误差、阈值报告、失败记录</w:t>
            </w:r>
          </w:p>
        </w:tc>
        <w:tc>
          <w:tcPr>
            <w:tcW w:type="dxa" w:w="16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真实模型冒烟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多语言文本模型离线加载成功，输出 384 维，中文/英文相关文本相似度高于无关文本。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MobileCLIP-S0 离线加载成功，图片和查询均输出 512 维单位向量；匹配描述得分高于无关描述。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文本 TFLite 产物约 469.8 MB；MobileCLIP 图像/文本产物约 45.6 MB / 169.8 MB。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LiteRT 基础 TinyModel 冒烟、真实模型转换和参考输出对比均成功。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已知限制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MobileCLIP 上游仍输出 timm.models.layers 弃用提醒，不影响数值和产物。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MobileCLIP 文本模型将 EOT 索引计算放在主机 tokenizer 后处理，TFLite 接收 token IDs 与 EOT index 两个输入。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 个 skipped 来自既有环境依赖条件，不是第三周功能失败。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覆盖率只衡量执行行，不替代真实模型、数据许可和端侧运行验收。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证据与来源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output/week3/embedding-coverage.json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docs/week3/evidence/litert-text-parity.json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docs/week3/evidence/litert-mobileclip-parity.json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pytest.ini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第三周  |  第 </w:t>
    </w:r>
    <w:fldSimple w:instr="PAGE">
      <w:r>
        <w:rPr>
          <w:rFonts w:ascii="Times New Roman" w:hAnsi="Times New Roman" w:eastAsia="Times New Roman"/>
          <w:color w:val="000000"/>
          <w:sz w:val="18"/>
        </w:rPr>
        <w:t>1</w:t>
      </w:r>
    </w:fldSimple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多模态嵌入模块测试报告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多模态嵌入模块测试报告</dc:title>
  <dc:subject>第三周多模态嵌入引擎交付文档</dc:subject>
  <dc:creator>Content Retrieval System Team</dc:creator>
  <cp:keywords>multimodal embedding, offline retrieval, week 3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