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Times New Roman" w:hAnsi="Times New Roman" w:eastAsia="宋体"/>
          <w:b/>
          <w:i w:val="0"/>
          <w:color w:val="000000"/>
          <w:sz w:val="48"/>
        </w:rPr>
        <w:t>UI 可用性测试报告</w:t>
      </w:r>
    </w:p>
    <w:p>
      <w:pPr>
        <w:spacing w:after="560"/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8"/>
        </w:rPr>
        <w:t>本地多模态内容检索系统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状态：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阶段性提交；BLOCKED（0/3 参与者已完成）</w:t>
      </w:r>
    </w:p>
    <w:p>
      <w:pPr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版本：Week 5 Final Draft 1.4</w:t>
      </w:r>
    </w:p>
    <w:p>
      <w:pPr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日期：2026-08-14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应用源码提交：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875bb430f93d11d43b78d738328e633f48f57283</w:t>
      </w:r>
    </w:p>
    <w:p>
      <w:pPr>
        <w:spacing w:before="560"/>
        <w:jc w:val="center"/>
      </w:pPr>
      <w:r>
        <w:rPr>
          <w:rFonts w:ascii="Times New Roman" w:hAnsi="Times New Roman" w:eastAsia="宋体"/>
          <w:b w:val="0"/>
          <w:i/>
          <w:color w:val="000000"/>
          <w:sz w:val="20"/>
        </w:rPr>
        <w:t>本文件如实保留未执行验证项；不得作为 19/19 完成证明。</w:t>
      </w:r>
    </w:p>
    <w:p>
      <w:r>
        <w:br w:type="page"/>
      </w:r>
    </w:p>
    <w:p>
      <w:pPr>
        <w:pStyle w:val="Heading1"/>
      </w:pPr>
      <w:r>
        <w:t>1. 目标与工作流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目标是验证用户能否完成后端状态确认、搜索与筛选、结果打开/复制、索引库添加/进度/重建/移除以及无障碍设置。</w:t>
      </w:r>
    </w:p>
    <w:p>
      <w:pPr>
        <w:pStyle w:val="Heading2"/>
        <w:keepNext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1.1 实际界面与测试任务映射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以下截图来自 Windows 桌面端 Week 5 实际运行环境，用于说明预定任务对应的界面状态；截图仅作为测试准备与界面基线，不替代真实参与者数据。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571875"/>
            <wp:docPr id="1" name="Picture 1" descr="Windows 桌面端搜索主页。左侧为搜索、索引库和设置导航；顶部显示后端在线；主区域包含搜索框、筛选按钮、搜索按钮和初始提示。界面启用深色高对比度与 200% 字号。" title="图 1  搜索主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dows-search-hc-200-read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8"/>
        </w:rPr>
        <w:t>图 1  搜索主页：后端在线、搜索框、筛选入口与初始空状态。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571875"/>
            <wp:docPr id="2" name="Picture 2" descr="Windows 桌面端搜索筛选面板。显示精确、混合和语义检索模式，以及关键词、文本语义、图像语义和内容类型选项。" title="图 2  筛选面板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dows-filter-dialog-hc-2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8"/>
        </w:rPr>
        <w:t>图 2  筛选面板：检索模式、检索通道与内容类型选择。</w:t>
      </w:r>
    </w:p>
    <w:p>
      <w:pPr>
        <w:pStyle w:val="Heading1"/>
      </w:pPr>
      <w:r>
        <w:t>2. 参与者与隐私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P01、P02、P03 尚未招募或完成测试，因此不存在可报告的完成率、耗时、错误数、协助率、引语或 SUS 分数。后续会先获取同意，仅保留匿名标识和任务级数据。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64"/>
        <w:gridCol w:w="2364"/>
        <w:gridCol w:w="2364"/>
        <w:gridCol w:w="2364"/>
      </w:tblGrid>
      <w:tr>
        <w:trPr>
          <w:tblHeader w:val="true"/>
          <w:cantSplit/>
        </w:trPr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参与者</w:t>
            </w:r>
          </w:p>
        </w:tc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状态</w:t>
            </w:r>
          </w:p>
        </w:tc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输入方式</w:t>
            </w:r>
          </w:p>
        </w:tc>
        <w:tc>
          <w:tcPr>
            <w:tcW w:type="dxa" w:w="388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P01</w:t>
            </w:r>
          </w:p>
        </w:tc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待安排</w:t>
            </w:r>
          </w:p>
        </w:tc>
        <w:tc>
          <w:tcPr>
            <w:tcW w:type="dxa" w:w="388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无数据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P02</w:t>
            </w:r>
          </w:p>
        </w:tc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待安排</w:t>
            </w:r>
          </w:p>
        </w:tc>
        <w:tc>
          <w:tcPr>
            <w:tcW w:type="dxa" w:w="388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无数据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P03</w:t>
            </w:r>
          </w:p>
        </w:tc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至少一人纯键盘</w:t>
            </w:r>
          </w:p>
        </w:tc>
        <w:tc>
          <w:tcPr>
            <w:tcW w:type="dxa" w:w="388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无数据</w:t>
            </w:r>
          </w:p>
        </w:tc>
      </w:tr>
    </w:tbl>
    <w:p/>
    <w:p>
      <w:pPr>
        <w:pStyle w:val="Heading1"/>
      </w:pPr>
      <w:r>
        <w:t>3. 预定测试脚本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确认后端连接状态；离线时执行重新检测。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输入查询，切换模式/内容类型，检查空、错误、加载和结果状态。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打开和复制结果，确认错误反馈不泄露内部异常。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选择目录、观察索引进度和失败详情，执行重新索引与从索引移除。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切换主题、高对比度、200% 字号与减少动态效果，保存后重启验证。</w:t>
      </w:r>
    </w:p>
    <w:p>
      <w:pPr>
        <w:pStyle w:val="Heading2"/>
        <w:keepNext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3.1 索引库与无障碍设置界面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571875"/>
            <wp:docPr id="3" name="Picture 3" descr="Windows 桌面端索引库页面。页面显示添加文件夹按钮、刷新按钮、文件计数和索引库为空提示。" title="图 3  索引库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dows-library-empty-hc-2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8"/>
        </w:rPr>
        <w:t>图 3  索引库：文件夹添加入口、刷新操作与空库状态。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571875"/>
            <wp:docPr id="4" name="Picture 4" descr="Windows 桌面端设置页面。深色主题、高对比度、200% 文字大小和减少动态效果均处于启用状态，并提供恢复默认设置与保存设置按钮。" title="图 4  无障碍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dows-settings-hc-200-bott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8"/>
        </w:rPr>
        <w:t>图 4  无障碍设置：深色主题、高对比度、200% 字号与减少动态效果。</w:t>
      </w:r>
    </w:p>
    <w:p>
      <w:pPr>
        <w:pStyle w:val="Heading1"/>
        <w:pageBreakBefore/>
      </w:pPr>
      <w:r>
        <w:t>4. 成功标准与记录字段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29"/>
        <w:gridCol w:w="4729"/>
      </w:tblGrid>
      <w:tr>
        <w:trPr>
          <w:tblHeader w:val="true"/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字段</w:t>
            </w:r>
          </w:p>
        </w:tc>
        <w:tc>
          <w:tcPr>
            <w:tcW w:type="dxa" w:w="784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记录规则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任务成功</w:t>
            </w:r>
          </w:p>
        </w:tc>
        <w:tc>
          <w:tcPr>
            <w:tcW w:type="dxa" w:w="784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独立完成/协助后完成/失败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时间</w:t>
            </w:r>
          </w:p>
        </w:tc>
        <w:tc>
          <w:tcPr>
            <w:tcW w:type="dxa" w:w="784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每项秒数；报告原始值与中位数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错误</w:t>
            </w:r>
          </w:p>
        </w:tc>
        <w:tc>
          <w:tcPr>
            <w:tcW w:type="dxa" w:w="784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误操作与恢复方式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协助</w:t>
            </w:r>
          </w:p>
        </w:tc>
        <w:tc>
          <w:tcPr>
            <w:tcW w:type="dxa" w:w="784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主持人提示次数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发现</w:t>
            </w:r>
          </w:p>
        </w:tc>
        <w:tc>
          <w:tcPr>
            <w:tcW w:type="dxa" w:w="784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严重度、页面、复现、建议</w:t>
            </w:r>
          </w:p>
        </w:tc>
      </w:tr>
    </w:tbl>
    <w:p/>
    <w:p>
      <w:pPr>
        <w:pStyle w:val="Heading1"/>
      </w:pPr>
      <w:r>
        <w:t>5. 当前可报告发现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代码和自动化审查已确认三页功能、响应状态和无障碍设置存在，但这些不是参与者可用性证据。当前唯一有效结论是可用性验收尚未完成。</w:t>
      </w:r>
    </w:p>
    <w:p>
      <w:pPr>
        <w:pStyle w:val="Heading1"/>
      </w:pPr>
      <w:r>
        <w:t>6. 后续执行与接受决定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完成三场主持式测试，其中至少一场全程纯键盘；汇总三个原始时间值、中位数、错误数和协助情况；修复重要问题后重测。完成前报告保持草稿和 BLOCKED。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52" w:right="1224" w:bottom="1152" w:left="1224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color w:val="000000"/>
        <w:sz w:val="18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i w:val="0"/>
        <w:color w:val="000000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left="0" w:right="0" w:firstLine="0"/>
      <w:jc w:val="left"/>
    </w:pPr>
    <w:r>
      <w:rPr>
        <w:rFonts w:ascii="Times New Roman" w:hAnsi="Times New Roman" w:eastAsia="宋体"/>
        <w:b w:val="0"/>
        <w:i w:val="0"/>
        <w:color w:val="000000"/>
        <w:sz w:val="18"/>
      </w:rPr>
      <w:t>Week 5 可用性报告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宋体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