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WEEKLY DELIVERY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52"/>
        </w:rPr>
        <w:t>第七周工作周报</w:t>
      </w:r>
    </w:p>
    <w:p>
      <w:pPr>
        <w:pStyle w:val="Subtitle"/>
      </w:pPr>
      <w:r>
        <w:rPr>
          <w:rFonts w:ascii="Times New Roman" w:hAnsi="Times New Roman" w:eastAsia="Times New Roman" w:cs="Times New Roman"/>
          <w:color w:val="000000"/>
          <w:sz w:val="26"/>
        </w:rPr>
        <w:t>开源合规、UI/UX 完善、演示准备与检索优化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项目: </w:t>
      </w:r>
      <w:r>
        <w:rPr>
          <w:rFonts w:ascii="Times New Roman" w:hAnsi="Times New Roman" w:eastAsia="Times New Roman" w:cs="Times New Roman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版本: </w:t>
      </w:r>
      <w:r>
        <w:rPr>
          <w:rFonts w:ascii="Times New Roman" w:hAnsi="Times New Roman" w:eastAsia="Times New Roman" w:cs="Times New Roman"/>
          <w:color w:val="000000"/>
          <w:sz w:val="21"/>
        </w:rPr>
        <w:t>主分支 e822a5e（已合入检索优化）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周期: </w:t>
      </w:r>
      <w:r>
        <w:rPr>
          <w:rFonts w:ascii="Times New Roman" w:hAnsi="Times New Roman" w:eastAsia="Times New Roman" w:cs="Times New Roman"/>
          <w:color w:val="000000"/>
          <w:sz w:val="21"/>
        </w:rPr>
        <w:t>2026-08-19 至 2026-08-26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状态: </w:t>
      </w:r>
      <w:r>
        <w:rPr>
          <w:rFonts w:ascii="Times New Roman" w:hAnsi="Times New Roman" w:eastAsia="Times New Roman" w:cs="Times New Roman"/>
          <w:color w:val="000000"/>
          <w:sz w:val="21"/>
        </w:rPr>
        <w:t>合规、UI、演示资料、文档与检索优化均完成；第七周提交已封版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1. 本周概览</w:t>
      </w: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本周围绕项目最终展示与交付收口推进：完成开源合规门禁、最终 UI/UX 与无障碍完善、五格式可复现演示数据和五分钟脚本，补齐架构、API、维护与用户文档，并完成中文检索、弱相关过滤、质量感知排序和一键启动反馈优化，全部进入主分支封版。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type="dxa" w:w="120"/>
      </w:tblPr>
      <w:tblGrid>
        <w:gridCol w:w="2300"/>
        <w:gridCol w:w="1300"/>
        <w:gridCol w:w="5760"/>
      </w:tblGrid>
      <w:tr>
        <w:trPr>
          <w:tblHeader w:val="true"/>
          <w:cantSplit w:val="true"/>
        </w:trPr>
        <w:tc>
          <w:tcPr>
            <w:tcW w:type="dxa" w:w="2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工作流</w:t>
            </w:r>
          </w:p>
        </w:tc>
        <w:tc>
          <w:tcPr>
            <w:tcW w:type="dxa" w:w="1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57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关键产出</w:t>
            </w:r>
          </w:p>
        </w:tc>
      </w:tr>
      <w:tr>
        <w:trPr>
          <w:trHeight w:hRule="auto"/>
          <w:cantSplit w:val="true"/>
        </w:trPr>
        <w:tc>
          <w:tcPr>
            <w:tcW w:type="dxa" w:w="2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开源合规</w:t>
            </w:r>
          </w:p>
        </w:tc>
        <w:tc>
          <w:tcPr>
            <w:tcW w:type="dxa" w:w="1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  <w:tc>
          <w:tcPr>
            <w:tcW w:type="dxa" w:w="57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Apache 2.0、锁文件依赖清单、许可证批准表、第三方通知与发布归档门禁</w:t>
            </w:r>
          </w:p>
        </w:tc>
      </w:tr>
      <w:tr>
        <w:trPr>
          <w:trHeight w:hRule="auto"/>
          <w:cantSplit w:val="true"/>
        </w:trPr>
        <w:tc>
          <w:tcPr>
            <w:tcW w:type="dxa" w:w="2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最终 UI/UX</w:t>
            </w:r>
          </w:p>
        </w:tc>
        <w:tc>
          <w:tcPr>
            <w:tcW w:type="dxa" w:w="1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  <w:tc>
          <w:tcPr>
            <w:tcW w:type="dxa" w:w="57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统一工作区结构，完善搜索、索引库和设置状态、键盘流程、焦点与无障碍文案</w:t>
            </w:r>
          </w:p>
        </w:tc>
      </w:tr>
      <w:tr>
        <w:trPr>
          <w:trHeight w:hRule="auto"/>
          <w:cantSplit w:val="true"/>
        </w:trPr>
        <w:tc>
          <w:tcPr>
            <w:tcW w:type="dxa" w:w="2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演示准备</w:t>
            </w:r>
          </w:p>
        </w:tc>
        <w:tc>
          <w:tcPr>
            <w:tcW w:type="dxa" w:w="1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  <w:tc>
          <w:tcPr>
            <w:tcW w:type="dxa" w:w="57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五格式固定数据、严格 MANIFEST、五分钟九段式脚本与独立预演目录</w:t>
            </w:r>
          </w:p>
        </w:tc>
      </w:tr>
      <w:tr>
        <w:trPr>
          <w:trHeight w:hRule="auto"/>
          <w:cantSplit w:val="true"/>
        </w:trPr>
        <w:tc>
          <w:tcPr>
            <w:tcW w:type="dxa" w:w="2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文档交付</w:t>
            </w:r>
          </w:p>
        </w:tc>
        <w:tc>
          <w:tcPr>
            <w:tcW w:type="dxa" w:w="1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  <w:tc>
          <w:tcPr>
            <w:tcW w:type="dxa" w:w="57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架构说明、HTTP API 参考、维护指南和用户手册</w:t>
            </w:r>
          </w:p>
        </w:tc>
      </w:tr>
      <w:tr>
        <w:trPr>
          <w:trHeight w:hRule="auto"/>
          <w:cantSplit w:val="true"/>
        </w:trPr>
        <w:tc>
          <w:tcPr>
            <w:tcW w:type="dxa" w:w="2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检索与启动体验</w:t>
            </w:r>
          </w:p>
        </w:tc>
        <w:tc>
          <w:tcPr>
            <w:tcW w:type="dxa" w:w="13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  <w:tc>
          <w:tcPr>
            <w:tcW w:type="dxa" w:w="57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中文短语检索、语义阈值、质量感知融合、启动进度与日志反馈</w:t>
            </w:r>
          </w:p>
        </w:tc>
      </w:tr>
    </w:tbl>
    <w:p>
      <w:pPr>
        <w:spacing w:before="0" w:after="0" w:line="120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2. 逐项完成情况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2.1 开源合规与发布归档门禁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项目采用 Apache License 2.0，并建立基于 Python 与 Flutter 锁文件的依赖清单门禁，统一核对精确版本、来源、许可证表达式与批准状态。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合规清单覆盖 4 套 Python 环境与 1 套 Flutter 环境，共 383 条锁定依赖记录，未出现待人工复核项。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发布归档强制包含 LICENSE、NOTICE、THIRD_PARTY_NOTICES 与依赖许可证清单，并校验生成式第三方通知内容，防止清单与锁文件数量漂移。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2.2 最终 UI/UX、键盘与无障碍收口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统一搜索、索引库和设置页的工作区呈现组件，明确在线、检查中、离线、加载、更新、空结果与失败状态。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分别约束新搜索与筛选更新的结果保留范围，避免旧结果或旧错误被误认为当前查询结果。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索引库文件操作改为键盘可达并串行执行，修复隐藏页面焦点恢复、设置保存反馈和错误焦点问题。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补齐响应式布局、200% 文本缩放、语义标签、稳定中文提示与搜索重试回归，并统一 Windows、macOS、Linux 的资料文件夹选择文案。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2.3 可复现演示数据与五分钟成片脚本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建立 TXT、PDF、DOCX、JPG、PNG 五种格式的固定演示数据集和严格 MANIFEST，覆盖关键词、文本语义、图像语义与混合检索场景。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演示数据生成器使用锁定依赖，支持失败原子回滚、安全重建、未知文件保留、硬链接保护和中断恢复。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五分钟脚本细分为九个连续时间段，覆盖启动检查、索引、跨模态检索、过滤、文件操作、离线异常与价值总结，并为预演和正式录制使用独立数据目录。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2.4 架构、API、维护与用户文档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完成《架构深度说明》，描述信任边界、模块分层、运行时生命周期、摄取与索引流程、双向量空间、文件级 RRF、并发一致性和前端集成。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完成《HTTP API 参考》，覆盖健康检查、摄取、索引任务、索引目录、搜索、统计、错误矩阵与兼容性规则。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完成维护指南与用户手册，覆盖环境刷新、测试门禁、备份恢复、故障诊断、首次检索、索引管理、异常恢复、键盘操作和隐私边界。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2.5 检索相关性与一键启动体验优化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主分支 e822a5e 为中文连续文本增加单字与相邻双字词元，查询侧优先使用中文双字短语，减少仅共享一个汉字造成的误匹配。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文本和图像语义通道分别设置最低得分阈值，排序融合调整为名次与通道内相对质量结合，过滤明显弱相关候选并保持强命中靠前。</w:t>
      </w:r>
    </w:p>
    <w:p>
      <w:pPr>
        <w:pStyle w:val="ListBullet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Windows 一键启动器增加启动进度窗口、基于包路径的单实例互斥、实时日志落盘和失败提示，降低首次加载期间重复双击与无反馈问题。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3. 验收结果</w:t>
      </w: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按第七周研发任务范围统计，共记录 46 次实现提交（不含周报与提交包封版提交）；演示、合规、检索相关性和 Flutter 搜索页专项复核共 150 项测试通过。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type="dxa" w:w="120"/>
      </w:tblPr>
      <w:tblGrid>
        <w:gridCol w:w="3100"/>
        <w:gridCol w:w="4260"/>
        <w:gridCol w:w="2000"/>
      </w:tblGrid>
      <w:tr>
        <w:trPr>
          <w:tblHeader w:val="true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结果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判定</w:t>
            </w:r>
          </w:p>
        </w:tc>
      </w:tr>
      <w:tr>
        <w:trPr>
          <w:trHeight w:hRule="auto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第七周提交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第七周研发范围共 46 次实现提交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</w:tr>
      <w:tr>
        <w:trPr>
          <w:trHeight w:hRule="auto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演示材料与数据生成器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33 项测试通过，覆盖脚本时序、真实 UI 文案、五格式内容、原子发布与恢复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通过</w:t>
            </w:r>
          </w:p>
        </w:tc>
      </w:tr>
      <w:tr>
        <w:trPr>
          <w:trHeight w:hRule="auto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开源合规清单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8 项测试通过；383 条锁定依赖记录与生成通知一致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通过</w:t>
            </w:r>
          </w:p>
        </w:tc>
      </w:tr>
      <w:tr>
        <w:trPr>
          <w:trHeight w:hRule="auto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后端检索专项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38 项测试通过；中文短语、最低语义得分、质量感知融合与 Chroma 查询均通过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通过</w:t>
            </w:r>
          </w:p>
        </w:tc>
      </w:tr>
      <w:tr>
        <w:trPr>
          <w:trHeight w:hRule="auto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Flutter 搜索页专项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71 项测试通过；含 Ctrl+K 可编辑区域、重试状态与多尺寸布局回归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通过</w:t>
            </w:r>
          </w:p>
        </w:tc>
      </w:tr>
      <w:tr>
        <w:trPr>
          <w:trHeight w:hRule="auto"/>
          <w:cantSplit w:val="true"/>
        </w:trPr>
        <w:tc>
          <w:tcPr>
            <w:tcW w:type="dxa" w:w="31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文档交付</w:t>
            </w:r>
          </w:p>
        </w:tc>
        <w:tc>
          <w:tcPr>
            <w:tcW w:type="dxa" w:w="42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架构、API、维护、用户手册共 4 项正式文档完成</w:t>
            </w:r>
          </w:p>
        </w:tc>
        <w:tc>
          <w:tcPr>
            <w:tcW w:type="dxa" w:w="20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完成</w:t>
            </w:r>
          </w:p>
        </w:tc>
      </w:tr>
    </w:tbl>
    <w:p>
      <w:pPr>
        <w:spacing w:before="0" w:after="0" w:line="120" w:lineRule="auto"/>
      </w:pP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检索优化已以 e822a5e 合入主分支；合入前在干净 detached worktree 完成全量回归，Python 主套件 464 项、启动/打包与合规 124 项、演示 33 项、Flutter 249 项全部通过，另有 1 项按设计跳过，共 870 项通过。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4. 问题与解决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4.1 演示数据重建的安全边界</w:t>
      </w: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强制重建若直接覆盖非本工具拥有的目录，可能破坏未知文件；替换过程中断也可能留下新旧文件混合状态。本周通过严格所有权清单、空目录与来源校验、原子替换、备份恢复、硬链接保护和中断回滚约束失败路径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4.2 预演状态污染与脚本可执行性</w:t>
      </w: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沿用预演窗口或旧查询会使正式录制出现非空索引、旧筛选条件和错误镜头时序。本周将预演与录制切换为独立、顺序启动的数据目录，切换后重启 Flutter controller，并在录制前验证索引库为空且回到搜索首页。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4.3 中文检索误命中与弱相关结果</w:t>
      </w: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逐字中文分词和纯名次融合会放大单字重叠与弱语义候选。本周增加连续中文双字词元、查询短语去重、语义最低分过滤和通道内相对质量权重，使强命中保持在结果前列。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4.4 一键启动缺少即时反馈</w:t>
      </w:r>
    </w:p>
    <w:p>
      <w:pPr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首次加载本地模型耗时较长，用户容易重复双击，且后台输出在进程结束前不可见。本周增加启动进度窗口与单实例互斥，持续写入 launcher.log，并在启动失败时给出日志路径和错误信息。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5. 代码与交付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type="dxa" w:w="120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71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内容</w:t>
            </w:r>
          </w:p>
        </w:tc>
      </w:tr>
      <w:tr>
        <w:trPr>
          <w:trHeight w:hRule="auto"/>
          <w:cantSplit w:val="true"/>
        </w:trPr>
        <w:tc>
          <w:tcPr>
            <w:tcW w:type="dxa" w:w="22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源码</w:t>
            </w:r>
          </w:p>
        </w:tc>
        <w:tc>
          <w:tcPr>
            <w:tcW w:type="dxa" w:w="71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主分支 e822a5e：开源合规、最终 UI 收口、演示材料、文档、中文短语、语义阈值、质量感知 RRF 与启动体验优化</w:t>
            </w:r>
          </w:p>
        </w:tc>
      </w:tr>
      <w:tr>
        <w:trPr>
          <w:trHeight w:hRule="auto"/>
          <w:cantSplit w:val="true"/>
        </w:trPr>
        <w:tc>
          <w:tcPr>
            <w:tcW w:type="dxa" w:w="22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测试</w:t>
            </w:r>
          </w:p>
        </w:tc>
        <w:tc>
          <w:tcPr>
            <w:tcW w:type="dxa" w:w="71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演示 33 项、合规 8 项、后端检索 38 项、Flutter 搜索页 71 项，共 150 项专项测试通过</w:t>
            </w:r>
          </w:p>
        </w:tc>
      </w:tr>
      <w:tr>
        <w:trPr>
          <w:trHeight w:hRule="auto"/>
          <w:cantSplit w:val="true"/>
        </w:trPr>
        <w:tc>
          <w:tcPr>
            <w:tcW w:type="dxa" w:w="22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演示</w:t>
            </w:r>
          </w:p>
        </w:tc>
        <w:tc>
          <w:tcPr>
            <w:tcW w:type="dxa" w:w="71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demo-data/project-demo 五格式数据与 MANIFEST；docs/demo 五分钟脚本和执行说明</w:t>
            </w:r>
          </w:p>
        </w:tc>
      </w:tr>
      <w:tr>
        <w:trPr>
          <w:trHeight w:hRule="auto"/>
          <w:cantSplit w:val="true"/>
        </w:trPr>
        <w:tc>
          <w:tcPr>
            <w:tcW w:type="dxa" w:w="22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文档</w:t>
            </w:r>
          </w:p>
        </w:tc>
        <w:tc>
          <w:tcPr>
            <w:tcW w:type="dxa" w:w="71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ARCHITECTURE.md、API_REFERENCE.md、MAINTENANCE_GUIDE.md、本地内容检索系统用户手册.docx</w:t>
            </w:r>
          </w:p>
        </w:tc>
      </w:tr>
      <w:tr>
        <w:trPr>
          <w:trHeight w:hRule="auto"/>
          <w:cantSplit w:val="true"/>
        </w:trPr>
        <w:tc>
          <w:tcPr>
            <w:tcW w:type="dxa" w:w="220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一致性</w:t>
            </w:r>
          </w:p>
        </w:tc>
        <w:tc>
          <w:tcPr>
            <w:tcW w:type="dxa" w:w="7160"/>
            <w:vAlign w:val="center"/>
            <w:shd w:val="clear"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>周报数据、交付文档与主分支 e822a5e 已按第七周任务范围统一；提交包清单与 SHA-256 见 submission 目录</w:t>
            </w:r>
          </w:p>
        </w:tc>
      </w:tr>
    </w:tbl>
    <w:p>
      <w:pPr>
        <w:spacing w:before="0" w:after="0" w:line="120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6. 下周建议</w:t>
      </w:r>
    </w:p>
    <w:p>
      <w:pPr>
        <w:pStyle w:val="ListNumber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以 e822a5e 为第七周源码基线，在 Week 8 发布候选上执行后端全量、Flutter 全量、Windows Release 与真实五格式端到端回归，确认打包后行为与源码一致。</w:t>
      </w:r>
    </w:p>
    <w:p>
      <w:pPr>
        <w:pStyle w:val="ListNumber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按五分钟九段式脚本完成至少两轮完整预演和正式录制，核对画面时序、旁白预算、离线异常片段、检索结果与结尾价值总结。</w:t>
      </w:r>
    </w:p>
    <w:p>
      <w:pPr>
        <w:pStyle w:val="ListNumber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补充中文查询集和弱相关样例的离线排序评测，比较优化前后的 Top-K 结果与现有 NQ/COCO 指标。</w:t>
      </w:r>
    </w:p>
    <w:p>
      <w:pPr>
        <w:pStyle w:val="ListNumber"/>
        <w:keepLines w:val="0"/>
      </w:pPr>
      <w:r>
        <w:rPr>
          <w:rFonts w:ascii="Times New Roman" w:hAnsi="Times New Roman" w:eastAsia="Times New Roman" w:cs="Times New Roman"/>
          <w:color w:val="000000"/>
          <w:sz w:val="22"/>
        </w:rPr>
        <w:t>在 Week 8 形成最终发布候选，将最终提交号、交付清单和 SHA-256 同步到架构、API、维护和用户手册。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right"/>
    </w:pPr>
    <w:r>
      <w:rPr>
        <w:rFonts w:ascii="Times New Roman" w:hAnsi="Times New Roman" w:eastAsia="Times New Roman" w:cs="Times New Roman"/>
        <w:color w:val="000000"/>
        <w:sz w:val="18"/>
      </w:rPr>
      <w:t xml:space="preserve">第七周 | 第 </w:t>
    </w:r>
    <w:r>
      <w:rPr>
        <w:rFonts w:ascii="Times New Roman" w:hAnsi="Times New Roman" w:eastAsia="Times New Roman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left"/>
    </w:pPr>
    <w:r>
      <w:rPr>
        <w:rFonts w:ascii="Times New Roman" w:hAnsi="Times New Roman" w:eastAsia="Times New Roman" w:cs="Times New Roman"/>
        <w:color w:val="000000"/>
        <w:sz w:val="20"/>
      </w:rPr>
      <w:t>第七周工作周报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276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4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000000"/>
      </w:pBdr>
      <w:spacing w:after="160" w:line="24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40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8" w:lineRule="auto"/>
      <w:contextualSpacing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8" w:lineRule="auto"/>
      <w:contextualSpacing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第七周工作周报</dc:title>
  <dc:subject>开源合规、UI/UX 完善、演示准备与检索优化</dc:subject>
  <dc:creator>SHE3232</dc:creator>
  <cp:keywords>周报, 本地内容检索, 开源合规, UI, 演示, 检索优化</cp:keywords>
  <dc:description>generated by python-docx</dc:description>
  <cp:lastModifiedBy/>
  <cp:revision>1</cp:revision>
  <dcterms:created xsi:type="dcterms:W3CDTF">2013-12-23T23:15:00Z</dcterms:created>
  <dcterms:modified xsi:type="dcterms:W3CDTF">2026-08-14T11:35:59Z</dcterms:modified>
  <cp:category/>
</cp:coreProperties>
</file>