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>WEEK 2 · FORMAL DELIVERABLE</w:t>
      </w:r>
    </w:p>
    <w:p>
      <w:pPr>
        <w:pStyle w:val="Title"/>
        <w:spacing w:after="160"/>
      </w:pPr>
      <w:r>
        <w:rPr>
          <w:rFonts w:ascii="Times New Roman" w:hAnsi="Times New Roman" w:eastAsia="Times New Roman" w:cs="Times New Roman"/>
          <w:b/>
          <w:color w:val="000000"/>
          <w:sz w:val="56"/>
        </w:rPr>
        <w:t>系统架构设计</w:t>
      </w:r>
    </w:p>
    <w:p>
      <w:pPr>
        <w:pStyle w:val="Subtitle"/>
        <w:spacing w:after="440"/>
      </w:pPr>
      <w:r>
        <w:rPr>
          <w:rFonts w:ascii="Times New Roman" w:hAnsi="Times New Roman" w:eastAsia="Times New Roman" w:cs="Times New Roman"/>
          <w:color w:val="000000"/>
          <w:sz w:val="28"/>
        </w:rPr>
        <w:t>离线无障碍多模态本地内容检索系统</w:t>
      </w:r>
    </w:p>
    <w:p>
      <w:pPr>
        <w:spacing w:after="60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文档编号：</w:t>
      </w:r>
      <w:r>
        <w:rPr>
          <w:rFonts w:ascii="Times New Roman" w:hAnsi="Times New Roman" w:eastAsia="Times New Roman" w:cs="Times New Roman"/>
          <w:color w:val="000000"/>
          <w:sz w:val="20"/>
        </w:rPr>
        <w:t>W2-ARCH-01</w:t>
      </w:r>
    </w:p>
    <w:p>
      <w:pPr>
        <w:spacing w:after="60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文档状态：</w:t>
      </w:r>
      <w:r>
        <w:rPr>
          <w:rFonts w:ascii="Times New Roman" w:hAnsi="Times New Roman" w:eastAsia="Times New Roman" w:cs="Times New Roman"/>
          <w:color w:val="000000"/>
          <w:sz w:val="20"/>
        </w:rPr>
        <w:t>正式交付版 v1.0</w:t>
      </w:r>
    </w:p>
    <w:p>
      <w:pPr>
        <w:spacing w:after="60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基线日期：</w:t>
      </w:r>
      <w:r>
        <w:rPr>
          <w:rFonts w:ascii="Times New Roman" w:hAnsi="Times New Roman" w:eastAsia="Times New Roman" w:cs="Times New Roman"/>
          <w:color w:val="000000"/>
          <w:sz w:val="20"/>
        </w:rPr>
        <w:t>2026-07-19</w:t>
      </w:r>
    </w:p>
    <w:p>
      <w:pPr>
        <w:spacing w:after="60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项目阶段：</w:t>
      </w:r>
      <w:r>
        <w:rPr>
          <w:rFonts w:ascii="Times New Roman" w:hAnsi="Times New Roman" w:eastAsia="Times New Roman" w:cs="Times New Roman"/>
          <w:color w:val="000000"/>
          <w:sz w:val="20"/>
        </w:rPr>
        <w:t>第 2 周：系统结构与文件解析基础</w:t>
      </w:r>
    </w:p>
    <w:p>
      <w:pPr>
        <w:spacing w:after="60"/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覆盖范围：</w:t>
      </w:r>
      <w:r>
        <w:rPr>
          <w:rFonts w:ascii="Times New Roman" w:hAnsi="Times New Roman" w:eastAsia="Times New Roman" w:cs="Times New Roman"/>
          <w:color w:val="000000"/>
          <w:sz w:val="20"/>
        </w:rPr>
        <w:t>架构图、模块职责、数据流、IPC、异常处理与实际完成状态</w:t>
      </w:r>
    </w:p>
    <w:p>
      <w:pPr>
        <w:spacing w:before="120" w:after="200" w:line="264" w:lineRule="auto"/>
        <w:ind w:left="173" w:right="115"/>
        <w:shd w:fill="FFFFFF" w:color="auto"/>
        <w:pBdr>
          <w:left w:val="single" w:sz="18" w:color="000000"/>
        </w:pBdr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交付摘要  </w:t>
      </w:r>
      <w:r>
        <w:rPr>
          <w:rFonts w:ascii="Times New Roman" w:hAnsi="Times New Roman" w:eastAsia="Times New Roman" w:cs="Times New Roman"/>
          <w:color w:val="000000"/>
          <w:sz w:val="21"/>
        </w:rPr>
        <w:t>第 2 周后端解析主链路已经形成并通过自动化验证；Flutter IPC 客户端、取消、关闭、令牌鉴权、动态端口与 Embedding/ChromaDB 接入仍属于后续工作。</w:t>
      </w:r>
    </w:p>
    <w:p>
      <w:pPr>
        <w:spacing w:before="520"/>
      </w:pPr>
      <w:r>
        <w:rPr>
          <w:rFonts w:ascii="Times New Roman" w:hAnsi="Times New Roman" w:eastAsia="Times New Roman" w:cs="Times New Roman"/>
          <w:i/>
          <w:color w:val="000000"/>
          <w:sz w:val="18"/>
        </w:rPr>
        <w:t>编制依据：当前仓库代码、自动化测试、数据集清单与项目周次计划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1. 文档目的与基线</w:t>
      </w:r>
    </w:p>
    <w:p>
      <w:pPr>
        <w:spacing w:after="120" w:line="264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>本文档把第 2 周原有“实现前架构基线”更新为</w:t>
      </w:r>
      <w:r>
        <w:rPr>
          <w:rFonts w:ascii="Times New Roman" w:hAnsi="Times New Roman" w:eastAsia="Times New Roman" w:cs="Times New Roman"/>
          <w:b/>
          <w:color w:val="000000"/>
          <w:sz w:val="22"/>
        </w:rPr>
        <w:t>当前仓库实际架构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。所有“已实现”结论均能在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backend/src/content_retrieval/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 或自动化测试中找到对应依据；未落地能力明确标为“部分完成”或“计划中”。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53"/>
        <w:gridCol w:w="7207"/>
      </w:tblGrid>
      <w:tr>
        <w:trPr>
          <w:cantSplit/>
          <w:tblHeader w:val="true"/>
        </w:trPr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项</w:t>
            </w:r>
          </w:p>
        </w:tc>
        <w:tc>
          <w:tcPr>
            <w:tcW w:type="dxa" w:w="7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基线日期</w:t>
            </w:r>
          </w:p>
        </w:tc>
        <w:tc>
          <w:tcPr>
            <w:tcW w:type="dxa" w:w="7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2026-07-19</w:t>
            </w:r>
          </w:p>
        </w:tc>
      </w:tr>
      <w:tr>
        <w:trPr>
          <w:cantSplit/>
        </w:trPr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当前主链路</w:t>
            </w:r>
          </w:p>
        </w:tc>
        <w:tc>
          <w:tcPr>
            <w:tcW w:type="dxa" w:w="7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本地路径 → FastAPI 任务 → BatchIngestionService → ParserRegistry → 具体 Parser → ParseResult/BatchResult</w:t>
            </w:r>
          </w:p>
        </w:tc>
      </w:tr>
      <w:tr>
        <w:trPr>
          <w:cantSplit/>
        </w:trPr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支持格式</w:t>
            </w:r>
          </w:p>
        </w:tc>
        <w:tc>
          <w:tcPr>
            <w:tcW w:type="dxa" w:w="7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TXT、PDF、DOCX、JPG/JPEG、PNG</w:t>
            </w:r>
          </w:p>
        </w:tc>
      </w:tr>
      <w:tr>
        <w:trPr>
          <w:cantSplit/>
        </w:trPr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边界</w:t>
            </w:r>
          </w:p>
        </w:tc>
        <w:tc>
          <w:tcPr>
            <w:tcW w:type="dxa" w:w="7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本周不包含向量生成、ChromaDB 检索、Flutter 页面接入、OCR 和发布打包</w:t>
            </w:r>
          </w:p>
        </w:tc>
      </w:tr>
    </w:tbl>
    <w:p>
      <w:pPr>
        <w:spacing w:after="40"/>
      </w:pPr>
    </w:p>
    <w:p>
      <w:pPr>
        <w:spacing w:before="120" w:after="200" w:line="264" w:lineRule="auto"/>
        <w:ind w:left="173" w:right="115"/>
        <w:shd w:fill="FFFFFF" w:color="auto"/>
        <w:pBdr>
          <w:left w:val="single" w:sz="18" w:color="000000"/>
        </w:pBdr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结论  </w:t>
      </w:r>
      <w:r>
        <w:rPr>
          <w:rFonts w:ascii="Times New Roman" w:hAnsi="Times New Roman" w:eastAsia="Times New Roman" w:cs="Times New Roman"/>
          <w:color w:val="000000"/>
          <w:sz w:val="21"/>
        </w:rPr>
        <w:t>后端文件解析与最小任务 API 已可独立使用；系统尚未达到“桌面端可操作 MVP”，因为前端 IPC 和运行期管理能力未接通。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1.1 架构约束原则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>本地优先：解析器只读取用户授权的本地路径，不接受远程 URL。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>职责隔离：API 管理契约，服务管理批次，解析器只负责格式内容提取。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>确定性与可复现：路径排序、编码规则和 SHA-256 去重保持稳定。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>安全失败：单文件错误不终止批次，未知异常不直接暴露第三方内部文本。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2. 总体架构与依赖方向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345478"/>
            <wp:docPr id="1" name="Picture 1" title="图 1  当前系统架构与后续扩展边界" descr="当前系统以 FastAPI 为入口，使用内存任务仓储和批量解析服务，经注册表路由到 TXT、PDF、DOCX 和图片解析器；DOCX 依赖本机 Tika。Flutter、Embedding 和 ChromaDB 标为计划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45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color w:val="000000"/>
          <w:sz w:val="18"/>
        </w:rPr>
        <w:t>图 1  当前系统架构与后续扩展边界</w:t>
      </w:r>
    </w:p>
    <w:p>
      <w:pPr>
        <w:spacing w:after="120" w:line="264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 xml:space="preserve">代码依赖方向为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api → services → domain/parsers</w:t>
      </w:r>
      <w:r>
        <w:rPr>
          <w:rFonts w:ascii="Times New Roman" w:hAnsi="Times New Roman" w:eastAsia="Times New Roman" w:cs="Times New Roman"/>
          <w:color w:val="000000"/>
          <w:sz w:val="22"/>
        </w:rPr>
        <w:t>。API 层不直接调用 PDFium、Pillow 或 Tika；外部库被限制在具体解析器与 Tika 适配器内。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ParseResult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 和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BatchResult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 是当前统一契约，原设计中的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ParsedDocument + segments/assets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 尚未实现。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>蓝色模块属于当前后端实现；黄色表示受管范围之外的本机依赖；灰色表示后续周能力。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>当前任务 API 已验证请求响应契约，但尚未验证真实网络绑定、启动握手和鉴权。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>Embedding 将消费解析结果，不应反向改变 TXT/PDF/DOCX/图片解析器的职责。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3. 模块职责与实际完成状态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91"/>
        <w:gridCol w:w="2621"/>
        <w:gridCol w:w="1217"/>
        <w:gridCol w:w="3931"/>
      </w:tblGrid>
      <w:tr>
        <w:trPr>
          <w:cantSplit/>
          <w:tblHeader w:val="true"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6"/>
              </w:rPr>
              <w:t>模块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6"/>
              </w:rPr>
              <w:t>职责</w:t>
            </w:r>
          </w:p>
        </w:tc>
        <w:tc>
          <w:tcPr>
            <w:tcW w:type="dxa" w:w="1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6"/>
              </w:rPr>
              <w:t>状态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6"/>
              </w:rPr>
              <w:t>当前事实 / 限制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Flutter 前端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文件选择、进度、错误展示</w:t>
            </w:r>
          </w:p>
        </w:tc>
        <w:tc>
          <w:tcPr>
            <w:tcW w:type="dxa" w:w="1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部分完成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桌面脚手架存在；LocalBackendClient、导入页面和后端进程管理未实现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FastAPI 应用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装配服务、注册路由</w:t>
            </w:r>
          </w:p>
        </w:tc>
        <w:tc>
          <w:tcPr>
            <w:tcW w:type="dxa" w:w="1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已完成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提供 2 个健康接口和 2 个任务接口；默认最大文件 100 MiB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Job Store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保存任务状态快照</w:t>
            </w:r>
          </w:p>
        </w:tc>
        <w:tc>
          <w:tcPr>
            <w:tcW w:type="dxa" w:w="1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已完成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线程安全、进程内存储；重启后丢失，无取消状态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BatchIngestionService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路径展开、授权、大小检查、SHA-256 去重、错误隔离</w:t>
            </w:r>
          </w:p>
        </w:tc>
        <w:tc>
          <w:tcPr>
            <w:tcW w:type="dxa" w:w="1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已完成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批内顺序解析；没有工作队列、并发上限和实时进度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ParserRegistry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按 MIME/扩展名选择解析器</w:t>
            </w:r>
          </w:p>
        </w:tc>
        <w:tc>
          <w:tcPr>
            <w:tcW w:type="dxa" w:w="1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已完成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支持大小写归一化；未做文件签名探测和格式不匹配检查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TXT Parser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确定性文本解码</w:t>
            </w:r>
          </w:p>
        </w:tc>
        <w:tc>
          <w:tcPr>
            <w:tcW w:type="dxa" w:w="1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已完成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BOM 识别；无 BOM 严格 UTF-8；输出编码、换行和字符数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PDF Parser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分页文本抽取</w:t>
            </w:r>
          </w:p>
        </w:tc>
        <w:tc>
          <w:tcPr>
            <w:tcW w:type="dxa" w:w="1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已完成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pypdfium2；页文本保存在 metadata.page_texts；无 OCR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DOCX Parser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正文和元数据抽取</w:t>
            </w:r>
          </w:p>
        </w:tc>
        <w:tc>
          <w:tcPr>
            <w:tcW w:type="dxa" w:w="1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已完成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PUT Tika /rmeta/text；白名单元数据；依赖独立 Tika 进程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Image Parser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解码验证和元数据</w:t>
            </w:r>
          </w:p>
        </w:tc>
        <w:tc>
          <w:tcPr>
            <w:tcW w:type="dxa" w:w="1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已完成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JPG/JPEG/PNG；验证全部帧；只保留描述与方向 EXIF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Embedding / Chroma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向量生成与检索</w:t>
            </w:r>
          </w:p>
        </w:tc>
        <w:tc>
          <w:tcPr>
            <w:tcW w:type="dxa" w:w="12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计划中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依赖和烟测基础存在，但未接入解析主链路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4. 当前数据流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217670"/>
            <wp:docPr id="2" name="Picture 2" title="图 2  当前任务创建、解析与查询时序" descr="调用方创建任务后立即收到 queued；后台任务切换 running，在工作线程中顺序解析文件并写入终态快照；调用方通过 GET 查询状态和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ingestion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17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color w:val="000000"/>
          <w:sz w:val="18"/>
        </w:rPr>
        <w:t>图 2  当前任务创建、解析与查询时序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 xml:space="preserve">调用方提交绝对路径、授权根目录和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recursive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 选项；Pydantic 拒绝空列表。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 xml:space="preserve">FastAPI 创建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queued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 任务并用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asyncio.create_task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 启动后台协程，立即返回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202</w:t>
      </w:r>
      <w:r>
        <w:rPr>
          <w:rFonts w:ascii="Times New Roman" w:hAnsi="Times New Roman" w:eastAsia="Times New Roman" w:cs="Times New Roman"/>
          <w:color w:val="000000"/>
          <w:sz w:val="22"/>
        </w:rPr>
        <w:t>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 xml:space="preserve">后台协程把阻塞的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parse_paths()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 放入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asyncio.to_thread</w:t>
      </w:r>
      <w:r>
        <w:rPr>
          <w:rFonts w:ascii="Times New Roman" w:hAnsi="Times New Roman" w:eastAsia="Times New Roman" w:cs="Times New Roman"/>
          <w:color w:val="000000"/>
          <w:sz w:val="22"/>
        </w:rPr>
        <w:t>，避免阻塞事件循环。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 xml:space="preserve">服务解析和规范化输入路径，使用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Path.is_relative_to()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 校验授权根目录，并按稳定路径顺序展开目录。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>每个候选文件依次完成格式路由、大小检查、SHA-256 内容去重和具体解析；单文件异常转为受控错误，批次继续。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 xml:space="preserve">任务完成后保存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completed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 或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completed_with_errors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 快照；未捕获的任务级异常保存为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failed</w:t>
      </w:r>
      <w:r>
        <w:rPr>
          <w:rFonts w:ascii="Times New Roman" w:hAnsi="Times New Roman" w:eastAsia="Times New Roman" w:cs="Times New Roman"/>
          <w:color w:val="000000"/>
          <w:sz w:val="22"/>
        </w:rPr>
        <w:t>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5. 当前统一数据契约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85"/>
        <w:gridCol w:w="4493"/>
        <w:gridCol w:w="3182"/>
      </w:tblGrid>
      <w:tr>
        <w:trPr>
          <w:cantSplit/>
          <w:tblHeader w:val="true"/>
        </w:trPr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结构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关键字段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ParseResult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file_id、path、name、mime_type、modality、size_bytes、modified_at、text、page_count、width、height、metadata、warnings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单文件成功结果；file_id 为内容 SHA-256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BatchItem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path、status、result/error/skip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保持候选文件顺序并表示单项结果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SkippedFile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path、reason、file_id、duplicate_of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表示目录中不支持格式或内容重复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BatchResult</w:t>
            </w:r>
          </w:p>
        </w:tc>
        <w:tc>
          <w:tcPr>
            <w:tcW w:type="dxa" w:w="44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results、errors、skips、items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汇总 total/succeeded/skipped/failed</w:t>
            </w:r>
          </w:p>
        </w:tc>
      </w:tr>
    </w:tbl>
    <w:p>
      <w:pPr>
        <w:spacing w:after="40"/>
      </w:pPr>
    </w:p>
    <w:p>
      <w:pPr>
        <w:spacing w:before="120" w:after="200" w:line="264" w:lineRule="auto"/>
        <w:ind w:left="173" w:right="115"/>
        <w:shd w:fill="FFFFFF" w:color="auto"/>
        <w:pBdr>
          <w:left w:val="single" w:sz="18" w:color="000000"/>
        </w:pBdr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与原设计的差异  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当前模型没有 </w:t>
      </w:r>
      <w:r>
        <w:rPr>
          <w:rFonts w:ascii="Times New Roman" w:hAnsi="Times New Roman" w:eastAsia="Times New Roman" w:cs="Times New Roman"/>
          <w:color w:val="000000"/>
          <w:sz w:val="20"/>
          <w:shd w:fill="FFFFFF" w:color="auto"/>
        </w:rPr>
        <w:t>schema_version</w:t>
      </w:r>
      <w:r>
        <w:rPr>
          <w:rFonts w:ascii="Times New Roman" w:hAnsi="Times New Roman" w:eastAsia="Times New Roman" w:cs="Times New Roman"/>
          <w:color w:val="000000"/>
          <w:sz w:val="21"/>
        </w:rPr>
        <w:t>、</w:t>
      </w:r>
      <w:r>
        <w:rPr>
          <w:rFonts w:ascii="Times New Roman" w:hAnsi="Times New Roman" w:eastAsia="Times New Roman" w:cs="Times New Roman"/>
          <w:color w:val="000000"/>
          <w:sz w:val="20"/>
          <w:shd w:fill="FFFFFF" w:color="auto"/>
        </w:rPr>
        <w:t>segments</w:t>
      </w:r>
      <w:r>
        <w:rPr>
          <w:rFonts w:ascii="Times New Roman" w:hAnsi="Times New Roman" w:eastAsia="Times New Roman" w:cs="Times New Roman"/>
          <w:color w:val="000000"/>
          <w:sz w:val="21"/>
        </w:rPr>
        <w:t>、</w:t>
      </w:r>
      <w:r>
        <w:rPr>
          <w:rFonts w:ascii="Times New Roman" w:hAnsi="Times New Roman" w:eastAsia="Times New Roman" w:cs="Times New Roman"/>
          <w:color w:val="000000"/>
          <w:sz w:val="20"/>
          <w:shd w:fill="FFFFFF" w:color="auto"/>
        </w:rPr>
        <w:t>assets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 和 </w:t>
      </w:r>
      <w:r>
        <w:rPr>
          <w:rFonts w:ascii="Times New Roman" w:hAnsi="Times New Roman" w:eastAsia="Times New Roman" w:cs="Times New Roman"/>
          <w:color w:val="000000"/>
          <w:sz w:val="20"/>
          <w:shd w:fill="FFFFFF" w:color="auto"/>
        </w:rPr>
        <w:t>parsed_at</w:t>
      </w:r>
      <w:r>
        <w:rPr>
          <w:rFonts w:ascii="Times New Roman" w:hAnsi="Times New Roman" w:eastAsia="Times New Roman" w:cs="Times New Roman"/>
          <w:color w:val="000000"/>
          <w:sz w:val="21"/>
        </w:rPr>
        <w:t xml:space="preserve">；PDF 页级来源暂存在 </w:t>
      </w:r>
      <w:r>
        <w:rPr>
          <w:rFonts w:ascii="Times New Roman" w:hAnsi="Times New Roman" w:eastAsia="Times New Roman" w:cs="Times New Roman"/>
          <w:color w:val="000000"/>
          <w:sz w:val="20"/>
          <w:shd w:fill="FFFFFF" w:color="auto"/>
        </w:rPr>
        <w:t>metadata.page_texts</w:t>
      </w:r>
      <w:r>
        <w:rPr>
          <w:rFonts w:ascii="Times New Roman" w:hAnsi="Times New Roman" w:eastAsia="Times New Roman" w:cs="Times New Roman"/>
          <w:color w:val="000000"/>
          <w:sz w:val="21"/>
        </w:rPr>
        <w:t>。第 3 周在设计 Embedding 输入时应先定义兼容迁移方式。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6. IPC 设计：当前可用与目标差距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3557"/>
        <w:gridCol w:w="3931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方面</w:t>
            </w:r>
          </w:p>
        </w:tc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当前状态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后续要求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协议</w:t>
            </w:r>
          </w:p>
        </w:tc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FastAPI HTTP/JSON 契约已实现，自动化测试使用 ASGITransport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补充真实 127.0.0.1 网络端到端烟测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路由</w:t>
            </w:r>
          </w:p>
        </w:tc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live、ready、创建任务、查询任务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取消、结果分页、系统关闭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端口绑定</w:t>
            </w:r>
          </w:p>
        </w:tc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应用对象本身不决定监听地址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启动器显式绑定 127.0.0.1，发布态使用动态端口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鉴权</w:t>
            </w:r>
          </w:p>
        </w:tc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未实现 Bearer 会话令牌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Flutter 启动后端时生成一次性令牌并保护 /v1 路由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进程生命周期</w:t>
            </w:r>
          </w:p>
        </w:tc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Tika 脚本可独立启动；无 Python/Tika supervisor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ready 握手、子进程核验、受控关闭与崩溃恢复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任务进度</w:t>
            </w:r>
          </w:p>
        </w:tc>
        <w:tc>
          <w:tcPr>
            <w:tcW w:type="dxa" w:w="3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queued/running 阶段返回零计数；终态返回完整结果</w:t>
            </w:r>
          </w:p>
        </w:tc>
        <w:tc>
          <w:tcPr>
            <w:tcW w:type="dxa" w:w="3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增量计数、失败项与可访问进度通知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 xml:space="preserve">Tika 适配器固定访问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http://127.0.0.1:9998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 并设置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trust_env=False</w:t>
      </w:r>
      <w:r>
        <w:rPr>
          <w:rFonts w:ascii="Times New Roman" w:hAnsi="Times New Roman" w:eastAsia="Times New Roman" w:cs="Times New Roman"/>
          <w:color w:val="000000"/>
          <w:sz w:val="22"/>
        </w:rPr>
        <w:t>，避免 Windows 系统代理截获回环请求。FastAPI 的回环绑定和会话令牌尚未由代码保证，不能把“本地设计目标”误写成已完成安全能力。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7. 异常处理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91"/>
        <w:gridCol w:w="4774"/>
        <w:gridCol w:w="2995"/>
      </w:tblGrid>
      <w:tr>
        <w:trPr>
          <w:cantSplit/>
          <w:tblHeader w:val="true"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层级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当前处理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代表错误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请求级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Pydantic 校验失败直接返回 422，不创建任务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空 paths / authorized_roots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路径级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缺失或越权路径转为文件项失败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PATH_NOT_FOUND、PATH_NOT_AUTHORIZED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解析级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具体解析器抛出 ParseError，批服务记录后继续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TEXT_DECODE_ERROR、PDF_ENCRYPTED、IMAGE_DECODE_ERROR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依赖级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Tika 连接失败或超时转为可重试错误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TIKA_UNAVAILABLE、PARSE_TIMEOUT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未知文件级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第三方异常被替换为安全错误，不回传原始异常文本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INTERNAL_ERROR</w:t>
            </w:r>
          </w:p>
        </w:tc>
      </w:tr>
      <w:tr>
        <w:trPr>
          <w:cantSplit/>
        </w:trPr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任务级</w:t>
            </w:r>
          </w:p>
        </w:tc>
        <w:tc>
          <w:tcPr>
            <w:tcW w:type="dxa" w:w="4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后台协程未捕获异常将任务标记 failed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当前响应不携带任务级诊断详情</w:t>
            </w:r>
          </w:p>
        </w:tc>
      </w:tr>
    </w:tbl>
    <w:p>
      <w:pPr>
        <w:spacing w:after="40"/>
      </w:pPr>
    </w:p>
    <w:p>
      <w:pPr>
        <w:numPr>
          <w:ilvl w:val="0"/>
          <w:numId w:val="13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>解析器不修改、移动或删除原始文件。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>重复内容按 SHA-256 在单批次内跳过；同一路径通过规范化路径先去重。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>DOCX 只暴露白名单元数据；图片 EXIF 不保留 GPS、序列号等敏感字段。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 xml:space="preserve">当前没有专门的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PERMISSION_DENIED</w:t>
      </w:r>
      <w:r>
        <w:rPr>
          <w:rFonts w:ascii="Times New Roman" w:hAnsi="Times New Roman" w:eastAsia="Times New Roman" w:cs="Times New Roman"/>
          <w:color w:val="000000"/>
          <w:sz w:val="22"/>
        </w:rPr>
        <w:t>、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FORMAT_MISMATCH</w:t>
      </w:r>
      <w:r>
        <w:rPr>
          <w:rFonts w:ascii="Times New Roman" w:hAnsi="Times New Roman" w:eastAsia="Times New Roman" w:cs="Times New Roman"/>
          <w:color w:val="000000"/>
          <w:sz w:val="22"/>
        </w:rPr>
        <w:t>、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CANCELLED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 错误；权限异常在某些路径上可能升级为任务级 failed。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8. 任务状态模型</w:t>
      </w:r>
    </w:p>
    <w:p>
      <w:pPr>
        <w:spacing w:before="80" w:after="160" w:line="252" w:lineRule="auto"/>
        <w:ind w:left="115" w:right="115"/>
        <w:shd w:fill="FFFFFF" w:color="auto"/>
        <w:keepLines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Times New Roman" w:cs="Times New Roman"/>
          <w:color w:val="000000"/>
          <w:sz w:val="16"/>
        </w:rPr>
        <w:t>queued → running → completed</w:t>
        <w:br/>
      </w:r>
      <w:r>
        <w:rPr>
          <w:rFonts w:ascii="Times New Roman" w:hAnsi="Times New Roman" w:eastAsia="Times New Roman" w:cs="Times New Roman"/>
          <w:color w:val="000000"/>
          <w:sz w:val="16"/>
        </w:rPr>
        <w:t xml:space="preserve">                 → completed_with_errors</w:t>
        <w:br/>
      </w:r>
      <w:r>
        <w:rPr>
          <w:rFonts w:ascii="Times New Roman" w:hAnsi="Times New Roman" w:eastAsia="Times New Roman" w:cs="Times New Roman"/>
          <w:color w:val="000000"/>
          <w:sz w:val="16"/>
        </w:rPr>
        <w:t xml:space="preserve">                 → failed</w:t>
      </w:r>
    </w:p>
    <w:p>
      <w:pPr>
        <w:spacing w:after="120" w:line="264" w:lineRule="auto"/>
      </w:pP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completed_with_errors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 表示至少一个文件级错误；目录扫描产生的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unsupported_format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 或重复内容属于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skipped</w:t>
      </w:r>
      <w:r>
        <w:rPr>
          <w:rFonts w:ascii="Times New Roman" w:hAnsi="Times New Roman" w:eastAsia="Times New Roman" w:cs="Times New Roman"/>
          <w:color w:val="000000"/>
          <w:sz w:val="22"/>
        </w:rPr>
        <w:t>，不会单独把任务转为错误终态。当前没有取消终态，也没有状态迁移幂等 API。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9. 代码边界</w:t>
      </w:r>
    </w:p>
    <w:p>
      <w:pPr>
        <w:spacing w:before="80" w:after="160" w:line="252" w:lineRule="auto"/>
        <w:ind w:left="115" w:right="115"/>
        <w:shd w:fill="FFFFFF" w:color="auto"/>
        <w:keepLines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Times New Roman" w:cs="Times New Roman"/>
          <w:color w:val="000000"/>
          <w:sz w:val="16"/>
        </w:rPr>
        <w:t>backend/src/content_retrieval/</w:t>
        <w:br/>
      </w:r>
      <w:r>
        <w:rPr>
          <w:rFonts w:ascii="Times New Roman" w:hAnsi="Times New Roman" w:eastAsia="Times New Roman" w:cs="Times New Roman"/>
          <w:color w:val="000000"/>
          <w:sz w:val="16"/>
        </w:rPr>
        <w:t>├─ api/{app.py, schemas.py, routes/health.py, routes/ingestion.py}</w:t>
        <w:br/>
      </w:r>
      <w:r>
        <w:rPr>
          <w:rFonts w:ascii="Times New Roman" w:hAnsi="Times New Roman" w:eastAsia="Times New Roman" w:cs="Times New Roman"/>
          <w:color w:val="000000"/>
          <w:sz w:val="16"/>
        </w:rPr>
        <w:t>├─ domain/{errors.py, models.py}</w:t>
        <w:br/>
      </w:r>
      <w:r>
        <w:rPr>
          <w:rFonts w:ascii="Times New Roman" w:hAnsi="Times New Roman" w:eastAsia="Times New Roman" w:cs="Times New Roman"/>
          <w:color w:val="000000"/>
          <w:sz w:val="16"/>
        </w:rPr>
        <w:t>├─ parsers/{base.py, registry.py, txt.py, pdf.py, docx.py, image.py, tika.py}</w:t>
        <w:br/>
      </w:r>
      <w:r>
        <w:rPr>
          <w:rFonts w:ascii="Times New Roman" w:hAnsi="Times New Roman" w:eastAsia="Times New Roman" w:cs="Times New Roman"/>
          <w:color w:val="000000"/>
          <w:sz w:val="16"/>
        </w:rPr>
        <w:t>└─ services/{batch_ingestion.py, ingestion_jobs.py}</w:t>
      </w:r>
    </w:p>
    <w:p>
      <w:pPr>
        <w:spacing w:after="120" w:line="264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 xml:space="preserve">当前目录与依赖方向清晰，适合在第 3 周新增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embeddings/</w:t>
      </w:r>
      <w:r>
        <w:rPr>
          <w:rFonts w:ascii="Times New Roman" w:hAnsi="Times New Roman" w:eastAsia="Times New Roman" w:cs="Times New Roman"/>
          <w:color w:val="000000"/>
          <w:sz w:val="22"/>
        </w:rPr>
        <w:t xml:space="preserve"> 或 </w:t>
      </w:r>
      <w:r>
        <w:rPr>
          <w:rFonts w:ascii="Times New Roman" w:hAnsi="Times New Roman" w:eastAsia="Times New Roman" w:cs="Times New Roman"/>
          <w:color w:val="000000"/>
          <w:sz w:val="21"/>
          <w:shd w:fill="FFFFFF" w:color="auto"/>
        </w:rPr>
        <w:t>services/embedding.py</w:t>
      </w:r>
      <w:r>
        <w:rPr>
          <w:rFonts w:ascii="Times New Roman" w:hAnsi="Times New Roman" w:eastAsia="Times New Roman" w:cs="Times New Roman"/>
          <w:color w:val="000000"/>
          <w:sz w:val="22"/>
        </w:rPr>
        <w:t>。不建议把模型调用塞入解析器；解析器只负责稳定提取内容，模型分块和向量生成应保持独立。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10. 实际完成状态与验收结论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76"/>
        <w:gridCol w:w="1498"/>
        <w:gridCol w:w="4586"/>
      </w:tblGrid>
      <w:tr>
        <w:trPr>
          <w:cantSplit/>
          <w:tblHeader w:val="true"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验收项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结论</w:t>
            </w:r>
          </w:p>
        </w:tc>
        <w:tc>
          <w:tcPr>
            <w:tcW w:type="dxa" w:w="4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shd w:fill="FFFFFF" w:color="auto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五类文件路由与正常解析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通过</w:t>
            </w:r>
          </w:p>
        </w:tc>
        <w:tc>
          <w:tcPr>
            <w:tcW w:type="dxa" w:w="4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TXT、PDF、DOCX、JPG/JPEG、PNG 均有自动化用例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损坏/加密/超时错误隔离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通过</w:t>
            </w:r>
          </w:p>
        </w:tc>
        <w:tc>
          <w:tcPr>
            <w:tcW w:type="dxa" w:w="4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关键受控错误已覆盖；未知异常不会泄露内部文本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批量路径、授权、去重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通过</w:t>
            </w:r>
          </w:p>
        </w:tc>
        <w:tc>
          <w:tcPr>
            <w:tcW w:type="dxa" w:w="4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混合文件/目录、递归、越权、缺失、重复均有用例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最小 FastAPI 任务 API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通过</w:t>
            </w:r>
          </w:p>
        </w:tc>
        <w:tc>
          <w:tcPr>
            <w:tcW w:type="dxa" w:w="4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创建和查询任务、健康检查已完成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实时进度、并发与取消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未通过</w:t>
            </w:r>
          </w:p>
        </w:tc>
        <w:tc>
          <w:tcPr>
            <w:tcW w:type="dxa" w:w="4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当前批内顺序执行，运行中计数为零，无取消接口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Flutter 端到端 IPC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未通过</w:t>
            </w:r>
          </w:p>
        </w:tc>
        <w:tc>
          <w:tcPr>
            <w:tcW w:type="dxa" w:w="4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前端尚未实现本地客户端和进程管理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鉴权与动态端口</w:t>
            </w:r>
          </w:p>
        </w:tc>
        <w:tc>
          <w:tcPr>
            <w:tcW w:type="dxa" w:w="14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未通过</w:t>
            </w:r>
          </w:p>
        </w:tc>
        <w:tc>
          <w:tcPr>
            <w:tcW w:type="dxa" w:w="4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仍是架构目标，尚无代码和验收</w:t>
            </w:r>
          </w:p>
        </w:tc>
      </w:tr>
    </w:tbl>
    <w:p>
      <w:pPr>
        <w:spacing w:after="40"/>
      </w:pPr>
    </w:p>
    <w:p>
      <w:pPr>
        <w:spacing w:before="120" w:after="200" w:line="264" w:lineRule="auto"/>
        <w:ind w:left="173" w:right="115"/>
        <w:shd w:fill="FFFFFF" w:color="auto"/>
        <w:pBdr>
          <w:left w:val="single" w:sz="18" w:color="000000"/>
        </w:pBdr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 xml:space="preserve">架构基线结论  </w:t>
      </w:r>
      <w:r>
        <w:rPr>
          <w:rFonts w:ascii="Times New Roman" w:hAnsi="Times New Roman" w:eastAsia="Times New Roman" w:cs="Times New Roman"/>
          <w:color w:val="000000"/>
          <w:sz w:val="21"/>
        </w:rPr>
        <w:t>第 2 周可以判定“后端文件解析基础与最小任务 API 完成”，但不能判定“完整本地 IPC、可取消批任务或桌面端导入体验完成”。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11. 后续演进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>第 3 周：定义 EmbeddingEngine 与 EmbeddingRecord；实现文本分块、BERT 文本向量和 MobileCLIP 图像向量；保持解析器无模型依赖。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>第 4 周：把向量、分块来源与最小元数据写入 ChromaDB，形成检索闭环。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>第 5 周：实现 Flutter LocalBackendClient、导入控制器和无障碍进度反馈。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Times New Roman" w:cs="Times New Roman"/>
          <w:color w:val="000000"/>
          <w:sz w:val="22"/>
        </w:rPr>
        <w:t>整合阶段：补齐令牌鉴权、动态端口、取消、持久化任务、性能与跨平台端到端测试。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eastAsia="Times New Roman" w:cs="Times New Roman"/>
        <w:color w:val="000000"/>
        <w:sz w:val="17"/>
      </w:rPr>
      <w:t xml:space="preserve">系统架构设计  | 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Times New Roman" w:cs="Times New Roman"/>
        <w:color w:val="000000"/>
        <w:sz w:val="17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Times New Roman" w:cs="Times New Roman"/>
        <w:color w:val="00000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 w:cs="Times New Roman"/>
        <w:b/>
        <w:color w:val="000000"/>
        <w:sz w:val="17"/>
      </w:rPr>
      <w:t>离线无障碍多模态本地内容检索系统</w:t>
    </w:r>
    <w:r>
      <w:rPr>
        <w:rFonts w:ascii="Times New Roman" w:hAnsi="Times New Roman" w:eastAsia="Times New Roman" w:cs="Times New Roman"/>
        <w:color w:val="000000"/>
        <w:sz w:val="17"/>
      </w:rPr>
      <w:t xml:space="preserve">    第 2 周 · 系统架构设计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Times New Roman" w:cs="Times New Roman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000000"/>
      </w:pBdr>
      <w:spacing w:after="160" w:line="264" w:lineRule="auto" w:befor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64" w:lineRule="auto"/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64" w:lineRule="auto" w:before="80" w:after="160"/>
    </w:pPr>
    <w:rPr>
      <w:rFonts w:ascii="Times New Roman" w:hAnsi="Times New Roman" w:eastAsia="Times New Roman" w:cs="Times New Roman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系统架构设计</dc:title>
  <dc:subject>离线无障碍多模态本地内容检索系统第 2 周交付物</dc:subject>
  <dc:creator>项目组</dc:creator>
  <cp:keywords>FastAPI, 文件解析, Tika, PDFium, Pillow, 第2周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