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Times New Roman" w:hAnsi="Times New Roman" w:eastAsia="宋体"/>
          <w:b/>
          <w:i w:val="0"/>
          <w:color w:val="000000"/>
          <w:sz w:val="48"/>
        </w:rPr>
        <w:t>无障碍用户指南（草稿）</w:t>
      </w:r>
    </w:p>
    <w:p>
      <w:pPr>
        <w:spacing w:after="56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8"/>
        </w:rPr>
        <w:t>本地多模态内容检索系统</w:t>
      </w:r>
    </w:p>
    <w:p>
      <w:pPr>
        <w:jc w:val="center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状态：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最终提交草稿；辅助技术跨平台验证待完成</w:t>
      </w:r>
    </w:p>
    <w:p>
      <w:pPr>
        <w:jc w:val="center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版本：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Week 5 Final Draft 1.3</w:t>
      </w:r>
    </w:p>
    <w:p>
      <w:pPr>
        <w:jc w:val="center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日期：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2026-08-13</w:t>
      </w:r>
    </w:p>
    <w:p>
      <w:pPr>
        <w:jc w:val="center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应用源码提交：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875bb430f93d11d43b78d738328e633f48f57283</w:t>
      </w:r>
    </w:p>
    <w:p>
      <w:pPr>
        <w:spacing w:before="560"/>
        <w:jc w:val="center"/>
      </w:pPr>
      <w:r>
        <w:rPr>
          <w:rFonts w:ascii="Times New Roman" w:hAnsi="Times New Roman" w:eastAsia="宋体"/>
          <w:b w:val="0"/>
          <w:i/>
          <w:color w:val="000000"/>
          <w:sz w:val="20"/>
        </w:rPr>
        <w:t>本文件如实保留未执行验证项；不得作为 19/19 完成证明。</w:t>
      </w:r>
    </w:p>
    <w:p>
      <w:r>
        <w:br w:type="page"/>
      </w:r>
    </w:p>
    <w:p>
      <w:pPr>
        <w:pStyle w:val="Heading1"/>
      </w:pPr>
      <w:r>
        <w:t>1. 适用范围</w:t>
      </w:r>
    </w:p>
    <w:p>
      <w:r>
        <w:rPr>
          <w:rFonts w:ascii="Times New Roman" w:hAnsi="Times New Roman" w:eastAsia="宋体"/>
          <w:b w:val="0"/>
          <w:i w:val="0"/>
          <w:color w:val="000000"/>
          <w:sz w:val="22"/>
        </w:rPr>
        <w:t>Windows 是当前主要运行平台。Android release 已完成构建和设备启动；Accessibility Scanner 最终复扫按项目决定延后。Linux release 已完成 WSLg 启动检查；Web release 已完成 WAVE 四状态验证。macOS 构建与 VoiceOver 仍待真实 Mac 环境完成。</w:t>
      </w:r>
    </w:p>
    <w:p>
      <w:pPr>
        <w:pStyle w:val="Heading1"/>
      </w:pPr>
      <w:r>
        <w:t>2. 启动应用</w:t>
      </w:r>
    </w:p>
    <w:p>
      <w:pPr>
        <w:pStyle w:val="ListBullet"/>
        <w:spacing w:after="80"/>
        <w:ind w:left="547" w:hanging="259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在项目根目录运行 start-mvp.ps1 -CheckOnly，确认输出 MVP preflight passed。</w:t>
      </w:r>
    </w:p>
    <w:p>
      <w:pPr>
        <w:pStyle w:val="ListBullet"/>
        <w:spacing w:after="80"/>
        <w:ind w:left="547" w:hanging="259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启动后端并确认 /health/ready 返回 ready，再运行 Windows Flutter 应用。</w:t>
      </w:r>
    </w:p>
    <w:p>
      <w:pPr>
        <w:pStyle w:val="ListBullet"/>
        <w:spacing w:after="80"/>
        <w:ind w:left="547" w:hanging="259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默认后端地址为 http://127.0.0.1:8000，可在“设置”中修改为无路径、无凭据、无查询参数的 HTTP(S) 根地址。</w:t>
      </w:r>
    </w:p>
    <w:p>
      <w:pPr>
        <w:pStyle w:val="ListBullet"/>
        <w:spacing w:after="80"/>
        <w:ind w:left="547" w:hanging="259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模型文件已经存在且清单校验通过时不会在每次启动时重新下载；只有模型缺失或恢复流程明确要求时才需要下载。</w:t>
      </w:r>
    </w:p>
    <w:p>
      <w:pPr>
        <w:pStyle w:val="Heading1"/>
      </w:pPr>
      <w:r>
        <w:t>3. 搜索与筛选</w:t>
      </w:r>
    </w:p>
    <w:p>
      <w:r>
        <w:rPr>
          <w:rFonts w:ascii="Times New Roman" w:hAnsi="Times New Roman" w:eastAsia="宋体"/>
          <w:b w:val="0"/>
          <w:i w:val="0"/>
          <w:color w:val="000000"/>
          <w:sz w:val="22"/>
        </w:rPr>
        <w:t>进入“搜索”，在“搜索内容”输入关键词并选择“搜索”。可使用检索模式、内容类型和检索通道筛选；至少保留一个检索通道。加载、空结果和错误均以文字状态显示并提供可执行恢复动作。</w:t>
      </w:r>
    </w:p>
    <w:p>
      <w:pPr>
        <w:pStyle w:val="Heading1"/>
      </w:pPr>
      <w:r>
        <w:t>4. 读取与处理结果</w:t>
      </w:r>
    </w:p>
    <w:p>
      <w:r>
        <w:rPr>
          <w:rFonts w:ascii="Times New Roman" w:hAnsi="Times New Roman" w:eastAsia="宋体"/>
          <w:b w:val="0"/>
          <w:i w:val="0"/>
          <w:color w:val="000000"/>
          <w:sz w:val="22"/>
        </w:rPr>
        <w:t>结果显示文件名、匹配摘要和元数据。选择“打开”调用系统关联程序；选择“复制路径”将路径复制到剪贴板。Web/Android 不支持访问桌面后端的本地路径，因此相关操作会禁用或提示使用桌面版。</w:t>
      </w:r>
    </w:p>
    <w:p>
      <w:pPr>
        <w:pStyle w:val="Heading1"/>
      </w:pPr>
      <w:r>
        <w:t>5. 管理索引库</w:t>
      </w:r>
    </w:p>
    <w:p>
      <w:r>
        <w:rPr>
          <w:rFonts w:ascii="Times New Roman" w:hAnsi="Times New Roman" w:eastAsia="宋体"/>
          <w:b w:val="0"/>
          <w:i w:val="0"/>
          <w:color w:val="000000"/>
          <w:sz w:val="22"/>
        </w:rPr>
        <w:t>进入“索引库”，可刷新、添加文件夹、查看索引任务和失败详情。重新索引会更新搜索索引；“从索引移除”只删除索引记录，不删除磁盘原文件。所有破坏性动作都要求命名确认。</w:t>
      </w:r>
    </w:p>
    <w:p>
      <w:pPr>
        <w:pStyle w:val="Heading1"/>
      </w:pPr>
      <w:r>
        <w:t>6. 外观与无障碍设置</w:t>
      </w:r>
    </w:p>
    <w:p>
      <w:pPr>
        <w:pStyle w:val="ListBullet"/>
        <w:spacing w:after="80"/>
        <w:ind w:left="547" w:hanging="259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主题：跟随系统、浅色或深色。</w:t>
      </w:r>
    </w:p>
    <w:p>
      <w:pPr>
        <w:pStyle w:val="ListBullet"/>
        <w:spacing w:after="80"/>
        <w:ind w:left="547" w:hanging="259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高对比度：增强文字、边界和焦点区分。</w:t>
      </w:r>
    </w:p>
    <w:p>
      <w:pPr>
        <w:pStyle w:val="ListBullet"/>
        <w:spacing w:after="80"/>
        <w:ind w:left="547" w:hanging="259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文字大小：100%、125%、150% 或 200%；与系统倍率组合后最高 200%。</w:t>
      </w:r>
    </w:p>
    <w:p>
      <w:pPr>
        <w:pStyle w:val="ListBullet"/>
        <w:spacing w:after="80"/>
        <w:ind w:left="547" w:hanging="259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减少动态效果：与系统设置共同生效；任一开启即减少非必要动画。</w:t>
      </w:r>
    </w:p>
    <w:p>
      <w:pPr>
        <w:pStyle w:val="ListBullet"/>
        <w:spacing w:after="80"/>
        <w:ind w:left="547" w:hanging="259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保存设置后写入本机 JSON 文件；文件损坏时恢复安全默认值并显示提示。</w:t>
      </w:r>
    </w:p>
    <w:p>
      <w:r>
        <w:br w:type="page"/>
      </w:r>
    </w:p>
    <w:p>
      <w:pPr>
        <w:pStyle w:val="Heading1"/>
      </w:pPr>
      <w:r>
        <w:t>7. 键盘快捷键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29"/>
        <w:gridCol w:w="4729"/>
      </w:tblGrid>
      <w:tr>
        <w:trPr>
          <w:tblHeader w:val="true"/>
          <w:cantSplit/>
        </w:trPr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快捷键</w:t>
            </w:r>
          </w:p>
        </w:tc>
        <w:tc>
          <w:tcPr>
            <w:tcW w:type="dxa" w:w="6768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Ctrl/Cmd+K</w:t>
            </w:r>
          </w:p>
        </w:tc>
        <w:tc>
          <w:tcPr>
            <w:tcW w:type="dxa" w:w="6768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聚焦搜索框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Ctrl/Cmd+1</w:t>
            </w:r>
          </w:p>
        </w:tc>
        <w:tc>
          <w:tcPr>
            <w:tcW w:type="dxa" w:w="6768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打开搜索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Ctrl/Cmd+2</w:t>
            </w:r>
          </w:p>
        </w:tc>
        <w:tc>
          <w:tcPr>
            <w:tcW w:type="dxa" w:w="6768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打开索引库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Ctrl/Cmd+3</w:t>
            </w:r>
          </w:p>
        </w:tc>
        <w:tc>
          <w:tcPr>
            <w:tcW w:type="dxa" w:w="6768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打开设置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F5</w:t>
            </w:r>
          </w:p>
        </w:tc>
        <w:tc>
          <w:tcPr>
            <w:tcW w:type="dxa" w:w="6768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刷新当前网络页面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Tab / Shift+Tab</w:t>
            </w:r>
          </w:p>
        </w:tc>
        <w:tc>
          <w:tcPr>
            <w:tcW w:type="dxa" w:w="6768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向前/向后移动焦点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Enter / Space</w:t>
            </w:r>
          </w:p>
        </w:tc>
        <w:tc>
          <w:tcPr>
            <w:tcW w:type="dxa" w:w="6768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激活当前控件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Escape</w:t>
            </w:r>
          </w:p>
        </w:tc>
        <w:tc>
          <w:tcPr>
            <w:tcW w:type="dxa" w:w="6768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关闭临时界面或取消搜索框焦点</w:t>
            </w:r>
          </w:p>
        </w:tc>
      </w:tr>
    </w:tbl>
    <w:p/>
    <w:p>
      <w:pPr>
        <w:pStyle w:val="Heading1"/>
      </w:pPr>
      <w:r>
        <w:t>8. 屏幕阅读器快速开始</w:t>
      </w:r>
    </w:p>
    <w:p>
      <w:pPr>
        <w:pStyle w:val="Heading2"/>
      </w:pPr>
      <w:r>
        <w:t>NVDA（Windows）</w:t>
      </w:r>
    </w:p>
    <w:p>
      <w:r>
        <w:rPr>
          <w:rFonts w:ascii="Times New Roman" w:hAnsi="Times New Roman" w:eastAsia="宋体"/>
          <w:b w:val="0"/>
          <w:i w:val="0"/>
          <w:color w:val="000000"/>
          <w:sz w:val="22"/>
        </w:rPr>
        <w:t>启动 NVDA 后使用 Tab 导航三项主导航和页面控件。状态变化会通过实时区域播报。完整 NVDA 验收尚未执行；若发现重复标签、焦点丢失或状态未播报，请记录页面、操作和实际播报。</w:t>
      </w:r>
    </w:p>
    <w:p>
      <w:pPr>
        <w:pStyle w:val="Heading2"/>
      </w:pPr>
      <w:r>
        <w:t>VoiceOver（macOS）</w:t>
      </w:r>
    </w:p>
    <w:p>
      <w:r>
        <w:rPr>
          <w:rFonts w:ascii="Times New Roman" w:hAnsi="Times New Roman" w:eastAsia="宋体"/>
          <w:b w:val="0"/>
          <w:i w:val="0"/>
          <w:color w:val="000000"/>
          <w:sz w:val="22"/>
        </w:rPr>
        <w:t>使用 VoiceOver 键盘命令遍历导航、表单、结果和对话框。当前无 macOS 实测记录，因此本节为待验证说明。</w:t>
      </w:r>
    </w:p>
    <w:p>
      <w:pPr>
        <w:pStyle w:val="Heading1"/>
      </w:pPr>
      <w:r>
        <w:t>9. 常见问题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29"/>
        <w:gridCol w:w="4729"/>
      </w:tblGrid>
      <w:tr>
        <w:trPr>
          <w:tblHeader w:val="true"/>
          <w:cantSplit/>
        </w:trPr>
        <w:tc>
          <w:tcPr>
            <w:tcW w:type="dxa" w:w="3024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现象</w:t>
            </w:r>
          </w:p>
        </w:tc>
        <w:tc>
          <w:tcPr>
            <w:tcW w:type="dxa" w:w="6624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后端离线</w:t>
            </w:r>
          </w:p>
        </w:tc>
        <w:tc>
          <w:tcPr>
            <w:tcW w:type="dxa" w:w="6624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确认服务和地址，选择“重新检测”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模型清单缺失</w:t>
            </w:r>
          </w:p>
        </w:tc>
        <w:tc>
          <w:tcPr>
            <w:tcW w:type="dxa" w:w="6624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恢复 models/model-manifest.json 及对应权重，再运行预检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Android Scanner 延后</w:t>
            </w:r>
          </w:p>
        </w:tc>
        <w:tc>
          <w:tcPr>
            <w:tcW w:type="dxa" w:w="6624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后续在 Google Play 模拟器运行官方 Scanner，保留修复后的四状态结果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索引任务失败</w:t>
            </w:r>
          </w:p>
        </w:tc>
        <w:tc>
          <w:tcPr>
            <w:tcW w:type="dxa" w:w="6624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打开失败详情，确认路径权限和文件格式后重试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设置数据损坏</w:t>
            </w:r>
          </w:p>
        </w:tc>
        <w:tc>
          <w:tcPr>
            <w:tcW w:type="dxa" w:w="6624"/>
            <w:vAlign w:val="center"/>
            <w:shd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应用恢复默认值；重新设置并保存</w:t>
            </w:r>
          </w:p>
        </w:tc>
      </w:tr>
    </w:tbl>
    <w:p/>
    <w:p>
      <w:pPr>
        <w:pStyle w:val="Heading1"/>
      </w:pPr>
      <w:r>
        <w:t>10. 隐私与反馈</w:t>
      </w:r>
    </w:p>
    <w:p>
      <w:r>
        <w:rPr>
          <w:rFonts w:ascii="Times New Roman" w:hAnsi="Times New Roman" w:eastAsia="宋体"/>
          <w:b w:val="0"/>
          <w:i w:val="0"/>
          <w:color w:val="000000"/>
          <w:sz w:val="22"/>
        </w:rPr>
        <w:t>检索与设置以本机处理为主。不要在测试证据中提交私人文档内容、完整敏感路径或参与者身份。反馈应包含平台、应用提交、操作步骤、期望与实际结果。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52" w:right="1224" w:bottom="1152" w:left="1224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000000"/>
        <w:sz w:val="18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i w:val="0"/>
        <w:color w:val="000000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left="0" w:right="0" w:firstLine="0"/>
      <w:jc w:val="left"/>
    </w:pPr>
    <w:r>
      <w:rPr>
        <w:rFonts w:ascii="Times New Roman" w:hAnsi="Times New Roman" w:eastAsia="宋体"/>
        <w:b w:val="0"/>
        <w:i w:val="0"/>
        <w:color w:val="000000"/>
        <w:sz w:val="18"/>
      </w:rPr>
      <w:t>Week 5 用户指南（草稿）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宋体"/>
      <w:b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