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app.xml" ContentType="application/vnd.openxmlformats-officedocument.extended-properties+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ind/>
        <w:jc w:val="center"/>
        <w:rPr/>
      </w:pPr>
      <w:r>
        <w:rPr>
          <w:b/>
          <w:bCs/>
          <w:color w:val="6b7280"/>
          <w:sz w:val="19"/>
          <w:szCs w:val="19"/>
        </w:rPr>
        <w:t xml:space="preserve">TEMA DE ANÁLISIS · TRABAJO DE UNA SEMANA</w:t>
      </w:r>
      <w:r/>
    </w:p>
    <w:p>
      <w:pPr>
        <w:pBdr/>
        <w:spacing w:after="60"/>
        <w:ind/>
        <w:rPr/>
      </w:pPr>
      <w:r>
        <w:rPr>
          <w:b/>
          <w:bCs/>
          <w:color w:val="0b3c8c"/>
          <w:sz w:val="40"/>
          <w:szCs w:val="40"/>
        </w:rPr>
        <w:t xml:space="preserve">Boleta de pago: del sueldo al neto</w:t>
      </w:r>
      <w:r/>
    </w:p>
    <w:p>
      <w:pPr>
        <w:pBdr/>
        <w:spacing w:after="160" w:before="0"/>
        <w:ind/>
        <w:rPr/>
      </w:pPr>
      <w:r>
        <w:rPr>
          <w:color w:val="374151"/>
          <w:sz w:val="22"/>
          <w:szCs w:val="22"/>
        </w:rPr>
        <w:t xml:space="preserve">Una app de una sola pantalla en SwiftUI y una hoja de Excel que explica cada fórmula</w:t>
      </w:r>
      <w:r/>
    </w:p>
    <w:p>
      <w:pPr>
        <w:pStyle w:val="862"/>
        <w:keepNext w:val="true"/>
        <w:pBdr/>
        <w:spacing w:after="120" w:before="280"/>
        <w:ind/>
        <w:rPr/>
      </w:pPr>
      <w:r>
        <w:t xml:space="preserve">1. Contexto</w:t>
      </w:r>
      <w:r/>
    </w:p>
    <w:p>
      <w:pPr>
        <w:pBdr/>
        <w:spacing w:after="100" w:before="0"/>
        <w:ind/>
        <w:rPr/>
      </w:pPr>
      <w:r>
        <w:t xml:space="preserve">La boleta de pago es el documento donde el empleador muestra al trabajador cuánto gana, cuánto se le descuenta y cuánto recibe. Su formato está previsto en el artículo 19 del D.S. 001-98-TR y tiene tres bloques: </w:t>
      </w:r>
      <w:r>
        <w:rPr>
          <w:b/>
          <w:bCs/>
        </w:rPr>
        <w:t xml:space="preserve">Remuneraciones</w:t>
      </w:r>
      <w:r>
        <w:t xml:space="preserve">, </w:t>
      </w:r>
      <w:r>
        <w:rPr>
          <w:b/>
          <w:bCs/>
        </w:rPr>
        <w:t xml:space="preserve">Retenciones / Descuentos</w:t>
      </w:r>
      <w:r>
        <w:t xml:space="preserve"> y </w:t>
      </w:r>
      <w:r>
        <w:rPr>
          <w:b/>
          <w:bCs/>
        </w:rPr>
        <w:t xml:space="preserve">Aportaciones del empleador</w:t>
      </w:r>
      <w:r>
        <w:t xml:space="preserve">, además del </w:t>
      </w:r>
      <w:r>
        <w:rPr>
          <w:b/>
          <w:bCs/>
        </w:rPr>
        <w:t xml:space="preserve">Neto a pagar</w:t>
      </w:r>
      <w:r>
        <w:t xml:space="preserve">.</w:t>
      </w:r>
      <w:r/>
    </w:p>
    <w:p>
      <w:pPr>
        <w:pBdr/>
        <w:spacing w:after="100" w:before="0"/>
        <w:ind/>
        <w:rPr/>
      </w:pPr>
      <w:r>
        <w:t xml:space="preserve">En este tema construyen una versión simplificada: el usuario ingresa los datos del mes y la app calcula la boleta. Los alumnos descubren por qué el sueldo que se pacta con la empresa no es lo que llega al bolsillo.</w:t>
      </w:r>
      <w:r/>
    </w:p>
    <w:p>
      <w:pPr>
        <w:pStyle w:val="862"/>
        <w:keepNext w:val="true"/>
        <w:pBdr/>
        <w:spacing w:after="120" w:before="280"/>
        <w:ind/>
        <w:rPr/>
      </w:pPr>
      <w:r>
        <w:t xml:space="preserve">2. Logro esperado</w:t>
      </w:r>
      <w:r/>
    </w:p>
    <w:p>
      <w:pPr>
        <w:pStyle w:val="854"/>
        <w:numPr>
          <w:ilvl w:val="0"/>
          <w:numId w:val="2"/>
        </w:numPr>
        <w:pBdr/>
        <w:spacing w:after="60"/>
        <w:ind/>
        <w:rPr/>
      </w:pPr>
      <w:r>
        <w:t xml:space="preserve">Convertir reglas laborales en un procedimiento de cálculo, en Swift y en Excel.</w:t>
      </w:r>
      <w:r/>
    </w:p>
    <w:p>
      <w:pPr>
        <w:pStyle w:val="854"/>
        <w:numPr>
          <w:ilvl w:val="0"/>
          <w:numId w:val="2"/>
        </w:numPr>
        <w:pBdr/>
        <w:spacing w:after="60"/>
        <w:ind/>
        <w:rPr/>
      </w:pPr>
      <w:r>
        <w:t xml:space="preserve">Modelar con estructuras, clases y colecciones, separando el cálculo de la pantalla.</w:t>
      </w:r>
      <w:r/>
    </w:p>
    <w:p>
      <w:pPr>
        <w:pStyle w:val="854"/>
        <w:numPr>
          <w:ilvl w:val="0"/>
          <w:numId w:val="2"/>
        </w:numPr>
        <w:pBdr/>
        <w:spacing w:after="60"/>
        <w:ind/>
        <w:rPr/>
      </w:pPr>
      <w:r>
        <w:t xml:space="preserve">Validar la app con casos de prueba y contrastar sus resultados con los de la hoja de Excel.</w:t>
      </w:r>
      <w:r/>
    </w:p>
    <w:p>
      <w:pPr>
        <w:pStyle w:val="854"/>
        <w:numPr>
          <w:ilvl w:val="0"/>
          <w:numId w:val="2"/>
        </w:numPr>
        <w:pBdr/>
        <w:spacing w:after="60"/>
        <w:ind/>
        <w:rPr/>
      </w:pPr>
      <w:r>
        <w:t xml:space="preserve">Analizar con datos reales cuánto de un sueldo bruto llega al trabajador.</w:t>
      </w:r>
      <w:r/>
    </w:p>
    <w:p>
      <w:pPr>
        <w:pStyle w:val="862"/>
        <w:keepNext w:val="true"/>
        <w:pBdr/>
        <w:spacing w:after="120" w:before="280"/>
        <w:ind/>
        <w:rPr/>
      </w:pPr>
      <w:r>
        <w:t xml:space="preserve">3. Qué entrega el equipo</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7338"/>
      </w:tblGrid>
      <w:tr>
        <w:trPr>
          <w:cantSplit/>
          <w:tblHeader/>
        </w:trPr>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300" w:type="dxa"/>
            <w:vAlign w:val="center"/>
            <w:textDirection w:val="lrTb"/>
            <w:noWrap w:val="false"/>
          </w:tcPr>
          <w:p>
            <w:pPr>
              <w:pBdr/>
              <w:spacing w:after="30" w:before="0"/>
              <w:ind/>
              <w:rPr/>
            </w:pPr>
            <w:r>
              <w:rPr>
                <w:b/>
                <w:bCs/>
                <w:color w:val="ffffff"/>
              </w:rPr>
              <w:t xml:space="preserve">Entregable</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7338" w:type="dxa"/>
            <w:vAlign w:val="center"/>
            <w:textDirection w:val="lrTb"/>
            <w:noWrap w:val="false"/>
          </w:tcPr>
          <w:p>
            <w:pPr>
              <w:pBdr/>
              <w:spacing w:after="30" w:before="0"/>
              <w:ind/>
              <w:rPr/>
            </w:pPr>
            <w:r>
              <w:rPr>
                <w:b/>
                <w:bCs/>
                <w:color w:val="ffffff"/>
              </w:rPr>
              <w:t xml:space="preserve">Qué contiene</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300" w:type="dxa"/>
            <w:vAlign w:val="center"/>
            <w:textDirection w:val="lrTb"/>
            <w:noWrap w:val="false"/>
          </w:tcPr>
          <w:p>
            <w:pPr>
              <w:pBdr/>
              <w:spacing w:after="30" w:before="0"/>
              <w:ind/>
              <w:rPr/>
            </w:pPr>
            <w:r>
              <w:rPr>
                <w:b/>
                <w:bCs/>
              </w:rPr>
              <w:t xml:space="preserve">Aplicación móvil</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7338" w:type="dxa"/>
            <w:vAlign w:val="center"/>
            <w:textDirection w:val="lrTb"/>
            <w:noWrap w:val="false"/>
          </w:tcPr>
          <w:p>
            <w:pPr>
              <w:pBdr/>
              <w:spacing w:after="30" w:before="0"/>
              <w:ind/>
              <w:rPr/>
            </w:pPr>
            <w:r>
              <w:rPr>
                <w:b w:val="0"/>
                <w:bCs w:val="0"/>
              </w:rPr>
              <w:t xml:space="preserve">App SwiftUI de </w:t>
            </w:r>
            <w:r>
              <w:rPr>
                <w:b/>
                <w:bCs/>
              </w:rPr>
              <w:t xml:space="preserve">una sola pantalla</w:t>
            </w:r>
            <w:r>
              <w:rPr>
                <w:b w:val="0"/>
                <w:bCs w:val="0"/>
              </w:rPr>
              <w:t xml:space="preserve">: formulario arriba y, al pulsar Calcular, la boleta debajo. Es el entregable principal.</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300" w:type="dxa"/>
            <w:vAlign w:val="center"/>
            <w:textDirection w:val="lrTb"/>
            <w:noWrap w:val="false"/>
          </w:tcPr>
          <w:p>
            <w:pPr>
              <w:pBdr/>
              <w:spacing w:after="30" w:before="0"/>
              <w:ind/>
              <w:rPr/>
            </w:pPr>
            <w:r>
              <w:rPr>
                <w:b/>
                <w:bCs/>
              </w:rPr>
              <w:t xml:space="preserve">Hoja de Excel</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7338" w:type="dxa"/>
            <w:vAlign w:val="center"/>
            <w:textDirection w:val="lrTb"/>
            <w:noWrap w:val="false"/>
          </w:tcPr>
          <w:p>
            <w:pPr>
              <w:pBdr/>
              <w:spacing w:after="30" w:before="0"/>
              <w:ind/>
              <w:rPr/>
            </w:pPr>
            <w:r>
              <w:rPr>
                <w:b w:val="0"/>
                <w:bCs w:val="0"/>
              </w:rPr>
              <w:t xml:space="preserve">Libro con fórmulas visibles que explica el cálculo: cada fórmula escrita en palabras y con un ejemplo numérico. Sirve también para validar la app.</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300" w:type="dxa"/>
            <w:vAlign w:val="center"/>
            <w:textDirection w:val="lrTb"/>
            <w:noWrap w:val="false"/>
          </w:tcPr>
          <w:p>
            <w:pPr>
              <w:pBdr/>
              <w:spacing w:after="30" w:before="0"/>
              <w:ind/>
              <w:rPr/>
            </w:pPr>
            <w:r>
              <w:rPr>
                <w:b/>
                <w:bCs/>
              </w:rPr>
              <w:t xml:space="preserve">Repositorio y análisis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7338" w:type="dxa"/>
            <w:vAlign w:val="center"/>
            <w:textDirection w:val="lrTb"/>
            <w:noWrap w:val="false"/>
          </w:tcPr>
          <w:p>
            <w:pPr>
              <w:pBdr/>
              <w:spacing w:after="30" w:before="0"/>
              <w:ind/>
              <w:rPr/>
            </w:pPr>
            <w:r>
              <w:rPr>
                <w:b w:val="0"/>
                <w:bCs w:val="0"/>
              </w:rPr>
              <w:t xml:space="preserve">Repositorio GitHub con commits por hito, respuestas a las preguntas de análisis y tabla de fuentes.</w:t>
            </w:r>
            <w:r/>
          </w:p>
        </w:tc>
      </w:tr>
    </w:tbl>
    <w:p>
      <w:pPr>
        <w:pBdr/>
        <w:spacing w:after="80"/>
        <w:ind/>
        <w:rPr/>
      </w:pPr>
      <w:r/>
      <w:r/>
    </w:p>
    <w:p>
      <w:pPr>
        <w:pBdr/>
        <w:shd w:val="clear" w:color="auto" w:fill="fff4d6"/>
        <w:spacing w:after="100" w:before="0"/>
        <w:ind/>
        <w:rPr/>
      </w:pPr>
      <w:r>
        <w:rPr>
          <w:b/>
          <w:bCs/>
        </w:rPr>
        <w:t xml:space="preserve">Control cruzado:</w:t>
      </w:r>
      <w:r>
        <w:t xml:space="preserve"> la app y el Excel deben dar el mismo resultado, al centavo, en los 4 casos. Si no coinciden, el equipo revisa dónde está la diferencia y lo documenta. El docente revisa el caso 4.</w:t>
      </w:r>
      <w:r/>
    </w:p>
    <w:p>
      <w:pPr>
        <w:pStyle w:val="862"/>
        <w:keepNext w:val="true"/>
        <w:pageBreakBefore w:val="true"/>
        <w:pBdr/>
        <w:spacing w:after="120" w:before="0"/>
        <w:ind/>
        <w:rPr/>
      </w:pPr>
      <w:r>
        <w:t xml:space="preserve">4. Reglas de cálculo</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6938"/>
      </w:tblGrid>
      <w:tr>
        <w:trPr>
          <w:cantSplit/>
          <w:tblHeader/>
        </w:trPr>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color w:val="ffffff"/>
              </w:rPr>
              <w:t xml:space="preserve">Concepto</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bCs/>
                <w:color w:val="ffffff"/>
              </w:rPr>
              <w:t xml:space="preserve">Cómo se calcula</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Sueldo computable</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Sueldo básico ÷ 30 × días laborados</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Asignación familiar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Si el trabajador tiene hijos: 10% de la RMV. No se prorratea por días</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Valor hora</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Sueldo básico ÷ 30 ÷ 8</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Horas extras al 25%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Valor hora × 1.25 × número de horas</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Horas extras al 35%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Valor hora × 1.35 × número de horas</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Total remuneraciones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Suma de los conceptos anteriores</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ONP</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13% del total de remuneraciones (si el trabajador está en la ONP)</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AFP</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Tres descuentos sobre el total de remuneraciones: fondo, comisión y seguro (si el trabajador está en una AFP)</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Adelantos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Monto ingresado, se resta tal cual</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Total descuentos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Pensión (ONP o AFP) + adelantos</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r>
            <w:r>
              <w:rPr>
                <w:b/>
                <w:bCs/>
              </w:rPr>
              <w:t xml:space="preserve">Neto a pagar</w:t>
            </w:r>
            <w:r>
              <w:rPr>
                <w:b/>
                <w:bCs/>
              </w:r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Total remuneraciones − total descuentos</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700" w:type="dxa"/>
            <w:vAlign w:val="center"/>
            <w:textDirection w:val="lrTb"/>
            <w:noWrap w:val="false"/>
          </w:tcPr>
          <w:p>
            <w:pPr>
              <w:pBdr/>
              <w:spacing w:after="30" w:before="0"/>
              <w:ind/>
              <w:rPr/>
            </w:pPr>
            <w:r>
              <w:rPr>
                <w:b/>
                <w:bCs/>
              </w:rPr>
              <w:t xml:space="preserve">EsSalud (empleador)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6938" w:type="dxa"/>
            <w:vAlign w:val="center"/>
            <w:textDirection w:val="lrTb"/>
            <w:noWrap w:val="false"/>
          </w:tcPr>
          <w:p>
            <w:pPr>
              <w:pBdr/>
              <w:spacing w:after="30" w:before="0"/>
              <w:ind/>
              <w:rPr/>
            </w:pPr>
            <w:r>
              <w:rPr>
                <w:b w:val="0"/>
                <w:bCs w:val="0"/>
              </w:rPr>
              <w:t xml:space="preserve">9% del total de remuneraciones. Lo paga el empleador: no se descuenta al trabajador</w:t>
            </w:r>
            <w:r/>
          </w:p>
        </w:tc>
      </w:tr>
    </w:tbl>
    <w:p>
      <w:pPr>
        <w:pStyle w:val="863"/>
        <w:keepNext w:val="true"/>
        <w:pBdr/>
        <w:spacing w:after="80" w:before="200"/>
        <w:ind/>
        <w:rPr/>
      </w:pPr>
      <w:r>
        <w:t xml:space="preserve">Parámetros</w:t>
      </w:r>
      <w:r/>
    </w:p>
    <w:p>
      <w:pPr>
        <w:pBdr/>
        <w:spacing w:after="80" w:before="0"/>
        <w:ind/>
        <w:rPr/>
      </w:pPr>
      <w:r>
        <w:t xml:space="preserve">Los parámetros no se escriben dentro de las fórmulas: van en un solo lugar (una hoja en Excel, constantes en Swift). Anota la fuente y la fecha de consulta de cada uno.</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2200"/>
        <w:gridCol w:w="4238"/>
      </w:tblGrid>
      <w:tr>
        <w:trPr>
          <w:cantSplit/>
          <w:tblHeader/>
        </w:trPr>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00" w:type="dxa"/>
            <w:vAlign w:val="center"/>
            <w:textDirection w:val="lrTb"/>
            <w:noWrap w:val="false"/>
          </w:tcPr>
          <w:p>
            <w:pPr>
              <w:pBdr/>
              <w:spacing w:after="30" w:before="0"/>
              <w:ind/>
              <w:rPr/>
            </w:pPr>
            <w:r>
              <w:rPr>
                <w:b/>
                <w:bCs/>
                <w:color w:val="ffffff"/>
              </w:rPr>
              <w:t xml:space="preserve">Parámetro</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200" w:type="dxa"/>
            <w:vAlign w:val="center"/>
            <w:textDirection w:val="lrTb"/>
            <w:noWrap w:val="false"/>
          </w:tcPr>
          <w:p>
            <w:pPr>
              <w:pBdr/>
              <w:spacing w:after="30" w:before="0"/>
              <w:ind/>
              <w:rPr/>
            </w:pPr>
            <w:r>
              <w:rPr>
                <w:b/>
                <w:bCs/>
                <w:color w:val="ffffff"/>
              </w:rPr>
              <w:t xml:space="preserve">Valor</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238" w:type="dxa"/>
            <w:vAlign w:val="center"/>
            <w:textDirection w:val="lrTb"/>
            <w:noWrap w:val="false"/>
          </w:tcPr>
          <w:p>
            <w:pPr>
              <w:pBdr/>
              <w:spacing w:after="30" w:before="0"/>
              <w:ind/>
              <w:rPr/>
            </w:pPr>
            <w:r>
              <w:rPr>
                <w:b/>
                <w:bCs/>
                <w:color w:val="ffffff"/>
              </w:rPr>
              <w:t xml:space="preserve">Fuente</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00" w:type="dxa"/>
            <w:vAlign w:val="center"/>
            <w:textDirection w:val="lrTb"/>
            <w:noWrap w:val="false"/>
          </w:tcPr>
          <w:p>
            <w:pPr>
              <w:pBdr/>
              <w:spacing w:after="30" w:before="0"/>
              <w:ind/>
              <w:rPr/>
            </w:pPr>
            <w:r>
              <w:rPr>
                <w:b/>
                <w:bCs/>
              </w:rPr>
              <w:t xml:space="preserve">RMV</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200" w:type="dxa"/>
            <w:vAlign w:val="center"/>
            <w:textDirection w:val="lrTb"/>
            <w:noWrap w:val="false"/>
          </w:tcPr>
          <w:p>
            <w:pPr>
              <w:pBdr/>
              <w:spacing w:after="30" w:before="0"/>
              <w:ind/>
              <w:rPr/>
            </w:pPr>
            <w:r>
              <w:rPr>
                <w:b w:val="0"/>
                <w:bCs w:val="0"/>
              </w:rPr>
              <w:t xml:space="preserve">S/ 1,230.00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238" w:type="dxa"/>
            <w:vAlign w:val="center"/>
            <w:textDirection w:val="lrTb"/>
            <w:noWrap w:val="false"/>
          </w:tcPr>
          <w:p>
            <w:pPr>
              <w:pBdr/>
              <w:spacing w:after="30" w:before="0"/>
              <w:ind/>
              <w:rPr/>
            </w:pPr>
            <w:r>
              <w:rPr>
                <w:b w:val="0"/>
                <w:bCs w:val="0"/>
              </w:rPr>
              <w:t xml:space="preserve">D.S. de la RMV, vigente desde el 1 de octubre de 2026</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00" w:type="dxa"/>
            <w:vAlign w:val="center"/>
            <w:textDirection w:val="lrTb"/>
            <w:noWrap w:val="false"/>
          </w:tcPr>
          <w:p>
            <w:pPr>
              <w:pBdr/>
              <w:spacing w:after="30" w:before="0"/>
              <w:ind/>
              <w:rPr/>
            </w:pPr>
            <w:r>
              <w:rPr>
                <w:b/>
                <w:bCs/>
              </w:rPr>
              <w:t xml:space="preserve">Asignación familiar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200" w:type="dxa"/>
            <w:vAlign w:val="center"/>
            <w:textDirection w:val="lrTb"/>
            <w:noWrap w:val="false"/>
          </w:tcPr>
          <w:p>
            <w:pPr>
              <w:pBdr/>
              <w:spacing w:after="30" w:before="0"/>
              <w:ind/>
              <w:rPr/>
            </w:pPr>
            <w:r>
              <w:rPr>
                <w:b w:val="0"/>
                <w:bCs w:val="0"/>
              </w:rPr>
              <w:t xml:space="preserve">10% de la RMV = S/ 123.00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238" w:type="dxa"/>
            <w:vAlign w:val="center"/>
            <w:textDirection w:val="lrTb"/>
            <w:noWrap w:val="false"/>
          </w:tcPr>
          <w:p>
            <w:pPr>
              <w:pBdr/>
              <w:spacing w:after="30" w:before="0"/>
              <w:ind/>
              <w:rPr/>
            </w:pPr>
            <w:r>
              <w:rPr>
                <w:b w:val="0"/>
                <w:bCs w:val="0"/>
              </w:rPr>
              <w:t xml:space="preserve">Ley 25129</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00" w:type="dxa"/>
            <w:vAlign w:val="center"/>
            <w:textDirection w:val="lrTb"/>
            <w:noWrap w:val="false"/>
          </w:tcPr>
          <w:p>
            <w:pPr>
              <w:pBdr/>
              <w:spacing w:after="30" w:before="0"/>
              <w:ind/>
              <w:rPr/>
            </w:pPr>
            <w:r>
              <w:rPr>
                <w:b/>
                <w:bCs/>
              </w:rPr>
              <w:t xml:space="preserve">ONP</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200" w:type="dxa"/>
            <w:vAlign w:val="center"/>
            <w:textDirection w:val="lrTb"/>
            <w:noWrap w:val="false"/>
          </w:tcPr>
          <w:p>
            <w:pPr>
              <w:pBdr/>
              <w:spacing w:after="30" w:before="0"/>
              <w:ind/>
              <w:rPr/>
            </w:pPr>
            <w:r>
              <w:rPr>
                <w:b w:val="0"/>
                <w:bCs w:val="0"/>
              </w:rPr>
              <w:t xml:space="preserve">13%</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238" w:type="dxa"/>
            <w:vAlign w:val="center"/>
            <w:textDirection w:val="lrTb"/>
            <w:noWrap w:val="false"/>
          </w:tcPr>
          <w:p>
            <w:pPr>
              <w:pBdr/>
              <w:spacing w:after="30" w:before="0"/>
              <w:ind/>
              <w:rPr/>
            </w:pPr>
            <w:r>
              <w:rPr>
                <w:b w:val="0"/>
                <w:bCs w:val="0"/>
              </w:rPr>
              <w:t xml:space="preserve">D.L. 19990</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00" w:type="dxa"/>
            <w:vAlign w:val="center"/>
            <w:textDirection w:val="lrTb"/>
            <w:noWrap w:val="false"/>
          </w:tcPr>
          <w:p>
            <w:pPr>
              <w:pBdr/>
              <w:spacing w:after="30" w:before="0"/>
              <w:ind/>
              <w:rPr/>
            </w:pPr>
            <w:r>
              <w:rPr>
                <w:b/>
                <w:bCs/>
              </w:rPr>
              <w:t xml:space="preserve">EsSalud</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200" w:type="dxa"/>
            <w:vAlign w:val="center"/>
            <w:textDirection w:val="lrTb"/>
            <w:noWrap w:val="false"/>
          </w:tcPr>
          <w:p>
            <w:pPr>
              <w:pBdr/>
              <w:spacing w:after="30" w:before="0"/>
              <w:ind/>
              <w:rPr/>
            </w:pPr>
            <w:r>
              <w:rPr>
                <w:b w:val="0"/>
                <w:bCs w:val="0"/>
              </w:rPr>
              <w:t xml:space="preserve">9%</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238" w:type="dxa"/>
            <w:vAlign w:val="center"/>
            <w:textDirection w:val="lrTb"/>
            <w:noWrap w:val="false"/>
          </w:tcPr>
          <w:p>
            <w:pPr>
              <w:pBdr/>
              <w:spacing w:after="30" w:before="0"/>
              <w:ind/>
              <w:rPr/>
            </w:pPr>
            <w:r>
              <w:rPr>
                <w:b w:val="0"/>
                <w:bCs w:val="0"/>
              </w:rPr>
              <w:t xml:space="preserve">Ley 26790</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00" w:type="dxa"/>
            <w:vAlign w:val="center"/>
            <w:textDirection w:val="lrTb"/>
            <w:noWrap w:val="false"/>
          </w:tcPr>
          <w:p>
            <w:pPr>
              <w:pBdr/>
              <w:spacing w:after="30" w:before="0"/>
              <w:ind/>
              <w:rPr/>
            </w:pPr>
            <w:r>
              <w:rPr>
                <w:b/>
                <w:bCs/>
              </w:rPr>
              <w:t xml:space="preserve">Recargo de horas extras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200" w:type="dxa"/>
            <w:vAlign w:val="center"/>
            <w:textDirection w:val="lrTb"/>
            <w:noWrap w:val="false"/>
          </w:tcPr>
          <w:p>
            <w:pPr>
              <w:pBdr/>
              <w:spacing w:after="30" w:before="0"/>
              <w:ind/>
              <w:rPr/>
            </w:pPr>
            <w:r>
              <w:rPr>
                <w:b w:val="0"/>
                <w:bCs w:val="0"/>
              </w:rPr>
              <w:t xml:space="preserve">25% las primeras horas, 35% las siguientes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238" w:type="dxa"/>
            <w:vAlign w:val="center"/>
            <w:textDirection w:val="lrTb"/>
            <w:noWrap w:val="false"/>
          </w:tcPr>
          <w:p>
            <w:pPr>
              <w:pBdr/>
              <w:spacing w:after="30" w:before="0"/>
              <w:ind/>
              <w:rPr/>
            </w:pPr>
            <w:r>
              <w:rPr>
                <w:b w:val="0"/>
                <w:bCs w:val="0"/>
              </w:rPr>
              <w:t xml:space="preserve">Normas de jornada y sobretiempo</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00" w:type="dxa"/>
            <w:vAlign w:val="center"/>
            <w:textDirection w:val="lrTb"/>
            <w:noWrap w:val="false"/>
          </w:tcPr>
          <w:p>
            <w:pPr>
              <w:pBdr/>
              <w:spacing w:after="30" w:before="0"/>
              <w:ind/>
              <w:rPr/>
            </w:pPr>
            <w:r>
              <w:rPr>
                <w:b/>
                <w:bCs/>
              </w:rPr>
              <w:t xml:space="preserve">AFP Ejemplo (solo para los casos de prueba)</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200" w:type="dxa"/>
            <w:vAlign w:val="center"/>
            <w:textDirection w:val="lrTb"/>
            <w:noWrap w:val="false"/>
          </w:tcPr>
          <w:p>
            <w:pPr>
              <w:pBdr/>
              <w:spacing w:after="30" w:before="0"/>
              <w:ind/>
              <w:rPr/>
            </w:pPr>
            <w:r>
              <w:rPr>
                <w:b w:val="0"/>
                <w:bCs w:val="0"/>
              </w:rPr>
              <w:t xml:space="preserve">Fondo 10.00%, comisión 1.60%, seguro 1.35%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238" w:type="dxa"/>
            <w:vAlign w:val="center"/>
            <w:textDirection w:val="lrTb"/>
            <w:noWrap w:val="false"/>
          </w:tcPr>
          <w:p>
            <w:pPr>
              <w:pBdr/>
              <w:spacing w:after="30" w:before="0"/>
              <w:ind/>
              <w:rPr/>
            </w:pPr>
            <w:r>
              <w:rPr>
                <w:b w:val="0"/>
                <w:bCs w:val="0"/>
              </w:rPr>
              <w:t xml:space="preserve">Valores de prueba. En datos reales, usa los de la SBS</w:t>
            </w:r>
            <w:r/>
          </w:p>
        </w:tc>
      </w:tr>
    </w:tbl>
    <w:p>
      <w:pPr>
        <w:pStyle w:val="863"/>
        <w:keepNext w:val="true"/>
        <w:pBdr/>
        <w:spacing w:after="80" w:before="200"/>
        <w:ind/>
        <w:rPr/>
      </w:pPr>
      <w:r>
        <w:t xml:space="preserve">Convenciones para que todos calculen igual</w:t>
      </w:r>
      <w:r/>
    </w:p>
    <w:p>
      <w:pPr>
        <w:pStyle w:val="854"/>
        <w:numPr>
          <w:ilvl w:val="0"/>
          <w:numId w:val="2"/>
        </w:numPr>
        <w:pBdr/>
        <w:spacing w:after="60"/>
        <w:ind/>
        <w:rPr/>
      </w:pPr>
      <w:r>
        <w:t xml:space="preserve">Cada concepto se redondea a 2 decimales y luego se suman. Montos en soles.</w:t>
      </w:r>
      <w:r/>
    </w:p>
    <w:p>
      <w:pPr>
        <w:pStyle w:val="854"/>
        <w:numPr>
          <w:ilvl w:val="0"/>
          <w:numId w:val="2"/>
        </w:numPr>
        <w:pBdr/>
        <w:spacing w:after="60"/>
        <w:ind/>
        <w:rPr/>
      </w:pPr>
      <w:r>
        <w:t xml:space="preserve">Los descuentos de ONP y AFP se calculan sobre el </w:t>
      </w:r>
      <w:r>
        <w:rPr>
          <w:b/>
          <w:bCs/>
        </w:rPr>
        <w:t xml:space="preserve">total de remuneraciones</w:t>
      </w:r>
      <w:r>
        <w:t xml:space="preserve">, que incluye asignación familiar y horas extras.</w:t>
      </w:r>
      <w:r/>
    </w:p>
    <w:p>
      <w:pPr>
        <w:pStyle w:val="854"/>
        <w:numPr>
          <w:ilvl w:val="0"/>
          <w:numId w:val="2"/>
        </w:numPr>
        <w:pBdr/>
        <w:spacing w:after="60"/>
        <w:ind/>
        <w:rPr/>
      </w:pPr>
      <w:r>
        <w:t xml:space="preserve">Las horas extras se ingresan ya separadas: cuántas son al 25% y cuántas al 35%.</w:t>
      </w:r>
      <w:r/>
    </w:p>
    <w:p>
      <w:pPr>
        <w:pStyle w:val="854"/>
        <w:numPr>
          <w:ilvl w:val="0"/>
          <w:numId w:val="2"/>
        </w:numPr>
        <w:pBdr/>
        <w:spacing w:after="60"/>
        <w:ind/>
        <w:rPr/>
      </w:pPr>
      <w:r>
        <w:t xml:space="preserve">No se calcula la retención de renta de 5.ª categoría ni se consideran faltas aparte: las faltas ya están reflejadas en los días laborados.</w:t>
      </w:r>
      <w:r/>
    </w:p>
    <w:p>
      <w:pPr>
        <w:pStyle w:val="854"/>
        <w:numPr>
          <w:ilvl w:val="0"/>
          <w:numId w:val="2"/>
        </w:numPr>
        <w:pBdr/>
        <w:spacing w:after="60"/>
        <w:ind/>
        <w:rPr/>
      </w:pPr>
      <w:r>
        <w:t xml:space="preserve">EsSalud se calcula sobre el total de remuneraciones, sin considerar bases mínimas.</w:t>
      </w:r>
      <w:r/>
    </w:p>
    <w:p>
      <w:pPr>
        <w:pStyle w:val="862"/>
        <w:keepNext w:val="true"/>
        <w:pBdr/>
        <w:spacing w:after="120" w:before="280"/>
        <w:ind/>
        <w:rPr/>
      </w:pPr>
      <w:r>
        <w:t xml:space="preserve">5. Datos de entrada y pantalla</w:t>
      </w:r>
      <w:r/>
    </w:p>
    <w:p>
      <w:pPr>
        <w:pBdr/>
        <w:spacing w:after="100" w:before="0"/>
        <w:ind/>
        <w:rPr/>
      </w:pPr>
      <w:r>
        <w:t xml:space="preserve">La</w:t>
      </w:r>
      <w:r>
        <w:t xml:space="preserve"> app tiene una sola pantalla. Usa solo los controles vistos en clase: Text, VStack, HStack, @State, TextField, Picker y Button. Como el formulario y la boleta no caben en la pantalla del celular, envuélvelos en un ScrollView, que es el único control nuevo.</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238"/>
        <w:gridCol w:w="900"/>
        <w:gridCol w:w="3100"/>
      </w:tblGrid>
      <w:tr>
        <w:trPr>
          <w:cantSplit/>
          <w:tblHeader/>
        </w:trPr>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400" w:type="dxa"/>
            <w:vAlign w:val="center"/>
            <w:textDirection w:val="lrTb"/>
            <w:noWrap w:val="false"/>
          </w:tcPr>
          <w:p>
            <w:pPr>
              <w:pBdr/>
              <w:spacing w:after="30" w:before="0"/>
              <w:ind/>
              <w:rPr/>
            </w:pPr>
            <w:r>
              <w:rPr>
                <w:b/>
                <w:bCs/>
                <w:color w:val="ffffff"/>
              </w:rPr>
              <w:t xml:space="preserve">Dato</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bCs/>
                <w:color w:val="ffffff"/>
              </w:rPr>
              <w:t xml:space="preserve">Control</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900" w:type="dxa"/>
            <w:vAlign w:val="center"/>
            <w:textDirection w:val="lrTb"/>
            <w:noWrap w:val="false"/>
          </w:tcPr>
          <w:p>
            <w:pPr>
              <w:pBdr/>
              <w:spacing w:after="30" w:before="0"/>
              <w:ind/>
              <w:rPr/>
            </w:pPr>
            <w:r>
              <w:rPr>
                <w:b/>
                <w:bCs/>
                <w:color w:val="ffffff"/>
              </w:rPr>
              <w:t xml:space="preserve">Nivel</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100" w:type="dxa"/>
            <w:vAlign w:val="center"/>
            <w:textDirection w:val="lrTb"/>
            <w:noWrap w:val="false"/>
          </w:tcPr>
          <w:p>
            <w:pPr>
              <w:pBdr/>
              <w:spacing w:after="30" w:before="0"/>
              <w:ind/>
              <w:rPr/>
            </w:pPr>
            <w:r>
              <w:rPr>
                <w:b/>
                <w:bCs/>
                <w:color w:val="ffffff"/>
              </w:rPr>
              <w:t xml:space="preserve">Validación</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400" w:type="dxa"/>
            <w:vAlign w:val="center"/>
            <w:textDirection w:val="lrTb"/>
            <w:noWrap w:val="false"/>
          </w:tcPr>
          <w:p>
            <w:pPr>
              <w:pBdr/>
              <w:spacing w:after="30" w:before="0"/>
              <w:ind/>
              <w:rPr/>
            </w:pPr>
            <w:r>
              <w:rPr>
                <w:b/>
                <w:bCs/>
              </w:rPr>
              <w:t xml:space="preserve">Sueldo básico</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val="0"/>
                <w:bCs w:val="0"/>
              </w:rPr>
              <w:t xml:space="preserve">TextField con teclado decimal</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900" w:type="dxa"/>
            <w:vAlign w:val="center"/>
            <w:textDirection w:val="lrTb"/>
            <w:noWrap w:val="false"/>
          </w:tcPr>
          <w:p>
            <w:pPr>
              <w:pBdr/>
              <w:spacing w:after="30" w:before="0"/>
              <w:ind/>
              <w:rPr/>
            </w:pPr>
            <w:r>
              <w:rPr>
                <w:b w:val="0"/>
                <w:bCs w:val="0"/>
              </w:rPr>
              <w:t xml:space="preserve">1</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100" w:type="dxa"/>
            <w:vAlign w:val="center"/>
            <w:textDirection w:val="lrTb"/>
            <w:noWrap w:val="false"/>
          </w:tcPr>
          <w:p>
            <w:pPr>
              <w:pBdr/>
              <w:spacing w:after="30" w:before="0"/>
              <w:ind/>
              <w:rPr/>
            </w:pPr>
            <w:r>
              <w:rPr>
                <w:b w:val="0"/>
                <w:bCs w:val="0"/>
              </w:rPr>
              <w:t xml:space="preserve">Mayor que cero</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400" w:type="dxa"/>
            <w:vAlign w:val="center"/>
            <w:textDirection w:val="lrTb"/>
            <w:noWrap w:val="false"/>
          </w:tcPr>
          <w:p>
            <w:pPr>
              <w:pBdr/>
              <w:spacing w:after="30" w:before="0"/>
              <w:ind/>
              <w:rPr/>
            </w:pPr>
            <w:r>
              <w:rPr>
                <w:b/>
                <w:bCs/>
              </w:rPr>
              <w:t xml:space="preserve">Días laborados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val="0"/>
                <w:bCs w:val="0"/>
              </w:rPr>
              <w:t xml:space="preserve">TextField</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900" w:type="dxa"/>
            <w:vAlign w:val="center"/>
            <w:textDirection w:val="lrTb"/>
            <w:noWrap w:val="false"/>
          </w:tcPr>
          <w:p>
            <w:pPr>
              <w:pBdr/>
              <w:spacing w:after="30" w:before="0"/>
              <w:ind/>
              <w:rPr/>
            </w:pPr>
            <w:r>
              <w:rPr>
                <w:b w:val="0"/>
                <w:bCs w:val="0"/>
              </w:rPr>
              <w:t xml:space="preserve">1</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100" w:type="dxa"/>
            <w:vAlign w:val="center"/>
            <w:textDirection w:val="lrTb"/>
            <w:noWrap w:val="false"/>
          </w:tcPr>
          <w:p>
            <w:pPr>
              <w:pBdr/>
              <w:spacing w:after="30" w:before="0"/>
              <w:ind/>
              <w:rPr/>
            </w:pPr>
            <w:r>
              <w:rPr>
                <w:b w:val="0"/>
                <w:bCs w:val="0"/>
              </w:rPr>
              <w:t xml:space="preserve">Entre 1 y 30</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400" w:type="dxa"/>
            <w:vAlign w:val="center"/>
            <w:textDirection w:val="lrTb"/>
            <w:noWrap w:val="false"/>
          </w:tcPr>
          <w:p>
            <w:pPr>
              <w:pBdr/>
              <w:spacing w:after="30" w:before="0"/>
              <w:ind/>
              <w:rPr/>
            </w:pPr>
            <w:r>
              <w:rPr>
                <w:b/>
                <w:bCs/>
              </w:rPr>
              <w:t xml:space="preserve">¿Tiene hijos?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val="0"/>
                <w:bCs w:val="0"/>
              </w:rPr>
              <w:t xml:space="preserve">Picker (No / Sí)</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900" w:type="dxa"/>
            <w:vAlign w:val="center"/>
            <w:textDirection w:val="lrTb"/>
            <w:noWrap w:val="false"/>
          </w:tcPr>
          <w:p>
            <w:pPr>
              <w:pBdr/>
              <w:spacing w:after="30" w:before="0"/>
              <w:ind/>
              <w:rPr/>
            </w:pPr>
            <w:r>
              <w:rPr>
                <w:b w:val="0"/>
                <w:bCs w:val="0"/>
              </w:rPr>
              <w:t xml:space="preserve">1</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100" w:type="dxa"/>
            <w:vAlign w:val="center"/>
            <w:textDirection w:val="lrTb"/>
            <w:noWrap w:val="false"/>
          </w:tcPr>
          <w:p>
            <w:pPr>
              <w:pBdr/>
              <w:spacing w:after="30" w:before="0"/>
              <w:ind/>
              <w:rPr/>
            </w:pPr>
            <w:r>
              <w:rPr>
                <w:b w:val="0"/>
                <w:bCs w:val="0"/>
              </w:rPr>
              <w:t xml:space="preserve">—</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400" w:type="dxa"/>
            <w:vAlign w:val="center"/>
            <w:textDirection w:val="lrTb"/>
            <w:noWrap w:val="false"/>
          </w:tcPr>
          <w:p>
            <w:pPr>
              <w:pBdr/>
              <w:spacing w:after="30" w:before="0"/>
              <w:ind/>
              <w:rPr/>
            </w:pPr>
            <w:r>
              <w:rPr>
                <w:b/>
                <w:bCs/>
              </w:rPr>
              <w:t xml:space="preserve">Sistema de pensiones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val="0"/>
                <w:bCs w:val="0"/>
              </w:rPr>
              <w:t xml:space="preserve">Picker (ONP / AFP)</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900" w:type="dxa"/>
            <w:vAlign w:val="center"/>
            <w:textDirection w:val="lrTb"/>
            <w:noWrap w:val="false"/>
          </w:tcPr>
          <w:p>
            <w:pPr>
              <w:pBdr/>
              <w:spacing w:after="30" w:before="0"/>
              <w:ind/>
              <w:rPr/>
            </w:pPr>
            <w:r>
              <w:rPr>
                <w:b w:val="0"/>
                <w:bCs w:val="0"/>
              </w:rPr>
              <w:t xml:space="preserve">1</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100" w:type="dxa"/>
            <w:vAlign w:val="center"/>
            <w:textDirection w:val="lrTb"/>
            <w:noWrap w:val="false"/>
          </w:tcPr>
          <w:p>
            <w:pPr>
              <w:pBdr/>
              <w:spacing w:after="30" w:before="0"/>
              <w:ind/>
              <w:rPr/>
            </w:pPr>
            <w:r>
              <w:rPr>
                <w:b w:val="0"/>
                <w:bCs w:val="0"/>
              </w:rPr>
              <w:t xml:space="preserve">—</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400" w:type="dxa"/>
            <w:vAlign w:val="center"/>
            <w:textDirection w:val="lrTb"/>
            <w:noWrap w:val="false"/>
          </w:tcPr>
          <w:p>
            <w:pPr>
              <w:pBdr/>
              <w:spacing w:after="30" w:before="0"/>
              <w:ind/>
              <w:rPr/>
            </w:pPr>
            <w:r>
              <w:rPr>
                <w:b/>
                <w:bCs/>
              </w:rPr>
              <w:t xml:space="preserve">AFP</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val="0"/>
                <w:bCs w:val="0"/>
              </w:rPr>
              <w:t xml:space="preserve">Picker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900" w:type="dxa"/>
            <w:vAlign w:val="center"/>
            <w:textDirection w:val="lrTb"/>
            <w:noWrap w:val="false"/>
          </w:tcPr>
          <w:p>
            <w:pPr>
              <w:pBdr/>
              <w:spacing w:after="30" w:before="0"/>
              <w:ind/>
              <w:rPr/>
            </w:pPr>
            <w:r>
              <w:rPr>
                <w:b w:val="0"/>
                <w:bCs w:val="0"/>
              </w:rPr>
              <w:t xml:space="preserve">2</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100" w:type="dxa"/>
            <w:vAlign w:val="center"/>
            <w:textDirection w:val="lrTb"/>
            <w:noWrap w:val="false"/>
          </w:tcPr>
          <w:p>
            <w:pPr>
              <w:pBdr/>
              <w:spacing w:after="30" w:before="0"/>
              <w:ind/>
              <w:rPr/>
            </w:pPr>
            <w:r>
              <w:rPr>
                <w:b w:val="0"/>
                <w:bCs w:val="0"/>
              </w:rPr>
              <w:t xml:space="preserve">Solo aparece si eligió AFP</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400" w:type="dxa"/>
            <w:vAlign w:val="center"/>
            <w:textDirection w:val="lrTb"/>
            <w:noWrap w:val="false"/>
          </w:tcPr>
          <w:p>
            <w:pPr>
              <w:pBdr/>
              <w:spacing w:after="30" w:before="0"/>
              <w:ind/>
              <w:rPr/>
            </w:pPr>
            <w:r>
              <w:rPr>
                <w:b/>
                <w:bCs/>
              </w:rPr>
              <w:t xml:space="preserve">Horas extras al 25%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val="0"/>
                <w:bCs w:val="0"/>
              </w:rPr>
              <w:t xml:space="preserve">TextField</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900" w:type="dxa"/>
            <w:vAlign w:val="center"/>
            <w:textDirection w:val="lrTb"/>
            <w:noWrap w:val="false"/>
          </w:tcPr>
          <w:p>
            <w:pPr>
              <w:pBdr/>
              <w:spacing w:after="30" w:before="0"/>
              <w:ind/>
              <w:rPr/>
            </w:pPr>
            <w:r>
              <w:rPr>
                <w:b w:val="0"/>
                <w:bCs w:val="0"/>
              </w:rPr>
              <w:t xml:space="preserve">2</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100" w:type="dxa"/>
            <w:vAlign w:val="center"/>
            <w:textDirection w:val="lrTb"/>
            <w:noWrap w:val="false"/>
          </w:tcPr>
          <w:p>
            <w:pPr>
              <w:pBdr/>
              <w:spacing w:after="30" w:before="0"/>
              <w:ind/>
              <w:rPr/>
            </w:pPr>
            <w:r>
              <w:rPr>
                <w:b w:val="0"/>
                <w:bCs w:val="0"/>
              </w:rPr>
              <w:t xml:space="preserve">Mayor o igual a cero</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400" w:type="dxa"/>
            <w:vAlign w:val="center"/>
            <w:textDirection w:val="lrTb"/>
            <w:noWrap w:val="false"/>
          </w:tcPr>
          <w:p>
            <w:pPr>
              <w:pBdr/>
              <w:spacing w:after="30" w:before="0"/>
              <w:ind/>
              <w:rPr/>
            </w:pPr>
            <w:r>
              <w:rPr>
                <w:b/>
                <w:bCs/>
              </w:rPr>
              <w:t xml:space="preserve">Horas extras al 35%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val="0"/>
                <w:bCs w:val="0"/>
              </w:rPr>
              <w:t xml:space="preserve">TextField</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900" w:type="dxa"/>
            <w:vAlign w:val="center"/>
            <w:textDirection w:val="lrTb"/>
            <w:noWrap w:val="false"/>
          </w:tcPr>
          <w:p>
            <w:pPr>
              <w:pBdr/>
              <w:spacing w:after="30" w:before="0"/>
              <w:ind/>
              <w:rPr/>
            </w:pPr>
            <w:r>
              <w:rPr>
                <w:b w:val="0"/>
                <w:bCs w:val="0"/>
              </w:rPr>
              <w:t xml:space="preserve">2</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100" w:type="dxa"/>
            <w:vAlign w:val="center"/>
            <w:textDirection w:val="lrTb"/>
            <w:noWrap w:val="false"/>
          </w:tcPr>
          <w:p>
            <w:pPr>
              <w:pBdr/>
              <w:spacing w:after="30" w:before="0"/>
              <w:ind/>
              <w:rPr/>
            </w:pPr>
            <w:r>
              <w:rPr>
                <w:b w:val="0"/>
                <w:bCs w:val="0"/>
              </w:rPr>
              <w:t xml:space="preserve">Mayor o igual a cero</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400" w:type="dxa"/>
            <w:vAlign w:val="center"/>
            <w:textDirection w:val="lrTb"/>
            <w:noWrap w:val="false"/>
          </w:tcPr>
          <w:p>
            <w:pPr>
              <w:pBdr/>
              <w:spacing w:after="30" w:before="0"/>
              <w:ind/>
              <w:rPr/>
            </w:pPr>
            <w:r>
              <w:rPr>
                <w:b/>
                <w:bCs/>
              </w:rPr>
              <w:t xml:space="preserve">Adelantos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val="0"/>
                <w:bCs w:val="0"/>
              </w:rPr>
              <w:t xml:space="preserve">TextField</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900" w:type="dxa"/>
            <w:vAlign w:val="center"/>
            <w:textDirection w:val="lrTb"/>
            <w:noWrap w:val="false"/>
          </w:tcPr>
          <w:p>
            <w:pPr>
              <w:pBdr/>
              <w:spacing w:after="30" w:before="0"/>
              <w:ind/>
              <w:rPr/>
            </w:pPr>
            <w:r>
              <w:rPr>
                <w:b w:val="0"/>
                <w:bCs w:val="0"/>
              </w:rPr>
              <w:t xml:space="preserve">2</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100" w:type="dxa"/>
            <w:vAlign w:val="center"/>
            <w:textDirection w:val="lrTb"/>
            <w:noWrap w:val="false"/>
          </w:tcPr>
          <w:p>
            <w:pPr>
              <w:pBdr/>
              <w:spacing w:after="30" w:before="0"/>
              <w:ind/>
              <w:rPr/>
            </w:pPr>
            <w:r>
              <w:rPr>
                <w:b w:val="0"/>
                <w:bCs w:val="0"/>
              </w:rPr>
              <w:t xml:space="preserve">Mayor o igual a cero</w:t>
            </w:r>
            <w:r/>
          </w:p>
        </w:tc>
      </w:tr>
    </w:tbl>
    <w:p>
      <w:pPr>
        <w:pBdr/>
        <w:spacing w:after="60"/>
        <w:ind/>
        <w:rPr/>
      </w:pPr>
      <w:r/>
      <w:r/>
    </w:p>
    <w:p>
      <w:pPr>
        <w:pBdr/>
        <w:spacing w:after="100" w:before="0"/>
        <w:ind/>
        <w:rPr/>
      </w:pPr>
      <w:r>
        <w:t xml:space="preserve">Si los datos no son válidos, la app muestra un mensaje claro y no calcula.</w:t>
      </w:r>
      <w:r/>
    </w:p>
    <w:p>
      <w:pPr>
        <w:pStyle w:val="863"/>
        <w:keepNext w:val="true"/>
        <w:pBdr/>
        <w:spacing w:after="80" w:before="200"/>
        <w:ind/>
        <w:rPr/>
      </w:pPr>
      <w:r>
        <w:t xml:space="preserve">Cómo se ve el resultado</w:t>
      </w:r>
      <w:r/>
    </w:p>
    <w:p>
      <w:pPr>
        <w:pBdr/>
        <w:spacing w:after="80" w:before="0"/>
        <w:ind/>
        <w:rPr/>
      </w:pPr>
      <w:r>
        <w:t xml:space="preserve">La boleta imita las tres columnas del formato real. En el celular los tres bloques van uno debajo del otro. Ejemplo con los datos del caso 1:</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50"/>
        <w:gridCol w:w="1250"/>
        <w:gridCol w:w="1950"/>
        <w:gridCol w:w="1250"/>
        <w:gridCol w:w="1950"/>
        <w:gridCol w:w="1288"/>
      </w:tblGrid>
      <w:tr>
        <w:trPr>
          <w:tblHeader/>
        </w:trPr>
        <w:tc>
          <w:tcPr>
            <w:gridSpan w:val="2"/>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00" w:type="dxa"/>
            <w:vAlign w:val="center"/>
            <w:textDirection w:val="lrTb"/>
            <w:noWrap w:val="false"/>
          </w:tcPr>
          <w:p>
            <w:pPr>
              <w:pBdr/>
              <w:spacing w:after="30" w:before="0"/>
              <w:ind/>
              <w:rPr/>
            </w:pPr>
            <w:r>
              <w:rPr>
                <w:b/>
                <w:bCs/>
                <w:color w:val="ffffff"/>
              </w:rPr>
              <w:t xml:space="preserve">REMUNERACIONES</w:t>
            </w:r>
            <w:r/>
          </w:p>
        </w:tc>
        <w:tc>
          <w:tcPr>
            <w:gridSpan w:val="2"/>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00" w:type="dxa"/>
            <w:vAlign w:val="center"/>
            <w:textDirection w:val="lrTb"/>
            <w:noWrap w:val="false"/>
          </w:tcPr>
          <w:p>
            <w:pPr>
              <w:pBdr/>
              <w:spacing w:after="30" w:before="0"/>
              <w:ind/>
              <w:rPr/>
            </w:pPr>
            <w:r>
              <w:rPr>
                <w:b/>
                <w:bCs/>
                <w:color w:val="ffffff"/>
              </w:rPr>
              <w:t xml:space="preserve">RETENCIONES / DESCUENTOS</w:t>
            </w:r>
            <w:r/>
          </w:p>
        </w:tc>
        <w:tc>
          <w:tcPr>
            <w:gridSpan w:val="2"/>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3238" w:type="dxa"/>
            <w:vAlign w:val="center"/>
            <w:textDirection w:val="lrTb"/>
            <w:noWrap w:val="false"/>
          </w:tcPr>
          <w:p>
            <w:pPr>
              <w:pBdr/>
              <w:spacing w:after="30" w:before="0"/>
              <w:ind/>
              <w:rPr/>
            </w:pPr>
            <w:r>
              <w:rPr>
                <w:b/>
                <w:bCs/>
                <w:color w:val="ffffff"/>
              </w:rPr>
              <w:t xml:space="preserve">APORTACIONES DEL EMPLEADOR</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Sueldo computable</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t xml:space="preserve">2,500.00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ONP</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t xml:space="preserve">325.00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EsSalud (9%)</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88" w:type="dxa"/>
            <w:vAlign w:val="center"/>
            <w:textDirection w:val="lrTb"/>
            <w:noWrap w:val="false"/>
          </w:tcPr>
          <w:p>
            <w:pPr>
              <w:pBdr/>
              <w:spacing w:after="30" w:before="0"/>
              <w:ind/>
              <w:jc w:val="right"/>
              <w:rPr/>
            </w:pPr>
            <w:r>
              <w:t xml:space="preserve">225.00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Asignación familiar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t xml:space="preserve">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AFP fondo</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t xml:space="preserve">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88" w:type="dxa"/>
            <w:vAlign w:val="center"/>
            <w:textDirection w:val="lrTb"/>
            <w:noWrap w:val="false"/>
          </w:tcPr>
          <w:p>
            <w:pPr>
              <w:pBdr/>
              <w:spacing w:after="30" w:before="0"/>
              <w:ind/>
              <w:jc w:val="right"/>
              <w:rPr/>
            </w:pPr>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Horas extras 25%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t xml:space="preserve">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AFP comisión</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t xml:space="preserve">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88" w:type="dxa"/>
            <w:vAlign w:val="center"/>
            <w:textDirection w:val="lrTb"/>
            <w:noWrap w:val="false"/>
          </w:tcPr>
          <w:p>
            <w:pPr>
              <w:pBdr/>
              <w:spacing w:after="30" w:before="0"/>
              <w:ind/>
              <w:jc w:val="right"/>
              <w:rPr/>
            </w:pPr>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Horas extras 35%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t xml:space="preserve">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AFP seguro</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t xml:space="preserve">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88" w:type="dxa"/>
            <w:vAlign w:val="center"/>
            <w:textDirection w:val="lrTb"/>
            <w:noWrap w:val="false"/>
          </w:tcPr>
          <w:p>
            <w:pPr>
              <w:pBdr/>
              <w:spacing w:after="30" w:before="0"/>
              <w:ind/>
              <w:jc w:val="right"/>
              <w:rPr/>
            </w:pPr>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t xml:space="preserve">Adelantos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t xml:space="preserve">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88" w:type="dxa"/>
            <w:vAlign w:val="center"/>
            <w:textDirection w:val="lrTb"/>
            <w:noWrap w:val="false"/>
          </w:tcPr>
          <w:p>
            <w:pPr>
              <w:pBdr/>
              <w:spacing w:after="30" w:before="0"/>
              <w:ind/>
              <w:jc w:val="right"/>
              <w:rPr/>
            </w:pPr>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rPr>
                <w:b/>
                <w:bCs/>
              </w:rPr>
              <w:t xml:space="preserve">Total remuneraciones</w:t>
            </w:r>
            <w:r/>
          </w:p>
        </w:tc>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rPr>
                <w:b/>
                <w:bCs/>
              </w:rPr>
              <w:t xml:space="preserve">2,500.00</w:t>
            </w:r>
            <w:r/>
          </w:p>
        </w:tc>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rPr>
                <w:b/>
                <w:bCs/>
              </w:rPr>
              <w:t xml:space="preserve">Total descuentos</w:t>
            </w:r>
            <w:r/>
          </w:p>
        </w:tc>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50" w:type="dxa"/>
            <w:vAlign w:val="center"/>
            <w:textDirection w:val="lrTb"/>
            <w:noWrap w:val="false"/>
          </w:tcPr>
          <w:p>
            <w:pPr>
              <w:pBdr/>
              <w:spacing w:after="30" w:before="0"/>
              <w:ind/>
              <w:jc w:val="right"/>
              <w:rPr/>
            </w:pPr>
            <w:r>
              <w:rPr>
                <w:b/>
                <w:bCs/>
              </w:rPr>
              <w:t xml:space="preserve">325.00</w:t>
            </w:r>
            <w:r/>
          </w:p>
        </w:tc>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950" w:type="dxa"/>
            <w:vAlign w:val="center"/>
            <w:textDirection w:val="lrTb"/>
            <w:noWrap w:val="false"/>
          </w:tcPr>
          <w:p>
            <w:pPr>
              <w:pBdr/>
              <w:spacing w:after="30" w:before="0"/>
              <w:ind/>
              <w:rPr/>
            </w:pPr>
            <w:r/>
            <w:r/>
          </w:p>
        </w:tc>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288" w:type="dxa"/>
            <w:vAlign w:val="center"/>
            <w:textDirection w:val="lrTb"/>
            <w:noWrap w:val="false"/>
          </w:tcPr>
          <w:p>
            <w:pPr>
              <w:pBdr/>
              <w:spacing w:after="30" w:before="0"/>
              <w:ind/>
              <w:jc w:val="right"/>
              <w:rPr/>
            </w:pPr>
            <w:r/>
            <w:r/>
          </w:p>
        </w:tc>
      </w:tr>
    </w:tbl>
    <w:p>
      <w:pPr>
        <w:pBdr/>
        <w:spacing w:after="60"/>
        <w:ind/>
        <w:rPr/>
      </w:pPr>
      <w:r/>
      <w:r/>
    </w:p>
    <w:p>
      <w:pPr>
        <w:pBdr/>
        <w:shd w:val="clear" w:color="auto" w:fill="e6f4ea"/>
        <w:spacing w:after="100" w:before="0"/>
        <w:ind/>
        <w:rPr/>
      </w:pPr>
      <w:r>
        <w:rPr>
          <w:b/>
          <w:bCs/>
        </w:rPr>
        <w:t xml:space="preserve">NETO A PAGAR: S/ 2,175.00</w:t>
      </w:r>
      <w:r/>
    </w:p>
    <w:p>
      <w:pPr>
        <w:pBdr/>
        <w:spacing w:after="100" w:before="0"/>
        <w:ind/>
        <w:rPr/>
      </w:pPr>
      <w:r>
        <w:rPr>
          <w:i/>
          <w:iCs/>
          <w:sz w:val="19"/>
          <w:szCs w:val="19"/>
        </w:rPr>
        <w:t xml:space="preserve">Los conceptos que no aplican se muestran con 0.00, como en la boleta real.</w:t>
      </w:r>
      <w:r/>
    </w:p>
    <w:p>
      <w:pPr>
        <w:pStyle w:val="862"/>
        <w:keepNext w:val="true"/>
        <w:pBdr/>
        <w:spacing w:after="120" w:before="280"/>
        <w:ind/>
        <w:rPr/>
      </w:pPr>
      <w:r>
        <w:t xml:space="preserve">6. Niveles de avance</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8138"/>
      </w:tblGrid>
      <w:tr>
        <w:trPr>
          <w:cantSplit/>
          <w:tblHeader/>
        </w:trPr>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500" w:type="dxa"/>
            <w:vAlign w:val="center"/>
            <w:textDirection w:val="lrTb"/>
            <w:noWrap w:val="false"/>
          </w:tcPr>
          <w:p>
            <w:pPr>
              <w:pBdr/>
              <w:spacing w:after="30" w:before="0"/>
              <w:ind/>
              <w:rPr/>
            </w:pPr>
            <w:r>
              <w:rPr>
                <w:b/>
                <w:bCs/>
                <w:color w:val="ffffff"/>
              </w:rPr>
              <w:t xml:space="preserve">Nivel</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8138" w:type="dxa"/>
            <w:vAlign w:val="center"/>
            <w:textDirection w:val="lrTb"/>
            <w:noWrap w:val="false"/>
          </w:tcPr>
          <w:p>
            <w:pPr>
              <w:pBdr/>
              <w:spacing w:after="30" w:before="0"/>
              <w:ind/>
              <w:rPr/>
            </w:pPr>
            <w:r>
              <w:rPr>
                <w:b/>
                <w:bCs/>
                <w:color w:val="ffffff"/>
              </w:rPr>
              <w:t xml:space="preserve">Qué incluye</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500" w:type="dxa"/>
            <w:vAlign w:val="center"/>
            <w:textDirection w:val="lrTb"/>
            <w:noWrap w:val="false"/>
          </w:tcPr>
          <w:p>
            <w:pPr>
              <w:pBdr/>
              <w:spacing w:after="30" w:before="0"/>
              <w:ind/>
              <w:rPr/>
            </w:pPr>
            <w:r>
              <w:rPr>
                <w:b/>
                <w:bCs/>
              </w:rPr>
              <w:t xml:space="preserve">1 (obligatorio)</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8138" w:type="dxa"/>
            <w:vAlign w:val="center"/>
            <w:textDirection w:val="lrTb"/>
            <w:noWrap w:val="false"/>
          </w:tcPr>
          <w:p>
            <w:pPr>
              <w:pBdr/>
              <w:spacing w:after="30" w:before="0"/>
              <w:ind/>
              <w:rPr/>
            </w:pPr>
            <w:r>
              <w:rPr>
                <w:b w:val="0"/>
                <w:bCs w:val="0"/>
              </w:rPr>
              <w:t xml:space="preserve">Sueldo, días laborados, asignación familiar, ONP, EsSalud y neto. Casos 1 y 2</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500" w:type="dxa"/>
            <w:vAlign w:val="center"/>
            <w:textDirection w:val="lrTb"/>
            <w:noWrap w:val="false"/>
          </w:tcPr>
          <w:p>
            <w:pPr>
              <w:pBdr/>
              <w:spacing w:after="30" w:before="0"/>
              <w:ind/>
              <w:rPr/>
            </w:pPr>
            <w:r>
              <w:rPr>
                <w:b/>
                <w:bCs/>
              </w:rPr>
              <w:t xml:space="preserve">2</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8138" w:type="dxa"/>
            <w:vAlign w:val="center"/>
            <w:textDirection w:val="lrTb"/>
            <w:noWrap w:val="false"/>
          </w:tcPr>
          <w:p>
            <w:pPr>
              <w:pBdr/>
              <w:spacing w:after="30" w:before="0"/>
              <w:ind/>
              <w:rPr/>
            </w:pPr>
            <w:r>
              <w:rPr>
                <w:b w:val="0"/>
                <w:bCs w:val="0"/>
              </w:rPr>
              <w:t xml:space="preserve">AFP en lugar de ONP, horas extras y adelantos. Casos 3 y 4</w:t>
            </w:r>
            <w:r/>
          </w:p>
        </w:tc>
      </w:tr>
      <w:tr>
        <w:trPr>
          <w:cantSplit/>
        </w:trPr>
        <w:tc>
          <w:tcPr>
            <w:shd w:val="clear" w:color="auto" w:fill="eaf1fb"/>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1500" w:type="dxa"/>
            <w:vAlign w:val="center"/>
            <w:textDirection w:val="lrTb"/>
            <w:noWrap w:val="false"/>
          </w:tcPr>
          <w:p>
            <w:pPr>
              <w:pBdr/>
              <w:spacing w:after="30" w:before="0"/>
              <w:ind/>
              <w:rPr/>
            </w:pPr>
            <w:r>
              <w:rPr>
                <w:b/>
                <w:bCs/>
              </w:rPr>
              <w:t xml:space="preserve">3 (reto)</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8138" w:type="dxa"/>
            <w:vAlign w:val="center"/>
            <w:textDirection w:val="lrTb"/>
            <w:noWrap w:val="false"/>
          </w:tcPr>
          <w:p>
            <w:pPr>
              <w:pBdr/>
              <w:spacing w:after="30" w:before="0"/>
              <w:ind/>
              <w:rPr/>
            </w:pPr>
            <w:r>
              <w:rPr>
                <w:b w:val="0"/>
                <w:bCs w:val="0"/>
              </w:rPr>
              <w:t xml:space="preserve">Encabezado con nombre del trabajador y razón social ficticios; mostrar ONP y AFP lado a lado en la misma pantalla; retención de renta de 5.ª categoría</w:t>
            </w:r>
            <w:r/>
          </w:p>
        </w:tc>
      </w:tr>
    </w:tbl>
    <w:p>
      <w:pPr>
        <w:pStyle w:val="862"/>
        <w:keepNext w:val="true"/>
        <w:pBdr/>
        <w:spacing w:after="120" w:before="280"/>
        <w:ind/>
        <w:rPr/>
      </w:pPr>
      <w:r>
        <w:t xml:space="preserve">7. Casos de prueba</w:t>
      </w:r>
      <w:r/>
    </w:p>
    <w:p>
      <w:pPr>
        <w:pBdr/>
        <w:spacing w:after="100" w:before="0"/>
        <w:ind/>
        <w:rPr/>
      </w:pPr>
      <w:r>
        <w:t xml:space="preserve">Los casos 1, 2 y 3 traen la respuesta para que validen su cálculo. El caso 4 no la trae: lo revisa el docente.</w:t>
      </w:r>
      <w:r/>
    </w:p>
    <w:p>
      <w:pPr>
        <w:pStyle w:val="863"/>
        <w:keepNext w:val="true"/>
        <w:pBdr/>
        <w:spacing w:after="80" w:before="200"/>
        <w:ind/>
        <w:rPr/>
      </w:pPr>
      <w:r>
        <w:t xml:space="preserve">Caso 1 · Sin hijos, ONP, mes completo (con respuesta)</w:t>
      </w:r>
      <w:r/>
    </w:p>
    <w:p>
      <w:pPr>
        <w:pBdr/>
        <w:spacing w:after="100" w:before="0"/>
        <w:ind/>
        <w:rPr/>
      </w:pPr>
      <w:r>
        <w:t xml:space="preserve">Sueldo S/ 2,500.00 · 30 días laborados · sin hijos · ONP · sin horas extras ni adelantos.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4038"/>
        <w:gridCol w:w="2800"/>
      </w:tblGrid>
      <w:tr>
        <w:trPr>
          <w:cantSplit/>
          <w:tblHeader/>
        </w:trPr>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rPr>
                <w:b/>
                <w:bCs/>
                <w:color w:val="ffffff"/>
              </w:rPr>
              <w:t xml:space="preserve">Concepto</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bCs/>
                <w:color w:val="ffffff"/>
              </w:rPr>
              <w:t xml:space="preserve">Cálculo</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rPr>
                <w:b/>
                <w:bCs/>
                <w:color w:val="ffffff"/>
              </w:rPr>
              <w:t xml:space="preserve">Monto</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Sueldo computable</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2,500 ÷ 30 × 30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2,500.00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Total remuneraciones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2,500.00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ONP</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2,500.00 × 13%</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325.00</w:t>
            </w:r>
            <w:r/>
          </w:p>
        </w:tc>
      </w:tr>
      <w:tr>
        <w:trPr>
          <w:cantSplit/>
        </w:trPr>
        <w:tc>
          <w:tcPr>
            <w:shd w:val="clear" w:color="auto" w:fill="e6f4ea"/>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rPr>
                <w:b/>
                <w:bCs/>
              </w:rPr>
              <w:t xml:space="preserve">Neto a pagar</w:t>
            </w:r>
            <w:r/>
          </w:p>
        </w:tc>
        <w:tc>
          <w:tcPr>
            <w:shd w:val="clear" w:color="auto" w:fill="e6f4ea"/>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t xml:space="preserve">2,500.00 − 325.00</w:t>
            </w:r>
            <w:r/>
          </w:p>
        </w:tc>
        <w:tc>
          <w:tcPr>
            <w:shd w:val="clear" w:color="auto" w:fill="e6f4ea"/>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rPr>
                <w:b/>
                <w:bCs/>
              </w:rPr>
              <w:t xml:space="preserve">2,175.00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EsSalud (empleador)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2,500.00 × 9%</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225.00</w:t>
            </w:r>
            <w:r/>
          </w:p>
        </w:tc>
      </w:tr>
    </w:tbl>
    <w:p>
      <w:pPr>
        <w:pStyle w:val="863"/>
        <w:keepNext w:val="true"/>
        <w:pBdr/>
        <w:spacing w:after="80" w:before="200"/>
        <w:ind/>
        <w:rPr/>
      </w:pPr>
      <w:r>
        <w:t xml:space="preserve">Caso 2 · Con hijos y días incompletos (con respuesta)</w:t>
      </w:r>
      <w:r/>
    </w:p>
    <w:p>
      <w:pPr>
        <w:pBdr/>
        <w:spacing w:after="100" w:before="0"/>
        <w:ind/>
        <w:rPr/>
      </w:pPr>
      <w:r>
        <w:t xml:space="preserve">Sueldo S/ 1,800.00 · 27 días laborados · con hijos · ONP · sin horas extras ni adelantos.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4038"/>
        <w:gridCol w:w="2800"/>
      </w:tblGrid>
      <w:tr>
        <w:trPr>
          <w:cantSplit/>
          <w:tblHeader/>
        </w:trPr>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rPr>
                <w:b/>
                <w:bCs/>
                <w:color w:val="ffffff"/>
              </w:rPr>
              <w:t xml:space="preserve">Concepto</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bCs/>
                <w:color w:val="ffffff"/>
              </w:rPr>
              <w:t xml:space="preserve">Cálculo</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rPr>
                <w:b/>
                <w:bCs/>
                <w:color w:val="ffffff"/>
              </w:rPr>
              <w:t xml:space="preserve">Monto</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Sueldo computable</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1,800 ÷ 30 × 27</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1,620.00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Asignación familiar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10% × 1,230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123.00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Total remuneraciones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1,620.00 + 123.00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1,743.00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ONP</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1,743.00 × 13%</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226.59</w:t>
            </w:r>
            <w:r/>
          </w:p>
        </w:tc>
      </w:tr>
      <w:tr>
        <w:trPr>
          <w:cantSplit/>
        </w:trPr>
        <w:tc>
          <w:tcPr>
            <w:shd w:val="clear" w:color="auto" w:fill="e6f4ea"/>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rPr>
                <w:b/>
                <w:bCs/>
              </w:rPr>
              <w:t xml:space="preserve">Neto a pagar</w:t>
            </w:r>
            <w:r/>
          </w:p>
        </w:tc>
        <w:tc>
          <w:tcPr>
            <w:shd w:val="clear" w:color="auto" w:fill="e6f4ea"/>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t xml:space="preserve">1,743.00 − 226.59</w:t>
            </w:r>
            <w:r/>
          </w:p>
        </w:tc>
        <w:tc>
          <w:tcPr>
            <w:shd w:val="clear" w:color="auto" w:fill="e6f4ea"/>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rPr>
                <w:b/>
                <w:bCs/>
              </w:rPr>
              <w:t xml:space="preserve">1,516.41</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EsSalud (empleador)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1,743.00 × 9%</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156.87</w:t>
            </w:r>
            <w:r/>
          </w:p>
        </w:tc>
      </w:tr>
    </w:tbl>
    <w:p>
      <w:pPr>
        <w:pStyle w:val="863"/>
        <w:keepNext w:val="true"/>
        <w:pBdr/>
        <w:spacing w:after="80" w:before="200"/>
        <w:ind/>
        <w:rPr/>
      </w:pPr>
      <w:r>
        <w:t xml:space="preserve">Caso 3 · AFP, horas extras y adelanto (con respuesta)</w:t>
      </w:r>
      <w:r/>
    </w:p>
    <w:p>
      <w:pPr>
        <w:pBdr/>
        <w:spacing w:after="100" w:before="0"/>
        <w:ind/>
        <w:rPr/>
      </w:pPr>
      <w:r>
        <w:t xml:space="preserve">Sueldo S/ 3,000.00 · 30 días laborados · con hijos · AFP Ejemplo · 4 horas extras al 25% · 4 horas extras al 35% · adelanto S/ 200.00.</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4038"/>
        <w:gridCol w:w="2800"/>
      </w:tblGrid>
      <w:tr>
        <w:trPr>
          <w:cantSplit/>
          <w:tblHeader/>
        </w:trPr>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rPr>
                <w:b/>
                <w:bCs/>
                <w:color w:val="ffffff"/>
              </w:rPr>
              <w:t xml:space="preserve">Concepto</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bCs/>
                <w:color w:val="ffffff"/>
              </w:rPr>
              <w:t xml:space="preserve">Cálculo</w:t>
            </w:r>
            <w:r/>
          </w:p>
        </w:tc>
        <w:tc>
          <w:tcPr>
            <w:shd w:val="clear" w:color="auto" w:fill="0b3c8c"/>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rPr>
                <w:b/>
                <w:bCs/>
                <w:color w:val="ffffff"/>
              </w:rPr>
              <w:t xml:space="preserve">Monto</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Sueldo computable</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3,000 ÷ 30 × 30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3,000.00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Asignación familiar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10% × 1,230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123.00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Horas extras 25%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Valor hora 12.50 (3,000 ÷ 30 ÷ 8) × 1.25 × 4</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62.50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Horas extras 35%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12.50 × 1.35 × 4</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67.50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Total remuneraciones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3,253.00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AFP fondo (10.00%)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3,253.00 × 10%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325.30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AFP comisión (1.60%)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3,253.00 × 1.6% = 52.048</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52.05</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AFP seguro (1.35%)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3,253.00 × 1.35% = 43.9155</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43.92</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Adelantos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200.00</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Total descuentos</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325.30 + 52.05 + 43.92 + 200.00</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621.27</w:t>
            </w:r>
            <w:r/>
          </w:p>
        </w:tc>
      </w:tr>
      <w:tr>
        <w:trPr>
          <w:cantSplit/>
        </w:trPr>
        <w:tc>
          <w:tcPr>
            <w:shd w:val="clear" w:color="auto" w:fill="e6f4ea"/>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rPr>
                <w:b/>
                <w:bCs/>
              </w:rPr>
              <w:t xml:space="preserve">Neto a pagar</w:t>
            </w:r>
            <w:r/>
          </w:p>
        </w:tc>
        <w:tc>
          <w:tcPr>
            <w:shd w:val="clear" w:color="auto" w:fill="e6f4ea"/>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t xml:space="preserve">3,253.00 − 621.27</w:t>
            </w:r>
            <w:r/>
          </w:p>
        </w:tc>
        <w:tc>
          <w:tcPr>
            <w:shd w:val="clear" w:color="auto" w:fill="e6f4ea"/>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rPr>
                <w:b/>
                <w:bCs/>
              </w:rPr>
              <w:t xml:space="preserve">2,631.73</w:t>
            </w:r>
            <w:r/>
          </w:p>
        </w:tc>
      </w:tr>
      <w:tr>
        <w:trPr>
          <w:cantSplit/>
        </w:trPr>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rPr/>
            </w:pPr>
            <w:r>
              <w:t xml:space="preserve">EsSalud (empleador)</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4038" w:type="dxa"/>
            <w:vAlign w:val="center"/>
            <w:textDirection w:val="lrTb"/>
            <w:noWrap w:val="false"/>
          </w:tcPr>
          <w:p>
            <w:pPr>
              <w:pBdr/>
              <w:spacing w:after="30" w:before="0"/>
              <w:ind/>
              <w:rPr/>
            </w:pPr>
            <w:r>
              <w:rPr>
                <w:b w:val="0"/>
                <w:bCs w:val="0"/>
              </w:rPr>
              <w:t xml:space="preserve">3,253.00 × 9%</w:t>
            </w:r>
            <w:r/>
          </w:p>
        </w:tc>
        <w:tc>
          <w:tcPr>
            <w:tcBorders>
              <w:top w:val="single" w:color="b8c2d0" w:sz="4" w:space="0"/>
              <w:left w:val="single" w:color="b8c2d0" w:sz="4" w:space="0"/>
              <w:bottom w:val="single" w:color="b8c2d0" w:sz="4" w:space="0"/>
              <w:right w:val="single" w:color="b8c2d0" w:sz="4" w:space="0"/>
            </w:tcBorders>
            <w:tcMar>
              <w:left w:w="110" w:type="dxa"/>
              <w:top w:w="70" w:type="dxa"/>
              <w:right w:w="110" w:type="dxa"/>
              <w:bottom w:w="70" w:type="dxa"/>
            </w:tcMar>
            <w:tcW w:w="2800" w:type="dxa"/>
            <w:vAlign w:val="center"/>
            <w:textDirection w:val="lrTb"/>
            <w:noWrap w:val="false"/>
          </w:tcPr>
          <w:p>
            <w:pPr>
              <w:pBdr/>
              <w:spacing w:after="30" w:before="0"/>
              <w:ind/>
              <w:jc w:val="right"/>
              <w:rPr/>
            </w:pPr>
            <w:r>
              <w:t xml:space="preserve">292.77</w:t>
            </w:r>
            <w:r/>
          </w:p>
        </w:tc>
      </w:tr>
    </w:tbl>
    <w:p>
      <w:pPr>
        <w:pStyle w:val="863"/>
        <w:keepNext w:val="true"/>
        <w:pBdr/>
        <w:spacing w:after="80" w:before="200"/>
        <w:ind/>
        <w:rPr/>
      </w:pPr>
      <w:r>
        <w:t xml:space="preserve">Caso 4 · Evaluación (sin respuesta)</w:t>
      </w:r>
      <w:r/>
    </w:p>
    <w:p>
      <w:pPr>
        <w:pBdr/>
        <w:spacing w:after="100" w:before="0"/>
        <w:ind/>
        <w:rPr/>
      </w:pPr>
      <w:r>
        <w:t xml:space="preserve">Sueldo S/ 4,200.00 · 24 días laborados · con hijos · AFP Ejemplo · 2 horas extras al 25% · 2 horas extras al 35% · adelanto S/ 100.00.</w:t>
      </w:r>
      <w:r/>
    </w:p>
    <w:p>
      <w:pPr>
        <w:pStyle w:val="862"/>
        <w:keepNext w:val="true"/>
        <w:pBdr/>
        <w:spacing w:after="120" w:before="280"/>
        <w:ind/>
        <w:rPr/>
      </w:pPr>
      <w:r>
        <w:t xml:space="preserve">8. Preguntas de análisis</w:t>
      </w:r>
      <w:r/>
    </w:p>
    <w:p>
      <w:pPr>
        <w:pStyle w:val="854"/>
        <w:numPr>
          <w:ilvl w:val="0"/>
          <w:numId w:val="3"/>
        </w:numPr>
        <w:pBdr/>
        <w:spacing w:after="60"/>
        <w:ind/>
        <w:rPr/>
      </w:pPr>
      <w:r>
        <w:rPr>
          <w:b/>
          <w:bCs/>
        </w:rPr>
        <w:t xml:space="preserve">ONP o AFP.</w:t>
      </w:r>
      <w:r>
        <w:t xml:space="preserve"> Con los datos del caso 3, calcula el neto con ONP y con AFP Ejemplo. ¿Cuál deja más dinero este mes? ¿Por qué no basta comparar los porcentajes para decidir cuál conviene al trabajador?</w:t>
      </w:r>
      <w:r/>
    </w:p>
    <w:p>
      <w:pPr>
        <w:pStyle w:val="854"/>
        <w:numPr>
          <w:ilvl w:val="0"/>
          <w:numId w:val="3"/>
        </w:numPr>
        <w:pBdr/>
        <w:spacing w:after="60"/>
        <w:ind/>
        <w:rPr/>
      </w:pPr>
      <w:r>
        <w:rPr>
          <w:b/>
          <w:bCs/>
        </w:rPr>
        <w:t xml:space="preserve">Costo real para la empresa.</w:t>
      </w:r>
      <w:r>
        <w:t xml:space="preserve"> En el caso 3, ¿cuánto cuesta el trabajador al empleador este mes (remuneraciones más EsSalud)? ¿Qué porcentaje de ese costo llega al trabajador como neto?</w:t>
      </w:r>
      <w:r/>
    </w:p>
    <w:p>
      <w:pPr>
        <w:pStyle w:val="854"/>
        <w:numPr>
          <w:ilvl w:val="0"/>
          <w:numId w:val="3"/>
        </w:numPr>
        <w:pBdr/>
        <w:spacing w:after="60"/>
        <w:ind/>
        <w:rPr/>
      </w:pPr>
      <w:r>
        <w:rPr>
          <w:b/>
          <w:bCs/>
        </w:rPr>
        <w:t xml:space="preserve">Días laborados.</w:t>
      </w:r>
      <w:r>
        <w:t xml:space="preserve"> Con los datos del caso 2, calcula el neto si el trabajador hubiera laborado los 30 días. ¿Por qué la diferencia en el neto es menor que la diferencia en el sueldo bruto?</w:t>
      </w:r>
      <w:r/>
    </w:p>
    <w:p>
      <w:pPr>
        <w:pStyle w:val="854"/>
        <w:numPr>
          <w:ilvl w:val="0"/>
          <w:numId w:val="3"/>
        </w:numPr>
        <w:pBdr/>
        <w:spacing w:after="60"/>
        <w:ind/>
        <w:rPr/>
      </w:pPr>
      <w:r>
        <w:rPr>
          <w:b/>
          <w:bCs/>
        </w:rPr>
        <w:t xml:space="preserve">Horas extras.</w:t>
      </w:r>
      <w:r>
        <w:t xml:space="preserve"> En el caso 3, ¿qué porcentaje del total de remuneraciones representan las horas extras?</w:t>
      </w:r>
      <w:r/>
    </w:p>
    <w:p>
      <w:pPr>
        <w:pStyle w:val="854"/>
        <w:numPr>
          <w:ilvl w:val="0"/>
          <w:numId w:val="3"/>
        </w:numPr>
        <w:pBdr/>
        <w:spacing w:after="60"/>
        <w:ind/>
        <w:rPr/>
      </w:pPr>
      <w:r>
        <w:rPr>
          <w:b/>
          <w:bCs/>
        </w:rPr>
        <w:t xml:space="preserve">Con datos reales.</w:t>
      </w:r>
      <w:r>
        <w:t xml:space="preserve"> Toma un sueldo de una oferta laboral publicada, arma su boleta y calcula qué porcentaje del sueldo bruto llega al trabajador. Compara tu resultado con el de dos compañeros que usaron otros sueldos.</w:t>
      </w:r>
      <w:r/>
    </w:p>
    <w:p>
      <w:pPr>
        <w:pStyle w:val="862"/>
        <w:keepNext w:val="true"/>
        <w:pBdr/>
        <w:spacing w:after="120" w:before="280"/>
        <w:ind/>
        <w:rPr/>
      </w:pPr>
      <w:r>
        <w:t xml:space="preserve">9. Datos reales y fuentes</w:t>
      </w:r>
      <w:r/>
    </w:p>
    <w:p>
      <w:pPr>
        <w:pStyle w:val="854"/>
        <w:numPr>
          <w:ilvl w:val="0"/>
          <w:numId w:val="2"/>
        </w:numPr>
        <w:pBdr/>
        <w:spacing w:after="60"/>
        <w:ind/>
        <w:rPr/>
      </w:pPr>
      <w:r>
        <w:rPr>
          <w:b/>
          <w:bCs/>
        </w:rPr>
        <w:t xml:space="preserve">Un caso propio por alumno:</w:t>
      </w:r>
      <w:r>
        <w:t xml:space="preserve"> sueldo tomado de una oferta laboral real (guarda el enlace y la fecha de consulta). Debe ser igual o mayor que la RMV. Las demás personas y empresas son ficticias.</w:t>
      </w:r>
      <w:r/>
    </w:p>
    <w:p>
      <w:pPr>
        <w:pStyle w:val="854"/>
        <w:numPr>
          <w:ilvl w:val="0"/>
          <w:numId w:val="2"/>
        </w:numPr>
        <w:pBdr/>
        <w:spacing w:after="60"/>
        <w:ind/>
        <w:rPr/>
      </w:pPr>
      <w:r>
        <w:rPr>
          <w:b/>
          <w:bCs/>
        </w:rPr>
        <w:t xml:space="preserve">Valores que cambian:</w:t>
      </w:r>
      <w:r>
        <w:t xml:space="preserve"> RMV, tasas de AFP y cualquier otro parámetro se verifican en la fuente oficial. Para las AFP, usa los valores publicados por la SBS.</w:t>
      </w:r>
      <w:r/>
    </w:p>
    <w:p>
      <w:pPr>
        <w:pStyle w:val="854"/>
        <w:numPr>
          <w:ilvl w:val="0"/>
          <w:numId w:val="2"/>
        </w:numPr>
        <w:pBdr/>
        <w:spacing w:after="60"/>
        <w:ind/>
        <w:rPr/>
      </w:pPr>
      <w:r>
        <w:rPr>
          <w:b/>
          <w:bCs/>
        </w:rPr>
        <w:t xml:space="preserve">Tabla de fuentes:</w:t>
      </w:r>
      <w:r>
        <w:t xml:space="preserve"> dato, valor, fuente y fecha de consulta.</w:t>
      </w:r>
      <w:r/>
    </w:p>
    <w:p>
      <w:pPr>
        <w:pStyle w:val="854"/>
        <w:numPr>
          <w:ilvl w:val="0"/>
          <w:numId w:val="2"/>
        </w:numPr>
        <w:pBdr/>
        <w:spacing w:after="60"/>
        <w:ind/>
        <w:rPr/>
      </w:pPr>
      <w:r>
        <w:t xml:space="preserve">No uses datos personales reales, como DNI o RUC verdaderos. La pantalla debe decir "Boleta de ejemplo".</w:t>
      </w:r>
      <w:r/>
    </w:p>
    <w:p>
      <w:pPr>
        <w:pStyle w:val="862"/>
        <w:keepNext w:val="true"/>
        <w:pBdr/>
        <w:spacing w:after="120" w:before="280"/>
        <w:ind/>
        <w:rPr/>
      </w:pPr>
      <w:r>
        <w:t xml:space="preserve">10. Entregables</w:t>
      </w:r>
      <w:r/>
    </w:p>
    <w:p>
      <w:pPr>
        <w:pStyle w:val="863"/>
        <w:keepNext w:val="true"/>
        <w:pBdr/>
        <w:spacing w:after="80" w:before="200"/>
        <w:ind/>
        <w:rPr/>
      </w:pPr>
      <w:r>
        <w:t xml:space="preserve">Aplicación móvil (SwiftUI)</w:t>
      </w:r>
      <w:r/>
    </w:p>
    <w:p>
      <w:pPr>
        <w:pStyle w:val="854"/>
        <w:numPr>
          <w:ilvl w:val="0"/>
          <w:numId w:val="4"/>
        </w:numPr>
        <w:pBdr/>
        <w:spacing w:after="60"/>
        <w:ind/>
        <w:rPr/>
      </w:pPr>
      <w:r>
        <w:t xml:space="preserve">Pantalla única con el formulario, el botón Calcular y la boleta con sus tres bloques y el neto.</w:t>
      </w:r>
      <w:r/>
    </w:p>
    <w:p>
      <w:pPr>
        <w:pStyle w:val="854"/>
        <w:numPr>
          <w:ilvl w:val="0"/>
          <w:numId w:val="4"/>
        </w:numPr>
        <w:pBdr/>
        <w:spacing w:after="60"/>
        <w:ind/>
        <w:rPr/>
      </w:pPr>
      <w:r>
        <w:t xml:space="preserve">Modelo separado de la pantalla: structs para los datos, una clase Boleta que calcula, un </w:t>
      </w:r>
      <w:r>
        <w:rPr>
          <w:b/>
          <w:bCs/>
        </w:rPr>
        <w:t xml:space="preserve">diccionario</w:t>
      </w:r>
      <w:r>
        <w:t xml:space="preserve"> con las tasas de cada AFP y un </w:t>
      </w:r>
      <w:r>
        <w:rPr>
          <w:b/>
          <w:bCs/>
        </w:rPr>
        <w:t xml:space="preserve">array</w:t>
      </w:r>
      <w:r>
        <w:t xml:space="preserve"> con los conceptos de remuneraciones y descuentos.</w:t>
      </w:r>
      <w:r/>
    </w:p>
    <w:p>
      <w:pPr>
        <w:pStyle w:val="854"/>
        <w:numPr>
          <w:ilvl w:val="0"/>
          <w:numId w:val="4"/>
        </w:numPr>
        <w:pBdr/>
        <w:spacing w:after="60"/>
        <w:ind/>
        <w:rPr/>
      </w:pPr>
      <w:r>
        <w:t xml:space="preserve">Validaciones con mensajes claros.</w:t>
      </w:r>
      <w:r/>
    </w:p>
    <w:p>
      <w:pPr>
        <w:pStyle w:val="854"/>
        <w:numPr>
          <w:ilvl w:val="0"/>
          <w:numId w:val="4"/>
        </w:numPr>
        <w:pBdr/>
        <w:spacing w:after="60"/>
        <w:ind/>
        <w:rPr/>
      </w:pPr>
      <w:r>
        <w:t xml:space="preserve">Repositorio en GitHub con un commit por hito (por ejemplo "modelo: remuneraciones", "ui: formulario", "caso 1 verificado") y README con capturas.</w:t>
      </w:r>
      <w:r/>
    </w:p>
    <w:p>
      <w:pPr>
        <w:pStyle w:val="863"/>
        <w:keepNext w:val="true"/>
        <w:pBdr/>
        <w:spacing w:after="80" w:before="200"/>
        <w:ind/>
        <w:rPr/>
      </w:pPr>
      <w:r>
        <w:t xml:space="preserve">Hoja de Excel</w:t>
      </w:r>
      <w:r/>
    </w:p>
    <w:p>
      <w:pPr>
        <w:pStyle w:val="854"/>
        <w:numPr>
          <w:ilvl w:val="0"/>
          <w:numId w:val="5"/>
        </w:numPr>
        <w:pBdr/>
        <w:spacing w:after="60"/>
        <w:ind/>
        <w:rPr/>
      </w:pPr>
      <w:r>
        <w:t xml:space="preserve">Libro con cuatro hojas: </w:t>
      </w:r>
      <w:r>
        <w:rPr>
          <w:b/>
          <w:bCs/>
        </w:rPr>
        <w:t xml:space="preserve">Parámetros</w:t>
      </w:r>
      <w:r>
        <w:t xml:space="preserve">, </w:t>
      </w:r>
      <w:r>
        <w:rPr>
          <w:b/>
          <w:bCs/>
        </w:rPr>
        <w:t xml:space="preserve">Boleta</w:t>
      </w:r>
      <w:r>
        <w:t xml:space="preserve"> (datos de entrada y cálculo con fórmulas visibles, sin valores pegados), </w:t>
      </w:r>
      <w:r>
        <w:rPr>
          <w:b/>
          <w:bCs/>
        </w:rPr>
        <w:t xml:space="preserve">Casos</w:t>
      </w:r>
      <w:r>
        <w:t xml:space="preserve"> (los 4 casos y los casos propios) y </w:t>
      </w:r>
      <w:r>
        <w:rPr>
          <w:b/>
          <w:bCs/>
        </w:rPr>
        <w:t xml:space="preserve">Explicación</w:t>
      </w:r>
      <w:r>
        <w:t xml:space="preserve">.</w:t>
      </w:r>
      <w:r/>
    </w:p>
    <w:p>
      <w:pPr>
        <w:pStyle w:val="854"/>
        <w:numPr>
          <w:ilvl w:val="0"/>
          <w:numId w:val="5"/>
        </w:numPr>
        <w:pBdr/>
        <w:spacing w:after="60"/>
        <w:ind/>
        <w:rPr/>
      </w:pPr>
      <w:r>
        <w:t xml:space="preserve">En la hoja Explicación, cada fórmula escrita en palabras y con un ejemplo numérico, para alguien que no sabe contabilidad.</w:t>
      </w:r>
      <w:r/>
    </w:p>
    <w:p>
      <w:pPr>
        <w:pStyle w:val="863"/>
        <w:keepNext w:val="true"/>
        <w:pBdr/>
        <w:spacing w:after="80" w:before="200"/>
        <w:ind/>
        <w:rPr/>
      </w:pPr>
      <w:r>
        <w:t xml:space="preserve">Análisis</w:t>
      </w:r>
      <w:r/>
    </w:p>
    <w:p>
      <w:pPr>
        <w:pBdr/>
        <w:spacing w:after="100" w:before="0"/>
        <w:ind/>
        <w:rPr/>
      </w:pPr>
      <w:r>
        <w:t xml:space="preserve">Respuestas a las 5 preguntas y tabla de fuentes, en un archivo aparte o en la hoja Explicación.</w:t>
      </w:r>
      <w:r/>
    </w:p>
    <w:p>
      <w:pPr>
        <w:pStyle w:val="862"/>
        <w:keepNext w:val="true"/>
        <w:pBdr/>
        <w:spacing w:after="120" w:before="280"/>
        <w:ind/>
        <w:rPr/>
      </w:pPr>
      <w:r>
        <w:t xml:space="preserve">Considerar : de dos participantes - </w:t>
      </w:r>
      <w:r/>
    </w:p>
    <w:p>
      <w:pPr>
        <w:pStyle w:val="854"/>
        <w:numPr>
          <w:ilvl w:val="0"/>
          <w:numId w:val="6"/>
        </w:numPr>
        <w:pBdr/>
        <w:spacing/>
        <w:ind/>
        <w:rPr/>
      </w:pPr>
      <w:r>
        <w:t xml:space="preserve">Va explicar en un excel todas las formulas realizadas</w:t>
      </w:r>
      <w:r/>
    </w:p>
    <w:p>
      <w:pPr>
        <w:pStyle w:val="854"/>
        <w:numPr>
          <w:ilvl w:val="0"/>
          <w:numId w:val="6"/>
        </w:numPr>
        <w:pBdr/>
        <w:spacing/>
        <w:ind/>
        <w:rPr/>
      </w:pPr>
      <w:r>
        <w:rPr>
          <w:highlight w:val="none"/>
        </w:rPr>
        <w:t xml:space="preserve">Va explicar la APP</w:t>
      </w:r>
      <w:r>
        <w:rPr>
          <w:highlight w:val="none"/>
        </w:rPr>
      </w:r>
    </w:p>
    <w:p>
      <w:pPr>
        <w:pStyle w:val="854"/>
        <w:numPr>
          <w:ilvl w:val="0"/>
          <w:numId w:val="6"/>
        </w:numPr>
        <w:pBdr/>
        <w:spacing/>
        <w:ind/>
        <w:rPr/>
      </w:pPr>
      <w:r>
        <w:rPr>
          <w:highlight w:val="none"/>
        </w:rPr>
        <w:t xml:space="preserve">Dos notas  al sistema</w:t>
      </w:r>
      <w:r>
        <w:rPr>
          <w:highlight w:val="none"/>
        </w:rPr>
      </w:r>
    </w:p>
    <w:p>
      <w:pPr>
        <w:pStyle w:val="854"/>
        <w:numPr>
          <w:ilvl w:val="0"/>
          <w:numId w:val="6"/>
        </w:numPr>
        <w:pBdr/>
        <w:spacing/>
        <w:ind/>
        <w:rPr/>
      </w:pPr>
      <w:r>
        <w:rPr>
          <w:highlight w:val="none"/>
        </w:rPr>
        <w:t xml:space="preserve">Esto se realiza con swiftui</w:t>
      </w:r>
      <w:r>
        <w:rPr>
          <w:highlight w:val="none"/>
        </w:rPr>
      </w:r>
    </w:p>
    <w:p>
      <w:pPr>
        <w:pBdr/>
        <w:spacing/>
        <w:ind w:firstLine="0" w:left="709"/>
        <w:rPr/>
      </w:pPr>
      <w:r>
        <w:rPr>
          <w:highlight w:val="none"/>
        </w:rPr>
      </w:r>
      <w:r>
        <w:rPr>
          <w:highlight w:val="none"/>
        </w:rPr>
      </w:r>
    </w:p>
    <w:p>
      <w:pPr>
        <w:pBdr/>
        <w:spacing/>
        <w:ind/>
        <w:rPr/>
      </w:pPr>
      <w:r/>
      <w:r/>
    </w:p>
    <w:sectPr>
      <w:headerReference w:type="default" r:id="rId9"/>
      <w:footerReference w:type="default" r:id="rId10"/>
      <w:footnotePr/>
      <w:endnotePr/>
      <w:type w:val="nextPage"/>
      <w:pgSz w:h="16838" w:orient="portrait" w:w="11906"/>
      <w:pgMar w:top="1300" w:right="1134" w:bottom="1200"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6b728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0b3c8c" w:sz="6" w:space="4"/>
      </w:pBdr>
      <w:spacing/>
      <w:ind/>
      <w:rPr/>
    </w:pPr>
    <w:r>
      <w:rPr>
        <w:color w:val="6b7280"/>
        <w:sz w:val="17"/>
        <w:szCs w:val="17"/>
      </w:rPr>
      <w:t xml:space="preserve">Tecsup  |  Programación en Móviles Avanzado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start w:val="1"/>
      <w:suff w:val="tab"/>
    </w:lvl>
    <w:lvl w:ilvl="1">
      <w:isLgl w:val="false"/>
      <w:lvlJc w:val="left"/>
      <w:lvlText w:val="–"/>
      <w:numFmt w:val="bullet"/>
      <w:pPr>
        <w:pBdr/>
        <w:spacing/>
        <w:ind w:hanging="270" w:left="1000"/>
      </w:pPr>
      <w:rPr/>
      <w:start w:val="1"/>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spacing/>
        <w:ind w:hanging="360" w:left="5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spacing/>
        <w:ind w:hanging="360" w:left="5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1."/>
      <w:numFmt w:val="decimal"/>
      <w:pPr>
        <w:pBdr/>
        <w:spacing/>
        <w:ind w:hanging="360" w:left="5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84">
    <w:name w:val="Heading 1 Char"/>
    <w:link w:val="862"/>
    <w:uiPriority w:val="9"/>
    <w:pPr>
      <w:pBdr/>
      <w:spacing/>
      <w:ind/>
    </w:pPr>
    <w:rPr>
      <w:rFonts w:ascii="Arial" w:hAnsi="Arial" w:eastAsia="Arial" w:cs="Arial"/>
      <w:sz w:val="40"/>
      <w:szCs w:val="40"/>
    </w:rPr>
  </w:style>
  <w:style w:type="character" w:styleId="685">
    <w:name w:val="Heading 2 Char"/>
    <w:link w:val="863"/>
    <w:uiPriority w:val="9"/>
    <w:pPr>
      <w:pBdr/>
      <w:spacing/>
      <w:ind/>
    </w:pPr>
    <w:rPr>
      <w:rFonts w:ascii="Arial" w:hAnsi="Arial" w:eastAsia="Arial" w:cs="Arial"/>
      <w:sz w:val="34"/>
    </w:rPr>
  </w:style>
  <w:style w:type="character" w:styleId="686">
    <w:name w:val="Heading 3 Char"/>
    <w:link w:val="849"/>
    <w:uiPriority w:val="9"/>
    <w:pPr>
      <w:pBdr/>
      <w:spacing/>
      <w:ind/>
    </w:pPr>
    <w:rPr>
      <w:rFonts w:ascii="Arial" w:hAnsi="Arial" w:eastAsia="Arial" w:cs="Arial"/>
      <w:sz w:val="30"/>
      <w:szCs w:val="30"/>
    </w:rPr>
  </w:style>
  <w:style w:type="character" w:styleId="687">
    <w:name w:val="Heading 4 Char"/>
    <w:link w:val="850"/>
    <w:uiPriority w:val="9"/>
    <w:pPr>
      <w:pBdr/>
      <w:spacing/>
      <w:ind/>
    </w:pPr>
    <w:rPr>
      <w:rFonts w:ascii="Arial" w:hAnsi="Arial" w:eastAsia="Arial" w:cs="Arial"/>
      <w:b/>
      <w:bCs/>
      <w:sz w:val="26"/>
      <w:szCs w:val="26"/>
    </w:rPr>
  </w:style>
  <w:style w:type="character" w:styleId="688">
    <w:name w:val="Heading 5 Char"/>
    <w:link w:val="851"/>
    <w:uiPriority w:val="9"/>
    <w:pPr>
      <w:pBdr/>
      <w:spacing/>
      <w:ind/>
    </w:pPr>
    <w:rPr>
      <w:rFonts w:ascii="Arial" w:hAnsi="Arial" w:eastAsia="Arial" w:cs="Arial"/>
      <w:b/>
      <w:bCs/>
      <w:sz w:val="24"/>
      <w:szCs w:val="24"/>
    </w:rPr>
  </w:style>
  <w:style w:type="character" w:styleId="689">
    <w:name w:val="Heading 6 Char"/>
    <w:link w:val="852"/>
    <w:uiPriority w:val="9"/>
    <w:pPr>
      <w:pBdr/>
      <w:spacing/>
      <w:ind/>
    </w:pPr>
    <w:rPr>
      <w:rFonts w:ascii="Arial" w:hAnsi="Arial" w:eastAsia="Arial" w:cs="Arial"/>
      <w:b/>
      <w:bCs/>
      <w:sz w:val="22"/>
      <w:szCs w:val="22"/>
    </w:rPr>
  </w:style>
  <w:style w:type="paragraph" w:styleId="690">
    <w:name w:val="Heading 7"/>
    <w:basedOn w:val="847"/>
    <w:next w:val="847"/>
    <w:link w:val="691"/>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691">
    <w:name w:val="Heading 7 Char"/>
    <w:link w:val="690"/>
    <w:uiPriority w:val="9"/>
    <w:pPr>
      <w:pBdr/>
      <w:spacing/>
      <w:ind/>
    </w:pPr>
    <w:rPr>
      <w:rFonts w:ascii="Arial" w:hAnsi="Arial" w:eastAsia="Arial" w:cs="Arial"/>
      <w:b/>
      <w:bCs/>
      <w:i/>
      <w:iCs/>
      <w:sz w:val="22"/>
      <w:szCs w:val="22"/>
    </w:rPr>
  </w:style>
  <w:style w:type="paragraph" w:styleId="692">
    <w:name w:val="Heading 8"/>
    <w:basedOn w:val="847"/>
    <w:next w:val="847"/>
    <w:link w:val="693"/>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693">
    <w:name w:val="Heading 8 Char"/>
    <w:link w:val="692"/>
    <w:uiPriority w:val="9"/>
    <w:pPr>
      <w:pBdr/>
      <w:spacing/>
      <w:ind/>
    </w:pPr>
    <w:rPr>
      <w:rFonts w:ascii="Arial" w:hAnsi="Arial" w:eastAsia="Arial" w:cs="Arial"/>
      <w:i/>
      <w:iCs/>
      <w:sz w:val="22"/>
      <w:szCs w:val="22"/>
    </w:rPr>
  </w:style>
  <w:style w:type="paragraph" w:styleId="694">
    <w:name w:val="Heading 9"/>
    <w:basedOn w:val="847"/>
    <w:next w:val="847"/>
    <w:link w:val="695"/>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695">
    <w:name w:val="Heading 9 Char"/>
    <w:link w:val="694"/>
    <w:uiPriority w:val="9"/>
    <w:pPr>
      <w:pBdr/>
      <w:spacing/>
      <w:ind/>
    </w:pPr>
    <w:rPr>
      <w:rFonts w:ascii="Arial" w:hAnsi="Arial" w:eastAsia="Arial" w:cs="Arial"/>
      <w:i/>
      <w:iCs/>
      <w:sz w:val="21"/>
      <w:szCs w:val="21"/>
    </w:rPr>
  </w:style>
  <w:style w:type="paragraph" w:styleId="696">
    <w:name w:val="No Spacing"/>
    <w:uiPriority w:val="1"/>
    <w:qFormat/>
    <w:pPr>
      <w:pBdr/>
      <w:spacing w:after="0" w:before="0" w:line="240" w:lineRule="auto"/>
      <w:ind/>
    </w:pPr>
  </w:style>
  <w:style w:type="character" w:styleId="697">
    <w:name w:val="Title Char"/>
    <w:link w:val="848"/>
    <w:uiPriority w:val="10"/>
    <w:pPr>
      <w:pBdr/>
      <w:spacing/>
      <w:ind/>
    </w:pPr>
    <w:rPr>
      <w:sz w:val="48"/>
      <w:szCs w:val="48"/>
    </w:rPr>
  </w:style>
  <w:style w:type="paragraph" w:styleId="698">
    <w:name w:val="Subtitle"/>
    <w:basedOn w:val="847"/>
    <w:next w:val="847"/>
    <w:link w:val="699"/>
    <w:uiPriority w:val="11"/>
    <w:qFormat/>
    <w:pPr>
      <w:pBdr/>
      <w:spacing w:after="200" w:before="200"/>
      <w:ind/>
    </w:pPr>
    <w:rPr>
      <w:sz w:val="24"/>
      <w:szCs w:val="24"/>
    </w:rPr>
  </w:style>
  <w:style w:type="character" w:styleId="699">
    <w:name w:val="Subtitle Char"/>
    <w:link w:val="698"/>
    <w:uiPriority w:val="11"/>
    <w:pPr>
      <w:pBdr/>
      <w:spacing/>
      <w:ind/>
    </w:pPr>
    <w:rPr>
      <w:sz w:val="24"/>
      <w:szCs w:val="24"/>
    </w:rPr>
  </w:style>
  <w:style w:type="paragraph" w:styleId="700">
    <w:name w:val="Quote"/>
    <w:basedOn w:val="847"/>
    <w:next w:val="847"/>
    <w:link w:val="701"/>
    <w:uiPriority w:val="29"/>
    <w:qFormat/>
    <w:pPr>
      <w:pBdr/>
      <w:spacing/>
      <w:ind w:right="720" w:left="720"/>
    </w:pPr>
    <w:rPr>
      <w:i/>
    </w:rPr>
  </w:style>
  <w:style w:type="character" w:styleId="701">
    <w:name w:val="Quote Char"/>
    <w:link w:val="700"/>
    <w:uiPriority w:val="29"/>
    <w:pPr>
      <w:pBdr/>
      <w:spacing/>
      <w:ind/>
    </w:pPr>
    <w:rPr>
      <w:i/>
    </w:rPr>
  </w:style>
  <w:style w:type="paragraph" w:styleId="702">
    <w:name w:val="Intense Quote"/>
    <w:basedOn w:val="847"/>
    <w:next w:val="847"/>
    <w:link w:val="703"/>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03">
    <w:name w:val="Intense Quote Char"/>
    <w:link w:val="702"/>
    <w:uiPriority w:val="30"/>
    <w:pPr>
      <w:pBdr/>
      <w:spacing/>
      <w:ind/>
    </w:pPr>
    <w:rPr>
      <w:i/>
    </w:rPr>
  </w:style>
  <w:style w:type="paragraph" w:styleId="704">
    <w:name w:val="Header"/>
    <w:basedOn w:val="847"/>
    <w:link w:val="705"/>
    <w:uiPriority w:val="99"/>
    <w:unhideWhenUsed/>
    <w:pPr>
      <w:pBdr/>
      <w:tabs>
        <w:tab w:val="center" w:leader="none" w:pos="7143"/>
        <w:tab w:val="right" w:leader="none" w:pos="14287"/>
      </w:tabs>
      <w:spacing w:after="0" w:line="240" w:lineRule="auto"/>
      <w:ind/>
    </w:pPr>
  </w:style>
  <w:style w:type="character" w:styleId="705">
    <w:name w:val="Header Char"/>
    <w:link w:val="704"/>
    <w:uiPriority w:val="99"/>
    <w:pPr>
      <w:pBdr/>
      <w:spacing/>
      <w:ind/>
    </w:pPr>
  </w:style>
  <w:style w:type="paragraph" w:styleId="706">
    <w:name w:val="Footer"/>
    <w:basedOn w:val="847"/>
    <w:link w:val="709"/>
    <w:uiPriority w:val="99"/>
    <w:unhideWhenUsed/>
    <w:pPr>
      <w:pBdr/>
      <w:tabs>
        <w:tab w:val="center" w:leader="none" w:pos="7143"/>
        <w:tab w:val="right" w:leader="none" w:pos="14287"/>
      </w:tabs>
      <w:spacing w:after="0" w:line="240" w:lineRule="auto"/>
      <w:ind/>
    </w:pPr>
  </w:style>
  <w:style w:type="character" w:styleId="707">
    <w:name w:val="Footer Char"/>
    <w:link w:val="706"/>
    <w:uiPriority w:val="99"/>
    <w:pPr>
      <w:pBdr/>
      <w:spacing/>
      <w:ind/>
    </w:pPr>
  </w:style>
  <w:style w:type="paragraph" w:styleId="708">
    <w:name w:val="Caption"/>
    <w:basedOn w:val="847"/>
    <w:next w:val="847"/>
    <w:uiPriority w:val="35"/>
    <w:semiHidden/>
    <w:unhideWhenUsed/>
    <w:qFormat/>
    <w:pPr>
      <w:pBdr/>
      <w:spacing w:line="276" w:lineRule="auto"/>
      <w:ind/>
    </w:pPr>
    <w:rPr>
      <w:b/>
      <w:bCs/>
      <w:color w:val="4f81bd" w:themeColor="accent1"/>
      <w:sz w:val="18"/>
      <w:szCs w:val="18"/>
    </w:rPr>
  </w:style>
  <w:style w:type="character" w:styleId="709">
    <w:name w:val="Caption Char"/>
    <w:basedOn w:val="708"/>
    <w:link w:val="706"/>
    <w:uiPriority w:val="99"/>
    <w:pPr>
      <w:pBdr/>
      <w:spacing/>
      <w:ind/>
    </w:pPr>
  </w:style>
  <w:style w:type="table" w:styleId="710">
    <w:name w:val="Table Grid"/>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Table Grid Light"/>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10">
    <w:name w:val="List Table 7 Colorful - Accent 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1">
    <w:name w:val="List Table 7 Colorful - Accent 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2">
    <w:name w:val="List Table 7 Colorful - Accent 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3">
    <w:name w:val="List Table 7 Colorful - Accent 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14">
    <w:name w:val="List Table 7 Colorful - Accent 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5">
    <w:name w:val="Lined - Accent"/>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name w:val="toc 1"/>
    <w:basedOn w:val="847"/>
    <w:next w:val="847"/>
    <w:uiPriority w:val="39"/>
    <w:unhideWhenUsed/>
    <w:pPr>
      <w:pBdr/>
      <w:spacing w:after="57"/>
      <w:ind w:right="0" w:firstLine="0" w:left="0"/>
    </w:pPr>
  </w:style>
  <w:style w:type="paragraph" w:styleId="837">
    <w:name w:val="toc 2"/>
    <w:basedOn w:val="847"/>
    <w:next w:val="847"/>
    <w:uiPriority w:val="39"/>
    <w:unhideWhenUsed/>
    <w:pPr>
      <w:pBdr/>
      <w:spacing w:after="57"/>
      <w:ind w:right="0" w:firstLine="0" w:left="283"/>
    </w:pPr>
  </w:style>
  <w:style w:type="paragraph" w:styleId="838">
    <w:name w:val="toc 3"/>
    <w:basedOn w:val="847"/>
    <w:next w:val="847"/>
    <w:uiPriority w:val="39"/>
    <w:unhideWhenUsed/>
    <w:pPr>
      <w:pBdr/>
      <w:spacing w:after="57"/>
      <w:ind w:right="0" w:firstLine="0" w:left="567"/>
    </w:pPr>
  </w:style>
  <w:style w:type="paragraph" w:styleId="839">
    <w:name w:val="toc 4"/>
    <w:basedOn w:val="847"/>
    <w:next w:val="847"/>
    <w:uiPriority w:val="39"/>
    <w:unhideWhenUsed/>
    <w:pPr>
      <w:pBdr/>
      <w:spacing w:after="57"/>
      <w:ind w:right="0" w:firstLine="0" w:left="850"/>
    </w:pPr>
  </w:style>
  <w:style w:type="paragraph" w:styleId="840">
    <w:name w:val="toc 5"/>
    <w:basedOn w:val="847"/>
    <w:next w:val="847"/>
    <w:uiPriority w:val="39"/>
    <w:unhideWhenUsed/>
    <w:pPr>
      <w:pBdr/>
      <w:spacing w:after="57"/>
      <w:ind w:right="0" w:firstLine="0" w:left="1134"/>
    </w:pPr>
  </w:style>
  <w:style w:type="paragraph" w:styleId="841">
    <w:name w:val="toc 6"/>
    <w:basedOn w:val="847"/>
    <w:next w:val="847"/>
    <w:uiPriority w:val="39"/>
    <w:unhideWhenUsed/>
    <w:pPr>
      <w:pBdr/>
      <w:spacing w:after="57"/>
      <w:ind w:right="0" w:firstLine="0" w:left="1417"/>
    </w:pPr>
  </w:style>
  <w:style w:type="paragraph" w:styleId="842">
    <w:name w:val="toc 7"/>
    <w:basedOn w:val="847"/>
    <w:next w:val="847"/>
    <w:uiPriority w:val="39"/>
    <w:unhideWhenUsed/>
    <w:pPr>
      <w:pBdr/>
      <w:spacing w:after="57"/>
      <w:ind w:right="0" w:firstLine="0" w:left="1701"/>
    </w:pPr>
  </w:style>
  <w:style w:type="paragraph" w:styleId="843">
    <w:name w:val="toc 8"/>
    <w:basedOn w:val="847"/>
    <w:next w:val="847"/>
    <w:uiPriority w:val="39"/>
    <w:unhideWhenUsed/>
    <w:pPr>
      <w:pBdr/>
      <w:spacing w:after="57"/>
      <w:ind w:right="0" w:firstLine="0" w:left="1984"/>
    </w:pPr>
  </w:style>
  <w:style w:type="paragraph" w:styleId="844">
    <w:name w:val="toc 9"/>
    <w:basedOn w:val="847"/>
    <w:next w:val="847"/>
    <w:uiPriority w:val="39"/>
    <w:unhideWhenUsed/>
    <w:pPr>
      <w:pBdr/>
      <w:spacing w:after="57"/>
      <w:ind w:right="0" w:firstLine="0" w:left="2268"/>
    </w:pPr>
  </w:style>
  <w:style w:type="paragraph" w:styleId="845">
    <w:name w:val="TOC Heading"/>
    <w:uiPriority w:val="39"/>
    <w:unhideWhenUsed/>
    <w:pPr>
      <w:pBdr/>
      <w:spacing/>
      <w:ind/>
    </w:pPr>
  </w:style>
  <w:style w:type="paragraph" w:styleId="846">
    <w:name w:val="table of figures"/>
    <w:basedOn w:val="847"/>
    <w:next w:val="847"/>
    <w:uiPriority w:val="99"/>
    <w:unhideWhenUsed/>
    <w:pPr>
      <w:pBdr/>
      <w:spacing w:after="0" w:afterAutospacing="0"/>
      <w:ind/>
    </w:pPr>
  </w:style>
  <w:style w:type="paragraph" w:styleId="847" w:default="1">
    <w:name w:val="Normal"/>
    <w:qFormat/>
    <w:pPr>
      <w:pBdr/>
      <w:spacing/>
      <w:ind/>
    </w:pPr>
  </w:style>
  <w:style w:type="paragraph" w:styleId="848">
    <w:name w:val="Title"/>
    <w:basedOn w:val="847"/>
    <w:next w:val="847"/>
    <w:qFormat/>
    <w:pPr>
      <w:pBdr/>
      <w:spacing/>
      <w:ind/>
    </w:pPr>
    <w:rPr>
      <w:sz w:val="56"/>
      <w:szCs w:val="56"/>
    </w:rPr>
  </w:style>
  <w:style w:type="paragraph" w:styleId="849">
    <w:name w:val="Heading 3"/>
    <w:basedOn w:val="847"/>
    <w:next w:val="847"/>
    <w:qFormat/>
    <w:pPr>
      <w:pBdr/>
      <w:spacing/>
      <w:ind/>
    </w:pPr>
    <w:rPr>
      <w:color w:val="1f4d78"/>
      <w:sz w:val="24"/>
      <w:szCs w:val="24"/>
    </w:rPr>
  </w:style>
  <w:style w:type="paragraph" w:styleId="850">
    <w:name w:val="Heading 4"/>
    <w:basedOn w:val="847"/>
    <w:next w:val="847"/>
    <w:qFormat/>
    <w:pPr>
      <w:pBdr/>
      <w:spacing/>
      <w:ind/>
    </w:pPr>
    <w:rPr>
      <w:i/>
      <w:iCs/>
      <w:color w:val="2e74b5"/>
    </w:rPr>
  </w:style>
  <w:style w:type="paragraph" w:styleId="851">
    <w:name w:val="Heading 5"/>
    <w:basedOn w:val="847"/>
    <w:next w:val="847"/>
    <w:qFormat/>
    <w:pPr>
      <w:pBdr/>
      <w:spacing/>
      <w:ind/>
    </w:pPr>
    <w:rPr>
      <w:color w:val="2e74b5"/>
    </w:rPr>
  </w:style>
  <w:style w:type="paragraph" w:styleId="852">
    <w:name w:val="Heading 6"/>
    <w:basedOn w:val="847"/>
    <w:next w:val="847"/>
    <w:qFormat/>
    <w:pPr>
      <w:pBdr/>
      <w:spacing/>
      <w:ind/>
    </w:pPr>
    <w:rPr>
      <w:color w:val="1f4d78"/>
    </w:rPr>
  </w:style>
  <w:style w:type="paragraph" w:styleId="853">
    <w:name w:val="Strong"/>
    <w:basedOn w:val="847"/>
    <w:next w:val="847"/>
    <w:qFormat/>
    <w:pPr>
      <w:pBdr/>
      <w:spacing/>
      <w:ind/>
    </w:pPr>
    <w:rPr>
      <w:b/>
      <w:bCs/>
    </w:rPr>
  </w:style>
  <w:style w:type="paragraph" w:styleId="854">
    <w:name w:val="List Paragraph"/>
    <w:basedOn w:val="847"/>
    <w:qFormat/>
    <w:pPr>
      <w:pBdr/>
      <w:spacing/>
      <w:ind/>
    </w:pPr>
  </w:style>
  <w:style w:type="character" w:styleId="855">
    <w:name w:val="Hyperlink"/>
    <w:uiPriority w:val="99"/>
    <w:unhideWhenUsed/>
    <w:pPr>
      <w:pBdr/>
      <w:spacing/>
      <w:ind/>
    </w:pPr>
    <w:rPr>
      <w:color w:val="0563c1"/>
      <w:u w:val="single"/>
    </w:rPr>
  </w:style>
  <w:style w:type="character" w:styleId="856">
    <w:name w:val="footnote reference"/>
    <w:uiPriority w:val="99"/>
    <w:semiHidden/>
    <w:unhideWhenUsed/>
    <w:pPr>
      <w:pBdr/>
      <w:spacing/>
      <w:ind/>
    </w:pPr>
    <w:rPr>
      <w:vertAlign w:val="superscript"/>
    </w:rPr>
  </w:style>
  <w:style w:type="paragraph" w:styleId="857">
    <w:name w:val="footnote text"/>
    <w:basedOn w:val="847"/>
    <w:link w:val="858"/>
    <w:uiPriority w:val="99"/>
    <w:semiHidden/>
    <w:unhideWhenUsed/>
    <w:pPr>
      <w:pBdr/>
      <w:spacing w:after="0" w:line="240" w:lineRule="auto"/>
      <w:ind/>
    </w:pPr>
    <w:rPr>
      <w:sz w:val="20"/>
      <w:szCs w:val="20"/>
    </w:rPr>
  </w:style>
  <w:style w:type="character" w:styleId="858">
    <w:name w:val="Footnote Text Char"/>
    <w:link w:val="857"/>
    <w:uiPriority w:val="99"/>
    <w:semiHidden/>
    <w:unhideWhenUsed/>
    <w:pPr>
      <w:pBdr/>
      <w:spacing/>
      <w:ind/>
    </w:pPr>
    <w:rPr>
      <w:sz w:val="20"/>
      <w:szCs w:val="20"/>
    </w:rPr>
  </w:style>
  <w:style w:type="character" w:styleId="859">
    <w:name w:val="endnote reference"/>
    <w:uiPriority w:val="99"/>
    <w:semiHidden/>
    <w:unhideWhenUsed/>
    <w:pPr>
      <w:pBdr/>
      <w:spacing/>
      <w:ind/>
    </w:pPr>
    <w:rPr>
      <w:vertAlign w:val="superscript"/>
    </w:rPr>
  </w:style>
  <w:style w:type="paragraph" w:styleId="860">
    <w:name w:val="endnote text"/>
    <w:basedOn w:val="847"/>
    <w:link w:val="861"/>
    <w:uiPriority w:val="99"/>
    <w:semiHidden/>
    <w:unhideWhenUsed/>
    <w:pPr>
      <w:pBdr/>
      <w:spacing w:after="0" w:line="240" w:lineRule="auto"/>
      <w:ind/>
    </w:pPr>
    <w:rPr>
      <w:sz w:val="20"/>
      <w:szCs w:val="20"/>
    </w:rPr>
  </w:style>
  <w:style w:type="character" w:styleId="861">
    <w:name w:val="Endnote Text Char"/>
    <w:link w:val="860"/>
    <w:uiPriority w:val="99"/>
    <w:semiHidden/>
    <w:unhideWhenUsed/>
    <w:pPr>
      <w:pBdr/>
      <w:spacing/>
      <w:ind/>
    </w:pPr>
    <w:rPr>
      <w:sz w:val="20"/>
      <w:szCs w:val="20"/>
    </w:rPr>
  </w:style>
  <w:style w:type="paragraph" w:styleId="862">
    <w:name w:val="Heading 1"/>
    <w:basedOn w:val="847"/>
    <w:next w:val="847"/>
    <w:qFormat/>
    <w:pPr>
      <w:pBdr/>
      <w:spacing/>
      <w:ind/>
      <w:outlineLvl w:val="0"/>
    </w:pPr>
    <w:rPr>
      <w:rFonts w:ascii="Arial" w:hAnsi="Arial" w:eastAsia="Arial" w:cs="Arial"/>
      <w:b/>
      <w:bCs/>
      <w:color w:val="0b3c8c"/>
      <w:sz w:val="28"/>
      <w:szCs w:val="28"/>
    </w:rPr>
  </w:style>
  <w:style w:type="paragraph" w:styleId="863">
    <w:name w:val="Heading 2"/>
    <w:basedOn w:val="847"/>
    <w:next w:val="847"/>
    <w:qFormat/>
    <w:pPr>
      <w:pBdr/>
      <w:spacing/>
      <w:ind/>
      <w:outlineLvl w:val="1"/>
    </w:pPr>
    <w:rPr>
      <w:rFonts w:ascii="Arial" w:hAnsi="Arial" w:eastAsia="Arial" w:cs="Arial"/>
      <w:b/>
      <w:bCs/>
      <w:color w:val="1f2937"/>
      <w:sz w:val="23"/>
      <w:szCs w:val="23"/>
    </w:rPr>
  </w:style>
  <w:style w:type="character" w:styleId="864" w:default="1">
    <w:name w:val="Default Paragraph Font"/>
    <w:uiPriority w:val="1"/>
    <w:semiHidden/>
    <w:unhideWhenUsed/>
    <w:pPr>
      <w:pBdr/>
      <w:spacing/>
      <w:ind/>
    </w:pPr>
  </w:style>
  <w:style w:type="numbering" w:styleId="865" w:default="1">
    <w:name w:val="No List"/>
    <w:uiPriority w:val="99"/>
    <w:semiHidden/>
    <w:unhideWhenUsed/>
    <w:pPr>
      <w:pBdr/>
      <w:spacing/>
      <w:ind/>
    </w:pPr>
  </w:style>
  <w:style w:type="table" w:styleId="866" w:default="1">
    <w:name w:val="Normal Table"/>
    <w:uiPriority w:val="99"/>
    <w:semiHidden/>
    <w:unhideWhenUsed/>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 Boleta de pago (enunciado)</dc:title>
  <dc:creator>Juan León Suiyon</dc:creator>
  <cp:revision>3</cp:revision>
  <dcterms:created xsi:type="dcterms:W3CDTF">2026-10-22T16:04:10Z</dcterms:created>
  <dcterms:modified xsi:type="dcterms:W3CDTF">2026-10-22T16:41:24Z</dcterms:modified>
</cp:coreProperties>
</file>

<file path=docProps/custom.xml><?xml version="1.0" encoding="utf-8"?>
<Properties xmlns="http://schemas.openxmlformats.org/officeDocument/2006/custom-properties" xmlns:vt="http://schemas.openxmlformats.org/officeDocument/2006/docPropsVTypes"/>
</file>