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"/>
        <w:pBdr>
          <w:bottom w:val="single" w:sz="7" w:color="D8E2E8"/>
        </w:pBdr>
      </w:pPr>
      <w:r>
        <w:t>上海山南勘测设计有限公司</w:t>
      </w:r>
    </w:p>
    <w:p>
      <w:pPr>
        <w:pStyle w:val="Intro"/>
      </w:pPr>
      <w:r>
        <w:t>上海山南勘测设计有限公司开展岩土工程勘察、测量、检测等工程技术业务。专业分包、劳务分包以及检测、测量外委需要商务部整理不同供应商的报价、材料及比选清单，供商务人员与评审组核对。</w:t>
      </w:r>
    </w:p>
    <w:p>
      <w:pPr>
        <w:pStyle w:val="TopicID"/>
      </w:pPr>
      <w:r>
        <w:t>企业真题 04    ·    山南勘测    ·    2组</w:t>
      </w:r>
    </w:p>
    <w:p>
      <w:pPr>
        <w:pStyle w:val="TopicTitle"/>
      </w:pPr>
      <w:r>
        <w:t>报价各说各话，工程分包怎么比？</w:t>
      </w:r>
    </w:p>
    <w:p>
      <w:pPr>
        <w:pStyle w:val="Goal"/>
      </w:pPr>
      <w:r>
        <w:t xml:space="preserve">业务目标  </w:t>
      </w:r>
      <w:r>
        <w:rPr>
          <w:rFonts w:ascii="Noto Sans CJK SC" w:hAnsi="Noto Sans CJK SC" w:eastAsia="Noto Sans CJK SC" w:cs="Noto Sans CJK SC"/>
          <w:b/>
          <w:color w:val="192A39"/>
          <w:sz w:val="19"/>
        </w:rPr>
        <w:t>分包比选报价归集比对与比选台账生成</w:t>
      </w:r>
    </w:p>
    <w:p>
      <w:pPr>
        <w:pStyle w:val="Field"/>
      </w:pPr>
      <w:r>
        <w:t>业务背景</w:t>
      </w:r>
    </w:p>
    <w:p>
      <w:pPr/>
      <w:r>
        <w:t>一次分包比选通常收到3—6家报价，文件有Excel、PDF、扫描件和微信截图。不同公司填报的项目名称、数量单位、税费口径也不同：有的报含税总价，有的只写不含税单价；机械进出场费、试验费可能包含在综合报价里，也可能被拆成单独费用。商务人员需要把各家的分项手工拆到统一清单、逐项核对，才能看出缺项和口径差异。</w:t>
      </w:r>
    </w:p>
    <w:p>
      <w:pPr/>
      <w:r>
        <w:t>当前整理一轮报价通常要花近一天时间反复抄表、换算和拼接Excel，漏项、单位不一致、金额合计错误都可能影响判断。比选台账经常重新制作，后续想追溯某一个金额，还得翻原始文件和截图。企业希望拿到一份口径清楚、异常可核对、每项数字有出处的比选材料，便于商务部继续审核。</w:t>
      </w:r>
    </w:p>
    <w:p>
      <w:pPr>
        <w:pStyle w:val="Field"/>
      </w:pPr>
      <w:r>
        <w:t>脱敏业务情境</w:t>
      </w:r>
    </w:p>
    <w:p>
      <w:pPr/>
      <w:r>
        <w:t>某工程拟对一批现场测量和检测工作开展分包比选。商务部收到甲、乙、丙、丁四家报价：甲使用Excel并填写含税价格；乙提交PDF，只列未税单价；丙发来扫描报价单，把机械进出场费用单列；丁用微信截图补充费用说明，其中一项按“台班”计价，另一家相似项目按“项”计价。</w:t>
      </w:r>
    </w:p>
    <w:p>
      <w:pPr/>
      <w:r>
        <w:t>商务人员发现其中一家分项合计与总价对不上，另一家漏报了一项试验费；但此时还无法直接认定哪家的报价更合理。需要先对齐清单、核查税费和单位口径，再列明待补充材料及所有异常，生成可以继续修改的比选台账。</w:t>
      </w:r>
    </w:p>
    <w:p>
      <w:pPr>
        <w:pStyle w:val="Field"/>
      </w:pPr>
      <w:r>
        <w:t>企业希望AI完成的任务</w:t>
      </w:r>
    </w:p>
    <w:p>
      <w:pPr>
        <w:pStyle w:val="Task"/>
        <w:ind w:left="278" w:hanging="261"/>
      </w:pPr>
      <w:r>
        <w:rPr>
          <w:rFonts w:ascii="Noto Sans CJK SC" w:hAnsi="Noto Sans CJK SC" w:eastAsia="Noto Sans CJK SC" w:cs="Noto Sans CJK SC"/>
          <w:b/>
          <w:color w:val="29667B"/>
        </w:rPr>
        <w:t xml:space="preserve">1.  </w:t>
      </w:r>
      <w:r>
        <w:t>导入各家Excel、PDF、扫描件或截图以及统一比选清单模板，识别分包商、分项名称、单位、数量、单价、税率或税额、金额及对应原始文件位置。</w:t>
      </w:r>
    </w:p>
    <w:p>
      <w:pPr>
        <w:pStyle w:val="Task"/>
        <w:ind w:left="278" w:hanging="261"/>
      </w:pPr>
      <w:r>
        <w:rPr>
          <w:rFonts w:ascii="Noto Sans CJK SC" w:hAnsi="Noto Sans CJK SC" w:eastAsia="Noto Sans CJK SC" w:cs="Noto Sans CJK SC"/>
          <w:b/>
          <w:color w:val="29667B"/>
        </w:rPr>
        <w:t xml:space="preserve">2.  </w:t>
      </w:r>
      <w:r>
        <w:t>将同类分项对齐到统一清单，分别展示含税和不含税口径及折算依据；明确标记缺项、重复项、未包含的机械进出场费或试验费，以及无法直接比较的单位差异。</w:t>
      </w:r>
    </w:p>
    <w:p>
      <w:pPr>
        <w:pStyle w:val="Task"/>
        <w:ind w:left="278" w:hanging="261"/>
      </w:pPr>
      <w:r>
        <w:rPr>
          <w:rFonts w:ascii="Noto Sans CJK SC" w:hAnsi="Noto Sans CJK SC" w:eastAsia="Noto Sans CJK SC" w:cs="Noto Sans CJK SC"/>
          <w:b/>
          <w:color w:val="29667B"/>
        </w:rPr>
        <w:t xml:space="preserve">3.  </w:t>
      </w:r>
      <w:r>
        <w:t>根据确定的计算规则核对数量×单价、分项合计和总价；对单价缺失、单位不一致、金额不符，以及明显偏离提供的历史参考区间的条目生成待核查提示。</w:t>
      </w:r>
    </w:p>
    <w:p>
      <w:pPr>
        <w:pStyle w:val="Task"/>
        <w:ind w:left="278" w:hanging="261"/>
      </w:pPr>
      <w:r>
        <w:rPr>
          <w:rFonts w:ascii="Noto Sans CJK SC" w:hAnsi="Noto Sans CJK SC" w:eastAsia="Noto Sans CJK SC" w:cs="Noto Sans CJK SC"/>
          <w:b/>
          <w:color w:val="29667B"/>
        </w:rPr>
        <w:t xml:space="preserve">4.  </w:t>
      </w:r>
      <w:r>
        <w:t>生成可修改的报价对比表、报价明细与资格材料清单、需补充事项、比选台账初稿；每项数据能够回查原文件；原件和AI整理结果分开保存，补录、修改及操作有记录。</w:t>
      </w:r>
    </w:p>
    <w:p>
      <w:pPr>
        <w:pStyle w:val="Task"/>
        <w:ind w:left="278" w:hanging="261"/>
      </w:pPr>
      <w:r>
        <w:rPr>
          <w:rFonts w:ascii="Noto Sans CJK SC" w:hAnsi="Noto Sans CJK SC" w:eastAsia="Noto Sans CJK SC" w:cs="Noto Sans CJK SC"/>
          <w:b/>
          <w:color w:val="29667B"/>
        </w:rPr>
        <w:t xml:space="preserve">5.  </w:t>
      </w:r>
      <w:r>
        <w:t>由商务部和评审人员继续判断分包商资质、履约能力、价格合理性和最终比选结果，系统仅提供整理、计算核对与异常线索。</w:t>
      </w:r>
    </w:p>
    <w:p>
      <w:pPr>
        <w:pStyle w:val="Field"/>
      </w:pPr>
      <w:r>
        <w:t>模拟沟通片段</w:t>
      </w:r>
    </w:p>
    <w:p>
      <w:pPr>
        <w:pStyle w:val="Quote"/>
        <w:ind w:left="193"/>
      </w:pPr>
      <w:r>
        <w:rPr>
          <w:rFonts w:ascii="Noto Sans CJK SC" w:hAnsi="Noto Sans CJK SC" w:eastAsia="Noto Sans CJK SC" w:cs="Noto Sans CJK SC"/>
          <w:b/>
          <w:color w:val="29667B"/>
        </w:rPr>
        <w:t>商务人员：</w:t>
      </w:r>
      <w:r>
        <w:t>“这份报价是含税的，那份不含税，进出场费有人单列有人不列。要先统一口径才能看，不然总价对不上。”</w:t>
      </w:r>
    </w:p>
    <w:p>
      <w:pPr>
        <w:pStyle w:val="Quote"/>
        <w:ind w:left="193"/>
      </w:pPr>
      <w:r>
        <w:rPr>
          <w:rFonts w:ascii="Noto Sans CJK SC" w:hAnsi="Noto Sans CJK SC" w:eastAsia="Noto Sans CJK SC" w:cs="Noto Sans CJK SC"/>
          <w:b/>
          <w:color w:val="29667B"/>
        </w:rPr>
        <w:t>项目负责人：</w:t>
      </w:r>
      <w:r>
        <w:t>“把漏项、单位不一样和合计有问题的地方标出来，最好一点就能找到原报价在哪一页。”</w:t>
      </w:r>
    </w:p>
    <w:p>
      <w:pPr>
        <w:pStyle w:val="Quote"/>
        <w:ind w:left="193"/>
      </w:pPr>
      <w:r>
        <w:rPr>
          <w:rFonts w:ascii="Noto Sans CJK SC" w:hAnsi="Noto Sans CJK SC" w:eastAsia="Noto Sans CJK SC" w:cs="Noto Sans CJK SC"/>
          <w:b/>
          <w:color w:val="29667B"/>
        </w:rPr>
        <w:t>商务经理：</w:t>
      </w:r>
      <w:r>
        <w:t>“台账先整理一版，我们再补资质材料、核报价。最终选哪家还是按评审意见来。”</w:t>
      </w:r>
    </w:p>
    <w:p>
      <w:pPr>
        <w:pStyle w:val="Field"/>
      </w:pPr>
      <w:r>
        <w:t>参考样例资料</w:t>
      </w:r>
    </w:p>
    <w:p>
      <w:pPr>
        <w:pStyle w:val="Tiny"/>
      </w:pPr>
      <w:r>
        <w:t>可使用1个模拟工程项目、4份不同格式报价、1份约15—20行的标准比选清单、1份历史参考价格区间表、资格材料清单及台账模板。真实报价及成交价属于经营敏感信息，须在企业内网离线处理，不上传公网或第三方服务，材料仅限授权范围使用；公开演示样本使用虚构单位与金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9" w:right="1151" w:bottom="975" w:left="1151" w:header="488" w:footer="49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5B6873"/>
        <w:sz w:val="15"/>
      </w:rPr>
      <w:t xml:space="preserve">企业真题  ·  2026.10.23—25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B6873"/>
        <w:sz w:val="16"/>
      </w:rPr>
      <w:t>GDPS 2026  /  FDE智能人才工厂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76" w:line="319" w:lineRule="auto"/>
    </w:pPr>
    <w:rPr>
      <w:rFonts w:ascii="Noto Sans CJK SC" w:hAnsi="Noto Sans CJK SC" w:eastAsia="Noto Sans CJK SC"/>
      <w:b w:val="0"/>
      <w:color w:val="2832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spacing w:before="0" w:after="54" w:line="307" w:lineRule="auto"/>
    </w:pPr>
    <w:rPr>
      <w:rFonts w:ascii="Noto Sans CJK SC" w:hAnsi="Noto Sans CJK SC" w:eastAsia="Noto Sans CJK SC"/>
      <w:b w:val="0"/>
      <w:i/>
      <w:iCs/>
      <w:color w:val="424A53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before="0" w:after="180" w:line="286" w:lineRule="auto"/>
    </w:pPr>
    <w:rPr>
      <w:rFonts w:ascii="Noto Sans CJK SC" w:hAnsi="Noto Sans CJK SC" w:eastAsia="Noto Sans CJK SC"/>
      <w:b/>
      <w:color w:val="192A39"/>
      <w:sz w:val="34"/>
    </w:rPr>
  </w:style>
  <w:style w:type="paragraph" w:customStyle="1" w:styleId="DocMeta">
    <w:name w:val="DocMeta"/>
    <w:pPr>
      <w:keepNext w:val="0"/>
      <w:spacing w:before="0" w:after="180" w:line="300" w:lineRule="auto"/>
    </w:pPr>
    <w:rPr>
      <w:rFonts w:ascii="Noto Sans CJK SC" w:hAnsi="Noto Sans CJK SC" w:eastAsia="Noto Sans CJK SC"/>
      <w:b w:val="0"/>
      <w:color w:val="5B6873"/>
      <w:sz w:val="18"/>
    </w:rPr>
  </w:style>
  <w:style w:type="paragraph" w:customStyle="1" w:styleId="Intro">
    <w:name w:val="Intro"/>
    <w:pPr>
      <w:keepNext w:val="0"/>
      <w:spacing w:before="0" w:after="94" w:line="317" w:lineRule="auto"/>
    </w:pPr>
    <w:rPr>
      <w:rFonts w:ascii="Noto Sans CJK SC" w:hAnsi="Noto Sans CJK SC" w:eastAsia="Noto Sans CJK SC"/>
      <w:b w:val="0"/>
      <w:color w:val="28323D"/>
      <w:sz w:val="19"/>
    </w:rPr>
  </w:style>
  <w:style w:type="paragraph" w:customStyle="1" w:styleId="Chapter">
    <w:name w:val="Chapter"/>
    <w:pPr>
      <w:keepNext/>
      <w:spacing w:before="160" w:after="60" w:line="290" w:lineRule="auto"/>
    </w:pPr>
    <w:rPr>
      <w:rFonts w:ascii="Noto Sans CJK SC" w:hAnsi="Noto Sans CJK SC" w:eastAsia="Noto Sans CJK SC"/>
      <w:b/>
      <w:color w:val="192A39"/>
      <w:sz w:val="23"/>
    </w:rPr>
  </w:style>
  <w:style w:type="paragraph" w:customStyle="1" w:styleId="TopicID">
    <w:name w:val="TopicID"/>
    <w:pPr>
      <w:keepNext/>
      <w:spacing w:before="0" w:after="80" w:line="269" w:lineRule="auto"/>
    </w:pPr>
    <w:rPr>
      <w:rFonts w:ascii="Noto Sans CJK SC" w:hAnsi="Noto Sans CJK SC" w:eastAsia="Noto Sans CJK SC"/>
      <w:b/>
      <w:color w:val="29667B"/>
      <w:sz w:val="17"/>
    </w:rPr>
  </w:style>
  <w:style w:type="paragraph" w:customStyle="1" w:styleId="TopicTitle">
    <w:name w:val="TopicTitle"/>
    <w:pPr>
      <w:keepNext/>
      <w:spacing w:before="0" w:after="120" w:line="290" w:lineRule="auto"/>
    </w:pPr>
    <w:rPr>
      <w:rFonts w:ascii="Noto Sans CJK SC" w:hAnsi="Noto Sans CJK SC" w:eastAsia="Noto Sans CJK SC"/>
      <w:b/>
      <w:color w:val="192A39"/>
      <w:sz w:val="29"/>
    </w:rPr>
  </w:style>
  <w:style w:type="paragraph" w:customStyle="1" w:styleId="Goal">
    <w:name w:val="Goal"/>
    <w:pPr>
      <w:keepNext/>
      <w:spacing w:before="0" w:after="100" w:line="305" w:lineRule="auto"/>
    </w:pPr>
    <w:rPr>
      <w:rFonts w:ascii="Noto Sans CJK SC" w:hAnsi="Noto Sans CJK SC" w:eastAsia="Noto Sans CJK SC"/>
      <w:b w:val="0"/>
      <w:color w:val="29667B"/>
      <w:sz w:val="19"/>
    </w:rPr>
  </w:style>
  <w:style w:type="paragraph" w:customStyle="1" w:styleId="Field">
    <w:name w:val="Field"/>
    <w:pPr>
      <w:keepNext/>
      <w:spacing w:before="130" w:after="60" w:line="283" w:lineRule="auto"/>
    </w:pPr>
    <w:rPr>
      <w:rFonts w:ascii="Noto Sans CJK SC" w:hAnsi="Noto Sans CJK SC" w:eastAsia="Noto Sans CJK SC"/>
      <w:b/>
      <w:color w:val="192A39"/>
      <w:sz w:val="20"/>
    </w:rPr>
  </w:style>
  <w:style w:type="paragraph" w:customStyle="1" w:styleId="Task">
    <w:name w:val="Task"/>
    <w:pPr>
      <w:keepNext w:val="0"/>
      <w:spacing w:before="0" w:after="72" w:line="312" w:lineRule="auto"/>
    </w:pPr>
    <w:rPr>
      <w:rFonts w:ascii="Noto Sans CJK SC" w:hAnsi="Noto Sans CJK SC" w:eastAsia="Noto Sans CJK SC"/>
      <w:b w:val="0"/>
      <w:color w:val="28323D"/>
      <w:sz w:val="19"/>
    </w:rPr>
  </w:style>
  <w:style w:type="paragraph" w:customStyle="1" w:styleId="Tiny">
    <w:name w:val="Tiny"/>
    <w:pPr>
      <w:keepNext w:val="0"/>
      <w:spacing w:before="0" w:after="52" w:line="293" w:lineRule="auto"/>
    </w:pPr>
    <w:rPr>
      <w:rFonts w:ascii="Noto Sans CJK SC" w:hAnsi="Noto Sans CJK SC" w:eastAsia="Noto Sans CJK SC"/>
      <w:b w:val="0"/>
      <w:color w:val="5B6873"/>
      <w:sz w:val="17"/>
    </w:rPr>
  </w:style>
  <w:style w:type="paragraph" w:customStyle="1" w:styleId="TableText">
    <w:name w:val="TableText"/>
    <w:pPr>
      <w:keepNext w:val="0"/>
      <w:spacing w:before="0" w:after="0" w:line="288" w:lineRule="auto"/>
    </w:pPr>
    <w:rPr>
      <w:rFonts w:ascii="Noto Sans CJK SC" w:hAnsi="Noto Sans CJK SC" w:eastAsia="Noto Sans CJK SC"/>
      <w:b w:val="0"/>
      <w:color w:val="28323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报价各说各话，工程分包怎么比？</dc:title>
  <dc:subject>四家企业六道真题</dc:subject>
  <dc:creator>GDPS FDE智能人才工厂</dc:creator>
  <cp:keywords>GDPS;FDE;企业真题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