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&lt;title&gt;Pursuit of Coverage - Medical Billing &amp; Healthcare Consulting&lt;/title&gt;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&lt;!-- Header Section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&lt;h1&gt;Pursuit of Coverage (POC)&lt;/h1&gt;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&lt;p&gt;Your Partner in Medical Billing and Healthcare Consulting&lt;/p&gt;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&lt;a href="#contact" class="cta-button"&gt;Contact Us&lt;/a&gt;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&lt;!-- About Us Section 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&lt;h2&gt;About Us&lt;/h2&gt;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&lt;p&gt;At Pursuit of Coverage, we specialize in ethical medical billing practices and tailored healthcare consulting services. Our mission is to ensure providers maximize revenue while maintaining transparency and integrity.&lt;/p&gt;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&lt;p&gt;With dedicated account managers and a team of reimbursement experts, we guide practices through complex billing landscapes and help them recover from bad billing practices.&lt;/p&gt;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&lt;!-- Services Section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&lt;section id="services"&gt;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&lt;h2&gt;Our Services&lt;/h2&gt;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&lt;li&gt;&lt;strong&gt;Medical Billing Services:&lt;/strong&gt; Sleep Dentistry, TMJ Treatment, Implants, and more.&lt;/li&gt;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&lt;li&gt;&lt;strong&gt;Training &amp; Education:&lt;/strong&gt; Learn cross-coding, pre-authorization processes, and claim appeals.&lt;/li&gt;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&lt;li&gt;&lt;strong&gt;Credentialing &amp; Contracting:&lt;/strong&gt; Provider credentialing and insurance network contracting.&lt;/li&gt;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&lt;li&gt;&lt;strong&gt;Program Development:&lt;/strong&gt; Custom forms, EHR/EMR setup, and staff training manuals.&lt;/li&gt;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&lt;!-- Pricing Section --&gt;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&lt;section id="pricing"&gt;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&lt;h2&gt;Pricing&lt;/h2&gt;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&lt;table&gt;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&lt;th&gt;Service&lt;/th&gt;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&lt;th&gt;Cost&lt;/th&gt;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&lt;td&gt;Medicare DME Enrollment (Non-Client)&lt;/td&gt;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&lt;td&gt;$1,250&lt;/td&gt;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&lt;td&gt;Medicare DME Enrollment (Client)&lt;/td&gt;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&lt;td&gt;$950&lt;/td&gt;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&lt;td&gt;Clearinghouse Setup&lt;/td&gt;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&lt;td&gt;$1,995&lt;/td&gt;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&lt;td&gt;Credentialing Fee (Per Provider)&lt;/td&gt;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&lt;td&gt;$1,400&lt;/td&gt;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&lt;!-- Industries Section --&gt;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&lt;section id="industries"&gt;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&lt;h2&gt;Industries We Serve&lt;/h2&gt;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&lt;li&gt;Dentists, Oral Surgeons, Hygienists&lt;/li&gt;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&lt;li&gt;Social Services, Home Health, Vocational Services&lt;/li&gt;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&lt;li&gt;Public Hospitals, Shelters, Recuperative Care&lt;/li&gt;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&lt;!-- Contact Section --&gt;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&lt;section id="contact"&gt;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&lt;h2&gt;Contact Us&lt;/h2&gt;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&lt;form action="/submit" method="POST"&gt;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&lt;label for="name"&gt;Name:&lt;/label&gt;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&lt;input type="text" id="name" name="name" required&gt;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&lt;input type="email" id="email" name="email" required&gt;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&lt;label for="phone"&gt;Phone:&lt;/label&gt;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&lt;input type="tel" id="phone" name="phone" required&gt;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&lt;label for="message"&gt;Message:&lt;/label&gt;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&lt;textarea id="message" name="message" rows="5" required&gt;&lt;/textarea&gt;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&lt;button type="submit"&gt;Submit&lt;/button&gt;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&lt;!-- Footer Section --&gt;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&lt;p&gt;&amp;copy; 2024 Pursuit of Coverage. All rights reserved.&lt;/p&gt;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