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1558" w14:textId="77777777" w:rsidR="00E42E72" w:rsidRDefault="00000000">
      <w:pPr>
        <w:spacing w:after="40"/>
      </w:pPr>
      <w:r>
        <w:rPr>
          <w:b/>
          <w:bCs/>
          <w:color w:val="FFB020"/>
          <w:spacing w:val="60"/>
          <w:sz w:val="19"/>
          <w:szCs w:val="19"/>
        </w:rPr>
        <w:t>GUIA PRÁTICO · @PATOLUCASENG</w:t>
      </w:r>
    </w:p>
    <w:p w14:paraId="4DACD7B0" w14:textId="77777777" w:rsidR="00E42E72" w:rsidRDefault="00000000">
      <w:pPr>
        <w:spacing w:after="60"/>
      </w:pPr>
      <w:r>
        <w:rPr>
          <w:rFonts w:ascii="Cambria" w:eastAsia="Cambria" w:hAnsi="Cambria" w:cs="Cambria"/>
          <w:b/>
          <w:bCs/>
          <w:color w:val="0F1B2D"/>
          <w:sz w:val="38"/>
          <w:szCs w:val="38"/>
        </w:rPr>
        <w:t>Checklist de Revisão e Auditoria do PATO</w:t>
      </w:r>
    </w:p>
    <w:p w14:paraId="7ADB6B8D" w14:textId="77777777" w:rsidR="00E42E72" w:rsidRDefault="00E42E72">
      <w:pPr>
        <w:pBdr>
          <w:bottom w:val="single" w:sz="12" w:space="6" w:color="FFB020"/>
        </w:pBdr>
        <w:spacing w:after="60"/>
      </w:pPr>
    </w:p>
    <w:p w14:paraId="4EBA00A6" w14:textId="77777777" w:rsidR="00E42E72" w:rsidRDefault="00000000">
      <w:pPr>
        <w:spacing w:after="160"/>
      </w:pPr>
      <w:r>
        <w:rPr>
          <w:i/>
          <w:iCs/>
          <w:color w:val="6B7683"/>
          <w:sz w:val="20"/>
          <w:szCs w:val="20"/>
        </w:rPr>
        <w:t>Roteiro minucioso para conferir um PATO pronto — cada ponto é uma verificação que resiste ao controle.</w:t>
      </w:r>
    </w:p>
    <w:p w14:paraId="50B7C708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1  </w:t>
      </w:r>
      <w:r>
        <w:rPr>
          <w:b/>
          <w:bCs/>
          <w:color w:val="0F1B2D"/>
          <w:sz w:val="23"/>
          <w:szCs w:val="23"/>
        </w:rPr>
        <w:t xml:space="preserve">  Conformidade normativa e escopo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3568DD6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55B58D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C6D2A1F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As referências normativas citadas estão vigentes?</w:t>
            </w:r>
          </w:p>
          <w:p w14:paraId="52F5A933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 xml:space="preserve">Resolução DNIT nº 8/2023, </w:t>
            </w:r>
            <w:proofErr w:type="spellStart"/>
            <w:r>
              <w:rPr>
                <w:i/>
                <w:iCs/>
                <w:color w:val="6B7683"/>
                <w:sz w:val="16"/>
                <w:szCs w:val="16"/>
              </w:rPr>
              <w:t>INs</w:t>
            </w:r>
            <w:proofErr w:type="spellEnd"/>
            <w:r>
              <w:rPr>
                <w:i/>
                <w:iCs/>
                <w:color w:val="6B7683"/>
                <w:sz w:val="16"/>
                <w:szCs w:val="16"/>
              </w:rPr>
              <w:t>, acórdãos e SICRO na versão correta.</w:t>
            </w:r>
          </w:p>
        </w:tc>
      </w:tr>
      <w:tr w:rsidR="00E42E72" w14:paraId="46ED72E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301692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82C606D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Todos os serviços orçados são elegíveis ao PATO?</w:t>
            </w:r>
          </w:p>
          <w:p w14:paraId="197C0C38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Nada de CREMA, PROARTE, BR-Legal ou restauração/melhoria incompatível.</w:t>
            </w:r>
          </w:p>
        </w:tc>
      </w:tr>
      <w:tr w:rsidR="00E42E72" w14:paraId="61CECC4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E5E928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D279012" w14:textId="77777777" w:rsidR="00E42E72" w:rsidRDefault="00000000">
            <w:r>
              <w:rPr>
                <w:sz w:val="19"/>
                <w:szCs w:val="19"/>
              </w:rPr>
              <w:t>Os serviços não previstos no Manual têm enquadramento demonstrado?</w:t>
            </w:r>
          </w:p>
        </w:tc>
      </w:tr>
      <w:tr w:rsidR="00E42E72" w14:paraId="463EF5E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57F42B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E2F438B" w14:textId="77777777" w:rsidR="00E42E72" w:rsidRDefault="00000000">
            <w:r>
              <w:rPr>
                <w:sz w:val="19"/>
                <w:szCs w:val="19"/>
              </w:rPr>
              <w:t>As intervenções funcionais respeitam os critérios e limites do Anexo V?</w:t>
            </w:r>
          </w:p>
        </w:tc>
      </w:tr>
      <w:tr w:rsidR="00E42E72" w14:paraId="380CFC9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86C608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0C105EB" w14:textId="77777777" w:rsidR="00E42E72" w:rsidRDefault="00000000">
            <w:r>
              <w:rPr>
                <w:sz w:val="19"/>
                <w:szCs w:val="19"/>
              </w:rPr>
              <w:t>Os DSM ficam dentro dos 25% do valor global do orçamento inicial?</w:t>
            </w:r>
          </w:p>
        </w:tc>
      </w:tr>
      <w:tr w:rsidR="00E42E72" w14:paraId="241128E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542D5D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01280A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A nomenclatura está padronizada?</w:t>
            </w:r>
          </w:p>
          <w:p w14:paraId="70DE87EB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Acórdãos com nº, normas com sufixo (005/2003-TER, 182/2018-PRO).</w:t>
            </w:r>
          </w:p>
        </w:tc>
      </w:tr>
      <w:tr w:rsidR="00E42E72" w14:paraId="5E6FEAE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159DF6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FDD78CC" w14:textId="77777777" w:rsidR="00E42E72" w:rsidRDefault="00000000">
            <w:r>
              <w:rPr>
                <w:sz w:val="19"/>
                <w:szCs w:val="19"/>
              </w:rPr>
              <w:t>A duração do contrato está em períodos múltiplos de um ano?</w:t>
            </w:r>
          </w:p>
        </w:tc>
      </w:tr>
    </w:tbl>
    <w:p w14:paraId="06943E26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2  </w:t>
      </w:r>
      <w:r>
        <w:rPr>
          <w:b/>
          <w:bCs/>
          <w:color w:val="0F1B2D"/>
          <w:sz w:val="23"/>
          <w:szCs w:val="23"/>
        </w:rPr>
        <w:t xml:space="preserve">  Inventário e levantamento de campo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65654FD7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020E63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92B83A0" w14:textId="77777777" w:rsidR="00E42E72" w:rsidRDefault="00000000">
            <w:r>
              <w:rPr>
                <w:sz w:val="19"/>
                <w:szCs w:val="19"/>
              </w:rPr>
              <w:t>O cadastro do trecho e o inventário seguem os modelos dos Anexos II e III?</w:t>
            </w:r>
          </w:p>
        </w:tc>
      </w:tr>
      <w:tr w:rsidR="00E42E72" w14:paraId="476A6AE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AB4D49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64CB28C" w14:textId="77777777" w:rsidR="00E42E72" w:rsidRDefault="00000000">
            <w:r>
              <w:rPr>
                <w:sz w:val="19"/>
                <w:szCs w:val="19"/>
              </w:rPr>
              <w:t>Cada elemento gerador está localizado por km e coordenada (não por estaca)?</w:t>
            </w:r>
          </w:p>
        </w:tc>
      </w:tr>
      <w:tr w:rsidR="00E42E72" w14:paraId="6941AA6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8948CD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5EBFB4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Há compatibilidade entre cadastro, fotos, inventário, planilha-resumo e memória?</w:t>
            </w:r>
          </w:p>
          <w:p w14:paraId="5913D791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Divergência entre essas peças é o principal alvo de glosa.</w:t>
            </w:r>
          </w:p>
        </w:tc>
      </w:tr>
      <w:tr w:rsidR="00E42E72" w14:paraId="4C59805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733B56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5C3AEF3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 xml:space="preserve">Os quantitativos NÃO foram copiados de </w:t>
            </w:r>
            <w:proofErr w:type="spellStart"/>
            <w:r>
              <w:rPr>
                <w:sz w:val="19"/>
                <w:szCs w:val="19"/>
              </w:rPr>
              <w:t>PATOs</w:t>
            </w:r>
            <w:proofErr w:type="spellEnd"/>
            <w:r>
              <w:rPr>
                <w:sz w:val="19"/>
                <w:szCs w:val="19"/>
              </w:rPr>
              <w:t xml:space="preserve"> anteriores?</w:t>
            </w:r>
          </w:p>
          <w:p w14:paraId="2F1B7B64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Conferir se há levantamento próprio e datado desta etapa.</w:t>
            </w:r>
          </w:p>
        </w:tc>
      </w:tr>
      <w:tr w:rsidR="00E42E72" w14:paraId="37536077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09E9C9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FE961A1" w14:textId="77777777" w:rsidR="00E42E72" w:rsidRDefault="00000000">
            <w:r>
              <w:rPr>
                <w:sz w:val="19"/>
                <w:szCs w:val="19"/>
              </w:rPr>
              <w:t>A metodologia de levantamento está documentada?</w:t>
            </w:r>
          </w:p>
        </w:tc>
      </w:tr>
      <w:tr w:rsidR="00E42E72" w14:paraId="0AEAEF9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4A87C3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EB117CE" w14:textId="77777777" w:rsidR="00E42E72" w:rsidRDefault="00000000">
            <w:r>
              <w:rPr>
                <w:sz w:val="19"/>
                <w:szCs w:val="19"/>
              </w:rPr>
              <w:t>As interferências ambientais e áreas de licenciamento foram identificadas?</w:t>
            </w:r>
          </w:p>
        </w:tc>
      </w:tr>
    </w:tbl>
    <w:p w14:paraId="71F523DA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3  </w:t>
      </w:r>
      <w:r>
        <w:rPr>
          <w:b/>
          <w:bCs/>
          <w:color w:val="0F1B2D"/>
          <w:sz w:val="23"/>
          <w:szCs w:val="23"/>
        </w:rPr>
        <w:t xml:space="preserve">  Quantificação e níveis de esforço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287759F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46D596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20BC452" w14:textId="77777777" w:rsidR="00E42E72" w:rsidRDefault="00000000">
            <w:r>
              <w:rPr>
                <w:sz w:val="19"/>
                <w:szCs w:val="19"/>
              </w:rPr>
              <w:t>Cada quantitativo tem memória de cálculo rastreável e reproduzível?</w:t>
            </w:r>
          </w:p>
        </w:tc>
      </w:tr>
      <w:tr w:rsidR="00E42E72" w14:paraId="08E8700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5C2A92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7E009E6" w14:textId="77777777" w:rsidR="00E42E72" w:rsidRDefault="00000000">
            <w:r>
              <w:rPr>
                <w:sz w:val="19"/>
                <w:szCs w:val="19"/>
              </w:rPr>
              <w:t>Estão identificados fórmula, unidade, extensão, área, volume, frequência e NE?</w:t>
            </w:r>
          </w:p>
        </w:tc>
      </w:tr>
      <w:tr w:rsidR="00E42E72" w14:paraId="50D5ABC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81EB49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D026B28" w14:textId="77777777" w:rsidR="00E42E72" w:rsidRDefault="00000000">
            <w:r>
              <w:rPr>
                <w:sz w:val="19"/>
                <w:szCs w:val="19"/>
              </w:rPr>
              <w:t>A memória do NE se apoia no Índice do Pavimento e no histórico do trecho?</w:t>
            </w:r>
          </w:p>
        </w:tc>
      </w:tr>
      <w:tr w:rsidR="00E42E72" w14:paraId="1B93D62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02AFD3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C418C6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NE diferentes dos referenciais estão tecnicamente justificados?</w:t>
            </w:r>
          </w:p>
          <w:p w14:paraId="79B47906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Com levantamentos e critérios objetivos, não por arbítrio.</w:t>
            </w:r>
          </w:p>
        </w:tc>
      </w:tr>
      <w:tr w:rsidR="00E42E72" w14:paraId="54A3903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18AD96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6C31259" w14:textId="77777777" w:rsidR="00E42E72" w:rsidRDefault="00000000">
            <w:r>
              <w:rPr>
                <w:sz w:val="19"/>
                <w:szCs w:val="19"/>
              </w:rPr>
              <w:t>Roçada/capina foi calculada conforme a DNIT 182/2018-PRO?</w:t>
            </w:r>
          </w:p>
        </w:tc>
      </w:tr>
      <w:tr w:rsidR="00E42E72" w14:paraId="3226CCE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1E0441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3A092A7" w14:textId="77777777" w:rsidR="00E42E72" w:rsidRDefault="00000000">
            <w:r>
              <w:rPr>
                <w:sz w:val="19"/>
                <w:szCs w:val="19"/>
              </w:rPr>
              <w:t>Os quantitativos representam todo o período contratual?</w:t>
            </w:r>
          </w:p>
        </w:tc>
      </w:tr>
      <w:tr w:rsidR="00E42E72" w14:paraId="028BA00D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58FE1F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BDD4422" w14:textId="77777777" w:rsidR="00E42E72" w:rsidRDefault="00000000">
            <w:r>
              <w:rPr>
                <w:sz w:val="19"/>
                <w:szCs w:val="19"/>
              </w:rPr>
              <w:t>Não há duplicidade entre serviços por desempenho e serviços medidos por unidade?</w:t>
            </w:r>
          </w:p>
        </w:tc>
      </w:tr>
      <w:tr w:rsidR="00E42E72" w14:paraId="34AF28E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187C21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02D4B51" w14:textId="77777777" w:rsidR="00E42E72" w:rsidRDefault="00000000">
            <w:r>
              <w:rPr>
                <w:sz w:val="19"/>
                <w:szCs w:val="19"/>
              </w:rPr>
              <w:t>Não há sobreposição entre rotineira, periódica, emergencial e DSM?</w:t>
            </w:r>
          </w:p>
        </w:tc>
      </w:tr>
    </w:tbl>
    <w:p w14:paraId="3EC22FBE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4  </w:t>
      </w:r>
      <w:r>
        <w:rPr>
          <w:b/>
          <w:bCs/>
          <w:color w:val="0F1B2D"/>
          <w:sz w:val="23"/>
          <w:szCs w:val="23"/>
        </w:rPr>
        <w:t xml:space="preserve">  DSM — verificação específica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010AD10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AAE5A7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DD1B49D" w14:textId="77777777" w:rsidR="00E42E72" w:rsidRDefault="00000000">
            <w:r>
              <w:rPr>
                <w:sz w:val="19"/>
                <w:szCs w:val="19"/>
              </w:rPr>
              <w:t>Os DSM foram quantificados por memória de cálculo direta (sem NE)?</w:t>
            </w:r>
          </w:p>
        </w:tc>
      </w:tr>
      <w:tr w:rsidR="00E42E72" w14:paraId="201CE05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701421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651830A" w14:textId="77777777" w:rsidR="00E42E72" w:rsidRDefault="00000000">
            <w:r>
              <w:rPr>
                <w:sz w:val="19"/>
                <w:szCs w:val="19"/>
              </w:rPr>
              <w:t>Cada DSM tem justificativa obrigatória e localização exata?</w:t>
            </w:r>
          </w:p>
        </w:tc>
      </w:tr>
      <w:tr w:rsidR="00E42E72" w14:paraId="6B99F24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ED6AF8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D178D70" w14:textId="77777777" w:rsidR="00E42E72" w:rsidRDefault="00000000">
            <w:r>
              <w:rPr>
                <w:sz w:val="19"/>
                <w:szCs w:val="19"/>
              </w:rPr>
              <w:t>A caracterização traz croquis, plantas, cortes, ensaios ou fotos, conforme o caso?</w:t>
            </w:r>
          </w:p>
        </w:tc>
      </w:tr>
      <w:tr w:rsidR="00E42E72" w14:paraId="481147B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BF0048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1E98EA0" w14:textId="77777777" w:rsidR="00E42E72" w:rsidRDefault="00000000">
            <w:r>
              <w:rPr>
                <w:sz w:val="19"/>
                <w:szCs w:val="19"/>
              </w:rPr>
              <w:t>A solução está plenamente caracterizada e não transfigura o objeto?</w:t>
            </w:r>
          </w:p>
        </w:tc>
      </w:tr>
      <w:tr w:rsidR="00E42E72" w14:paraId="60A718C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9F9558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D5212C6" w14:textId="77777777" w:rsidR="00E42E72" w:rsidRDefault="00000000">
            <w:r>
              <w:rPr>
                <w:sz w:val="19"/>
                <w:szCs w:val="19"/>
              </w:rPr>
              <w:t>O somatório dos DSM foi reconferido contra o limite de 25%?</w:t>
            </w:r>
          </w:p>
        </w:tc>
      </w:tr>
    </w:tbl>
    <w:p w14:paraId="056DBAB9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lastRenderedPageBreak/>
        <w:t xml:space="preserve">  5  </w:t>
      </w:r>
      <w:r>
        <w:rPr>
          <w:b/>
          <w:bCs/>
          <w:color w:val="0F1B2D"/>
          <w:sz w:val="23"/>
          <w:szCs w:val="23"/>
        </w:rPr>
        <w:t xml:space="preserve">  Materiais, transportes e composições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346F972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DA1026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4E70AC9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As fontes de materiais estão pesquisadas e o croqui de DMT (Anexo IX) está completo?</w:t>
            </w:r>
          </w:p>
          <w:p w14:paraId="2E9565D0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Fornecedor, coordenadas, tipo de acesso e distâncias por tipo de leito.</w:t>
            </w:r>
          </w:p>
        </w:tc>
      </w:tr>
      <w:tr w:rsidR="00E42E72" w14:paraId="6E729F0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806B50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45B5256" w14:textId="77777777" w:rsidR="00E42E72" w:rsidRDefault="00000000">
            <w:r>
              <w:rPr>
                <w:sz w:val="19"/>
                <w:szCs w:val="19"/>
              </w:rPr>
              <w:t>Os pedágios e o binômio de transporte (Anexo VIII) foram considerados?</w:t>
            </w:r>
          </w:p>
        </w:tc>
      </w:tr>
      <w:tr w:rsidR="00E42E72" w14:paraId="57EED1A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E4CD8F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52D5A52" w14:textId="77777777" w:rsidR="00E42E72" w:rsidRDefault="00000000">
            <w:r>
              <w:rPr>
                <w:sz w:val="19"/>
                <w:szCs w:val="19"/>
              </w:rPr>
              <w:t>O FIT e o mapa de estações pluviométricas (FIC) estão elaborados e justificados?</w:t>
            </w:r>
          </w:p>
        </w:tc>
      </w:tr>
      <w:tr w:rsidR="00E42E72" w14:paraId="15A3950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FEDFA03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79D3914" w14:textId="77777777" w:rsidR="00E42E72" w:rsidRDefault="00000000">
            <w:r>
              <w:rPr>
                <w:sz w:val="19"/>
                <w:szCs w:val="19"/>
              </w:rPr>
              <w:t>As CPU fora do SICRO têm memória de cálculo dos coeficientes?</w:t>
            </w:r>
          </w:p>
        </w:tc>
      </w:tr>
      <w:tr w:rsidR="00E42E72" w14:paraId="1D11ECC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F97E79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19C1D04" w14:textId="77777777" w:rsidR="00E42E72" w:rsidRDefault="00000000">
            <w:r>
              <w:rPr>
                <w:sz w:val="19"/>
                <w:szCs w:val="19"/>
              </w:rPr>
              <w:t>Os insumos asfálticos foram extraídos e lançados separadamente na planilha?</w:t>
            </w:r>
          </w:p>
        </w:tc>
      </w:tr>
      <w:tr w:rsidR="00E42E72" w14:paraId="3FBDE71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3B595B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83C6364" w14:textId="77777777" w:rsidR="00E42E72" w:rsidRDefault="00000000">
            <w:r>
              <w:rPr>
                <w:sz w:val="19"/>
                <w:szCs w:val="19"/>
              </w:rPr>
              <w:t>Os serviços auxiliares e transportes estão separados corretamente?</w:t>
            </w:r>
          </w:p>
        </w:tc>
      </w:tr>
    </w:tbl>
    <w:p w14:paraId="73574F9E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6  </w:t>
      </w:r>
      <w:r>
        <w:rPr>
          <w:b/>
          <w:bCs/>
          <w:color w:val="0F1B2D"/>
          <w:sz w:val="23"/>
          <w:szCs w:val="23"/>
        </w:rPr>
        <w:t xml:space="preserve">  Custos: SICRO, Adm. Local, canteiro e BDI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436481C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79660A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F07A57C" w14:textId="77777777" w:rsidR="00E42E72" w:rsidRDefault="00000000">
            <w:r>
              <w:rPr>
                <w:sz w:val="19"/>
                <w:szCs w:val="19"/>
              </w:rPr>
              <w:t>As composições SICRO estão na base correta (mês e UF) e na data-base adequada?</w:t>
            </w:r>
          </w:p>
        </w:tc>
      </w:tr>
      <w:tr w:rsidR="00E42E72" w14:paraId="71B745CD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1D29EA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81E63B0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Cada código SICRO de 7 dígitos confere com a tabela oficial?</w:t>
            </w:r>
          </w:p>
          <w:p w14:paraId="10E30EB1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Conferência dígito a dígito — erro de OCR/digitação é comum.</w:t>
            </w:r>
          </w:p>
        </w:tc>
      </w:tr>
      <w:tr w:rsidR="00E42E72" w14:paraId="60D54AA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EFDAC3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4C3A673" w14:textId="77777777" w:rsidR="00E42E72" w:rsidRDefault="00000000">
            <w:r>
              <w:rPr>
                <w:sz w:val="19"/>
                <w:szCs w:val="19"/>
              </w:rPr>
              <w:t>Os fatores de ajuste (FIC, FIT, empolamento, momento de transporte) estão bem aplicados?</w:t>
            </w:r>
          </w:p>
        </w:tc>
      </w:tr>
      <w:tr w:rsidR="00E42E72" w14:paraId="29214A2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19E412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F35AC56" w14:textId="77777777" w:rsidR="00E42E72" w:rsidRDefault="00000000">
            <w:r>
              <w:rPr>
                <w:sz w:val="19"/>
                <w:szCs w:val="19"/>
              </w:rPr>
              <w:t>A Adm. Local traz 0,25 engenheiro supervisor e exclui a secretária da parcela fixa?</w:t>
            </w:r>
          </w:p>
        </w:tc>
      </w:tr>
      <w:tr w:rsidR="00E42E72" w14:paraId="10B22F5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D270ED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E702E6F" w14:textId="77777777" w:rsidR="00E42E72" w:rsidRDefault="00000000">
            <w:r>
              <w:rPr>
                <w:sz w:val="19"/>
                <w:szCs w:val="19"/>
              </w:rPr>
              <w:t>O canteiro segue o modelo provisório (SICRO Vol. VII, Anexo XII) com memória de cálculo?</w:t>
            </w:r>
          </w:p>
        </w:tc>
      </w:tr>
      <w:tr w:rsidR="00E42E72" w14:paraId="34231EB7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ECE0BD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1A93A01" w14:textId="77777777" w:rsidR="00E42E72" w:rsidRDefault="00000000">
            <w:r>
              <w:rPr>
                <w:sz w:val="19"/>
                <w:szCs w:val="19"/>
              </w:rPr>
              <w:t>Mobilização/desmobilização não duplicam custos já na Adm. Local?</w:t>
            </w:r>
          </w:p>
        </w:tc>
      </w:tr>
      <w:tr w:rsidR="00E42E72" w14:paraId="58B9887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25E30F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2894F72" w14:textId="77777777" w:rsidR="00E42E72" w:rsidRDefault="00000000">
            <w:r>
              <w:rPr>
                <w:sz w:val="19"/>
                <w:szCs w:val="19"/>
              </w:rPr>
              <w:t>O BDI está aderente aos normativos e ao Acórdão nº 2.622/2013? BDI diferenciado justificado?</w:t>
            </w:r>
          </w:p>
        </w:tc>
      </w:tr>
      <w:tr w:rsidR="00E42E72" w14:paraId="7197691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0B595C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13FA486" w14:textId="77777777" w:rsidR="00E42E72" w:rsidRDefault="00000000">
            <w:r>
              <w:rPr>
                <w:sz w:val="19"/>
                <w:szCs w:val="19"/>
              </w:rPr>
              <w:t>Os orçamentos onerado e desonerado foram comparados e adotou-se o mais vantajoso?</w:t>
            </w:r>
          </w:p>
        </w:tc>
      </w:tr>
    </w:tbl>
    <w:p w14:paraId="58A885D4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7  </w:t>
      </w:r>
      <w:r>
        <w:rPr>
          <w:b/>
          <w:bCs/>
          <w:color w:val="0F1B2D"/>
          <w:sz w:val="23"/>
          <w:szCs w:val="23"/>
        </w:rPr>
        <w:t xml:space="preserve">  Planilha, Curva ABC e cronograma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04F2981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422FF7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DAE5B54" w14:textId="77777777" w:rsidR="00E42E72" w:rsidRDefault="00000000">
            <w:r>
              <w:rPr>
                <w:sz w:val="19"/>
                <w:szCs w:val="19"/>
              </w:rPr>
              <w:t>Todos os itens da planilha têm composição de preço associada?</w:t>
            </w:r>
          </w:p>
        </w:tc>
      </w:tr>
      <w:tr w:rsidR="00E42E72" w14:paraId="5EC9334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9C12D0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2EA3A3E" w14:textId="77777777" w:rsidR="00E42E72" w:rsidRDefault="00000000">
            <w:r>
              <w:rPr>
                <w:sz w:val="19"/>
                <w:szCs w:val="19"/>
              </w:rPr>
              <w:t>Os preços unitários batem exatamente com as composições (sem divergência)?</w:t>
            </w:r>
          </w:p>
        </w:tc>
      </w:tr>
      <w:tr w:rsidR="00E42E72" w14:paraId="06021B1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7C184C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60EEF61" w14:textId="77777777" w:rsidR="00E42E72" w:rsidRDefault="00000000">
            <w:r>
              <w:rPr>
                <w:sz w:val="19"/>
                <w:szCs w:val="19"/>
              </w:rPr>
              <w:t>A Curva ABC (Anexo XXI) foi elaborada e os itens de maior peso foram examinados?</w:t>
            </w:r>
          </w:p>
        </w:tc>
      </w:tr>
      <w:tr w:rsidR="00E42E72" w14:paraId="0DA3210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9D69D7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964DDF0" w14:textId="77777777" w:rsidR="00E42E72" w:rsidRDefault="00000000">
            <w:r>
              <w:rPr>
                <w:sz w:val="19"/>
                <w:szCs w:val="19"/>
              </w:rPr>
              <w:t>A distribuição percentual do orçamento por grupo está coerente?</w:t>
            </w:r>
          </w:p>
        </w:tc>
      </w:tr>
      <w:tr w:rsidR="00E42E72" w14:paraId="0130589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635A43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2E89F34" w14:textId="77777777" w:rsidR="00E42E72" w:rsidRDefault="00000000">
            <w:r>
              <w:rPr>
                <w:sz w:val="19"/>
                <w:szCs w:val="19"/>
              </w:rPr>
              <w:t>Arredondamentos, unidades e códigos foram conferidos na planilha e no orçamento?</w:t>
            </w:r>
          </w:p>
        </w:tc>
      </w:tr>
      <w:tr w:rsidR="00E42E72" w14:paraId="56131CC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6C39CB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9607FCA" w14:textId="77777777" w:rsidR="00E42E72" w:rsidRDefault="00000000">
            <w:r>
              <w:rPr>
                <w:sz w:val="19"/>
                <w:szCs w:val="19"/>
              </w:rPr>
              <w:t>O cronograma físico-financeiro está compatível com o orçamento?</w:t>
            </w:r>
          </w:p>
        </w:tc>
      </w:tr>
    </w:tbl>
    <w:p w14:paraId="3643170B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8  </w:t>
      </w:r>
      <w:r>
        <w:rPr>
          <w:b/>
          <w:bCs/>
          <w:color w:val="0F1B2D"/>
          <w:sz w:val="23"/>
          <w:szCs w:val="23"/>
        </w:rPr>
        <w:t xml:space="preserve">  Medição, prazos e defesa técnica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6F2DA9B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6D7CF4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0386954" w14:textId="77777777" w:rsidR="00E42E72" w:rsidRDefault="00000000">
            <w:r>
              <w:rPr>
                <w:sz w:val="19"/>
                <w:szCs w:val="19"/>
              </w:rPr>
              <w:t>Os critérios de medição estão claros o suficiente para evitar pagamento indevido?</w:t>
            </w:r>
          </w:p>
        </w:tc>
      </w:tr>
      <w:tr w:rsidR="00E42E72" w14:paraId="7DDC354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5D5728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89882BC" w14:textId="77777777" w:rsidR="00E42E72" w:rsidRDefault="00000000">
            <w:r>
              <w:rPr>
                <w:sz w:val="19"/>
                <w:szCs w:val="19"/>
              </w:rPr>
              <w:t>O controle tecnológico (QE) e seus documentos de suporte estão previstos?</w:t>
            </w:r>
          </w:p>
        </w:tc>
      </w:tr>
      <w:tr w:rsidR="00E42E72" w14:paraId="09FF2DA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3F4832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657C54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Os prazos e a vigência estão consistentes?</w:t>
            </w:r>
          </w:p>
          <w:p w14:paraId="003846C2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Período mínimo entre o fim dos serviços e o fim do contrato.</w:t>
            </w:r>
          </w:p>
        </w:tc>
      </w:tr>
      <w:tr w:rsidR="00E42E72" w14:paraId="17F9198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D87742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080CB03" w14:textId="77777777" w:rsidR="00E42E72" w:rsidRDefault="00000000">
            <w:r>
              <w:rPr>
                <w:sz w:val="19"/>
                <w:szCs w:val="19"/>
              </w:rPr>
              <w:t>Há Nota Técnica e Relatório de Apresentação consolidando a proposta?</w:t>
            </w:r>
          </w:p>
        </w:tc>
      </w:tr>
      <w:tr w:rsidR="00E42E72" w14:paraId="232EF7C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A5533C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1B003B4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Cada decisão técnica tem documento de suporte anexado?</w:t>
            </w:r>
          </w:p>
          <w:p w14:paraId="188AE2E4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Pareceres, memórias e referências normativas.</w:t>
            </w:r>
          </w:p>
        </w:tc>
      </w:tr>
      <w:tr w:rsidR="00E42E72" w14:paraId="7148D3B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BE47AE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74C32E1" w14:textId="77777777" w:rsidR="00E42E72" w:rsidRDefault="00000000">
            <w:r>
              <w:rPr>
                <w:sz w:val="19"/>
                <w:szCs w:val="19"/>
              </w:rPr>
              <w:t>O orçamento é defensável perante o TCU/órgão de controle?</w:t>
            </w:r>
          </w:p>
        </w:tc>
      </w:tr>
    </w:tbl>
    <w:p w14:paraId="11EE84CC" w14:textId="1CEAAE77" w:rsidR="00E42E72" w:rsidRDefault="00000000">
      <w:pPr>
        <w:pBdr>
          <w:top w:val="single" w:sz="4" w:space="8" w:color="E1E6EC"/>
        </w:pBdr>
        <w:spacing w:before="280"/>
      </w:pPr>
      <w:r>
        <w:rPr>
          <w:i/>
          <w:iCs/>
          <w:color w:val="6B7683"/>
          <w:sz w:val="15"/>
          <w:szCs w:val="15"/>
        </w:rPr>
        <w:t>Conteúdo técnico independente sobre PATO e manutenção rodoviária DNIT · @patolucaseng</w:t>
      </w:r>
    </w:p>
    <w:sectPr w:rsidR="00E42E72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F98D" w14:textId="77777777" w:rsidR="00912278" w:rsidRDefault="00912278">
      <w:r>
        <w:separator/>
      </w:r>
    </w:p>
  </w:endnote>
  <w:endnote w:type="continuationSeparator" w:id="0">
    <w:p w14:paraId="1B564D0C" w14:textId="77777777" w:rsidR="00912278" w:rsidRDefault="0091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DDCB" w14:textId="77777777" w:rsidR="00E42E72" w:rsidRDefault="00000000">
    <w:pPr>
      <w:jc w:val="center"/>
    </w:pPr>
    <w:r>
      <w:rPr>
        <w:b/>
        <w:bCs/>
        <w:color w:val="FFB020"/>
        <w:sz w:val="15"/>
        <w:szCs w:val="15"/>
      </w:rPr>
      <w:t xml:space="preserve">@patolucaseng  ·  </w:t>
    </w:r>
    <w:r>
      <w:rPr>
        <w:color w:val="6B7683"/>
        <w:sz w:val="15"/>
        <w:szCs w:val="15"/>
      </w:rPr>
      <w:t xml:space="preserve">Página </w:t>
    </w:r>
    <w:r>
      <w:rPr>
        <w:color w:val="6B7683"/>
        <w:sz w:val="15"/>
        <w:szCs w:val="15"/>
      </w:rPr>
      <w:fldChar w:fldCharType="begin"/>
    </w:r>
    <w:r>
      <w:rPr>
        <w:color w:val="6B7683"/>
        <w:sz w:val="15"/>
        <w:szCs w:val="15"/>
      </w:rPr>
      <w:instrText>PAGE</w:instrText>
    </w:r>
    <w:r>
      <w:rPr>
        <w:color w:val="6B7683"/>
        <w:sz w:val="15"/>
        <w:szCs w:val="15"/>
      </w:rPr>
      <w:fldChar w:fldCharType="separate"/>
    </w:r>
    <w:r w:rsidR="007C6136">
      <w:rPr>
        <w:noProof/>
        <w:color w:val="6B7683"/>
        <w:sz w:val="15"/>
        <w:szCs w:val="15"/>
      </w:rPr>
      <w:t>1</w:t>
    </w:r>
    <w:r>
      <w:rPr>
        <w:color w:val="6B768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993E" w14:textId="77777777" w:rsidR="00912278" w:rsidRDefault="00912278">
      <w:r>
        <w:separator/>
      </w:r>
    </w:p>
  </w:footnote>
  <w:footnote w:type="continuationSeparator" w:id="0">
    <w:p w14:paraId="38DEBD7F" w14:textId="77777777" w:rsidR="00912278" w:rsidRDefault="00912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50"/>
    <w:multiLevelType w:val="hybridMultilevel"/>
    <w:tmpl w:val="27A07026"/>
    <w:lvl w:ilvl="0" w:tplc="D18092F0">
      <w:start w:val="1"/>
      <w:numFmt w:val="bullet"/>
      <w:lvlText w:val="●"/>
      <w:lvlJc w:val="left"/>
      <w:pPr>
        <w:ind w:left="720" w:hanging="360"/>
      </w:pPr>
    </w:lvl>
    <w:lvl w:ilvl="1" w:tplc="A8DED3FC">
      <w:start w:val="1"/>
      <w:numFmt w:val="bullet"/>
      <w:lvlText w:val="○"/>
      <w:lvlJc w:val="left"/>
      <w:pPr>
        <w:ind w:left="1440" w:hanging="360"/>
      </w:pPr>
    </w:lvl>
    <w:lvl w:ilvl="2" w:tplc="0B52AA26">
      <w:start w:val="1"/>
      <w:numFmt w:val="bullet"/>
      <w:lvlText w:val="■"/>
      <w:lvlJc w:val="left"/>
      <w:pPr>
        <w:ind w:left="2160" w:hanging="360"/>
      </w:pPr>
    </w:lvl>
    <w:lvl w:ilvl="3" w:tplc="E5546C16">
      <w:start w:val="1"/>
      <w:numFmt w:val="bullet"/>
      <w:lvlText w:val="●"/>
      <w:lvlJc w:val="left"/>
      <w:pPr>
        <w:ind w:left="2880" w:hanging="360"/>
      </w:pPr>
    </w:lvl>
    <w:lvl w:ilvl="4" w:tplc="FDF2CACE">
      <w:start w:val="1"/>
      <w:numFmt w:val="bullet"/>
      <w:lvlText w:val="○"/>
      <w:lvlJc w:val="left"/>
      <w:pPr>
        <w:ind w:left="3600" w:hanging="360"/>
      </w:pPr>
    </w:lvl>
    <w:lvl w:ilvl="5" w:tplc="C13801CA">
      <w:start w:val="1"/>
      <w:numFmt w:val="bullet"/>
      <w:lvlText w:val="■"/>
      <w:lvlJc w:val="left"/>
      <w:pPr>
        <w:ind w:left="4320" w:hanging="360"/>
      </w:pPr>
    </w:lvl>
    <w:lvl w:ilvl="6" w:tplc="E60E459A">
      <w:start w:val="1"/>
      <w:numFmt w:val="bullet"/>
      <w:lvlText w:val="●"/>
      <w:lvlJc w:val="left"/>
      <w:pPr>
        <w:ind w:left="5040" w:hanging="360"/>
      </w:pPr>
    </w:lvl>
    <w:lvl w:ilvl="7" w:tplc="A4B2E5E6">
      <w:start w:val="1"/>
      <w:numFmt w:val="bullet"/>
      <w:lvlText w:val="●"/>
      <w:lvlJc w:val="left"/>
      <w:pPr>
        <w:ind w:left="5760" w:hanging="360"/>
      </w:pPr>
    </w:lvl>
    <w:lvl w:ilvl="8" w:tplc="4A701C9E">
      <w:start w:val="1"/>
      <w:numFmt w:val="bullet"/>
      <w:lvlText w:val="●"/>
      <w:lvlJc w:val="left"/>
      <w:pPr>
        <w:ind w:left="6480" w:hanging="360"/>
      </w:pPr>
    </w:lvl>
  </w:abstractNum>
  <w:num w:numId="1" w16cid:durableId="1681851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72"/>
    <w:rsid w:val="00311635"/>
    <w:rsid w:val="0053475E"/>
    <w:rsid w:val="005D35C4"/>
    <w:rsid w:val="007B2EEB"/>
    <w:rsid w:val="007C6136"/>
    <w:rsid w:val="00912278"/>
    <w:rsid w:val="00C7191D"/>
    <w:rsid w:val="00C81925"/>
    <w:rsid w:val="00D1620E"/>
    <w:rsid w:val="00E4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14EA"/>
  <w15:docId w15:val="{B019F929-4A39-4074-BBDC-A7EEB6EC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Checklists PATO</dc:title>
  <dc:creator>@patolucaseng</dc:creator>
  <cp:lastModifiedBy>Lucas Mondini</cp:lastModifiedBy>
  <cp:revision>6</cp:revision>
  <dcterms:created xsi:type="dcterms:W3CDTF">2026-08-04T17:27:00Z</dcterms:created>
  <dcterms:modified xsi:type="dcterms:W3CDTF">2026-08-04T17:40:00Z</dcterms:modified>
</cp:coreProperties>
</file>