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SPACE312 Final Project</w:t>
      </w:r>
    </w:p>
    <w:p>
      <w:pPr>
        <w:jc w:val="center"/>
      </w:pPr>
      <w:r>
        <w:rPr>
          <w:b/>
          <w:sz w:val="34"/>
        </w:rPr>
        <w:t>GTO-to-GEO Transfer Trajectory Optimization</w:t>
      </w:r>
    </w:p>
    <w:p>
      <w:pPr>
        <w:jc w:val="center"/>
      </w:pPr>
      <w:r>
        <w:rPr>
          <w:sz w:val="24"/>
        </w:rPr>
        <w:t>Mission target: GEO-KOMPSAT-2A</w:t>
      </w:r>
    </w:p>
    <w:tbl>
      <w:tblPr>
        <w:tblStyle w:val="TableGrid"/>
        <w:tblW w:type="auto" w:w="0"/>
        <w:jc w:val="center"/>
        <w:tblLook w:firstColumn="1" w:firstRow="1" w:lastColumn="0" w:lastRow="0" w:noHBand="0" w:noVBand="1" w:val="04A0"/>
      </w:tblPr>
      <w:tblGrid>
        <w:gridCol w:w="4824"/>
        <w:gridCol w:w="4824"/>
      </w:tblGrid>
      <w:tr>
        <w:tc>
          <w:tcPr>
            <w:tcW w:type="dxa" w:w="2880"/>
            <w:shd w:fill="D9EAF7"/>
          </w:tcPr>
          <w:p>
            <w:pPr>
              <w:jc w:val="center"/>
            </w:pPr>
            <w:r>
              <w:rPr>
                <w:b/>
              </w:rPr>
              <w:t>Item</w:t>
            </w:r>
          </w:p>
        </w:tc>
        <w:tc>
          <w:tcPr>
            <w:tcW w:type="dxa" w:w="6768"/>
            <w:shd w:fill="D9EAF7"/>
          </w:tcPr>
          <w:p>
            <w:pPr>
              <w:jc w:val="center"/>
            </w:pPr>
            <w:r>
              <w:rPr>
                <w:b/>
              </w:rPr>
              <w:t>Submitted value</w:t>
            </w:r>
          </w:p>
        </w:tc>
      </w:tr>
      <w:tr>
        <w:tc>
          <w:tcPr>
            <w:tcW w:type="dxa" w:w="2880"/>
            <w:vAlign w:val="center"/>
          </w:tcPr>
          <w:p>
            <w:pPr>
              <w:spacing w:after="0"/>
              <w:jc w:val="center"/>
            </w:pPr>
            <w:r>
              <w:t>Target condition</w:t>
            </w:r>
          </w:p>
        </w:tc>
        <w:tc>
          <w:tcPr>
            <w:tcW w:type="dxa" w:w="6768"/>
            <w:vAlign w:val="center"/>
          </w:tcPr>
          <w:p>
            <w:pPr>
              <w:spacing w:after="0"/>
            </w:pPr>
            <w:r>
              <w:t>Section 3.2 target GEO state vector propagated by two-body dynamics</w:t>
            </w:r>
          </w:p>
        </w:tc>
      </w:tr>
      <w:tr>
        <w:tc>
          <w:tcPr>
            <w:tcW w:type="dxa" w:w="2880"/>
            <w:vAlign w:val="center"/>
          </w:tcPr>
          <w:p>
            <w:pPr>
              <w:spacing w:after="0"/>
              <w:jc w:val="center"/>
            </w:pPr>
            <w:r>
              <w:t>Mission priority</w:t>
            </w:r>
          </w:p>
        </w:tc>
        <w:tc>
          <w:tcPr>
            <w:tcW w:type="dxa" w:w="6768"/>
            <w:vAlign w:val="center"/>
          </w:tcPr>
          <w:p>
            <w:pPr>
              <w:spacing w:after="0"/>
            </w:pPr>
            <w:r>
              <w:t>Complete rendezvous within 4 days, then minimize total impulsive Delta V</w:t>
            </w:r>
          </w:p>
        </w:tc>
      </w:tr>
      <w:tr>
        <w:tc>
          <w:tcPr>
            <w:tcW w:type="dxa" w:w="2880"/>
            <w:vAlign w:val="center"/>
          </w:tcPr>
          <w:p>
            <w:pPr>
              <w:spacing w:after="0"/>
              <w:jc w:val="center"/>
            </w:pPr>
            <w:r>
              <w:t>Selected method</w:t>
            </w:r>
          </w:p>
        </w:tc>
        <w:tc>
          <w:tcPr>
            <w:tcW w:type="dxa" w:w="6768"/>
            <w:vAlign w:val="center"/>
          </w:tcPr>
          <w:p>
            <w:pPr>
              <w:spacing w:after="0"/>
            </w:pPr>
            <w:r>
              <w:t>MultiRevLambert (Prograde, M=3, low)</w:t>
            </w:r>
          </w:p>
        </w:tc>
      </w:tr>
      <w:tr>
        <w:tc>
          <w:tcPr>
            <w:tcW w:type="dxa" w:w="2880"/>
            <w:vAlign w:val="center"/>
          </w:tcPr>
          <w:p>
            <w:pPr>
              <w:spacing w:after="0"/>
              <w:jc w:val="center"/>
            </w:pPr>
            <w:r>
              <w:t>Representative solution</w:t>
            </w:r>
          </w:p>
        </w:tc>
        <w:tc>
          <w:tcPr>
            <w:tcW w:type="dxa" w:w="6768"/>
            <w:vAlign w:val="center"/>
          </w:tcPr>
          <w:p>
            <w:pPr>
              <w:spacing w:after="0"/>
            </w:pPr>
            <w:r>
              <w:t>Delta t = 3.4709 days, total Delta V = 1.8400 km/s</w:t>
            </w:r>
          </w:p>
        </w:tc>
      </w:tr>
    </w:tbl>
    <w:p/>
    <w:p>
      <w:pPr>
        <w:jc w:val="center"/>
      </w:pPr>
      <w:r>
        <w:rPr>
          <w:i/>
        </w:rPr>
        <w:t>The design point is selected from a mission-priority rule, not from visual preference on the Pareto plot.</w:t>
      </w:r>
    </w:p>
    <w:p>
      <w:r>
        <w:br w:type="page"/>
      </w:r>
    </w:p>
    <w:p>
      <w:pPr>
        <w:pStyle w:val="Heading1"/>
      </w:pPr>
      <w:r>
        <w:rPr>
          <w:rFonts w:ascii="Arial" w:hAnsi="Arial" w:eastAsia="Malgun Gothic"/>
        </w:rPr>
        <w:t>1. Executive Summary</w:t>
      </w:r>
    </w:p>
    <w:p>
      <w:pPr>
        <w:spacing w:after="120" w:line="276" w:lineRule="auto"/>
      </w:pPr>
      <w:r>
        <w:t>This report designs an impulsive transfer from the given GTO state to the GEO-KOMPSAT-2A target state. The project announcement defines the trade space as total impulsive Delta V versus transfer duration and requests a Pareto-optimal discussion, final trajectory results, equations, figures, MATLAB code, and a 3D animation. Following the instructor clarification, the Section 3.2 target GEO state vector is used as the authoritative initial target state and is propagated with the same Earth-centered two-body dynamics as the transfer spacecraft.</w:t>
      </w:r>
    </w:p>
    <w:p>
      <w:pPr>
        <w:spacing w:after="120" w:line="276" w:lineRule="auto"/>
      </w:pPr>
      <w:r>
        <w:t>The submitted representative design is not the fastest point, not the absolute minimum-Delta-V point over the full 30-day search, and not a point chosen only because it looks like a graphical knee. The mission priority is defined first: complete rendezvous inside a practical four-day early-orbit operations window, and then minimize total impulsive Delta V inside that window. Under this rule the selected solution is a 3-revolution low-path Lambert transfer with Delta t = 3.4709 days and total Delta V = 1.8400 km/s.</w:t>
      </w:r>
    </w:p>
    <w:p>
      <w:pPr>
        <w:pStyle w:val="Heading1"/>
      </w:pPr>
      <w:r>
        <w:rPr>
          <w:rFonts w:ascii="Arial" w:hAnsi="Arial" w:eastAsia="Malgun Gothic"/>
        </w:rPr>
        <w:t>2. Problem Formulation and Assignment Requirements</w:t>
      </w:r>
    </w:p>
    <w:p>
      <w:pPr>
        <w:spacing w:after="120" w:line="276" w:lineRule="auto"/>
      </w:pPr>
      <w:r>
        <w:t>The assignment specifies a GTO initial state, a GEO-KOMPSAT-2A target state, a two-body ECI dynamics model, and a transfer duration range of 1 day &lt;= Delta t &lt;= 30 days. Each valid trajectory is evaluated using the two-objective vector</w:t>
      </w:r>
    </w:p>
    <w:p>
      <w:pPr>
        <w:spacing w:before="60" w:after="140"/>
        <w:jc w:val="center"/>
      </w:pPr>
      <m:oMath>
        <m:r>
          <m:t>F(x) = [ Δv_total , Δt ]</m:t>
        </m:r>
      </m:oMath>
    </w:p>
    <w:p>
      <w:pPr>
        <w:spacing w:after="120" w:line="276" w:lineRule="auto"/>
      </w:pPr>
      <w:r>
        <w:t>A candidate is Pareto optimal when no other valid candidate has both lower or equal total Delta V and lower or equal transfer duration, with at least one objective strictly better. The final report therefore needs two layers of reasoning: first, the Pareto set must be generated correctly; second, one representative design point must be selected using a stated mission priority.</w:t>
      </w:r>
    </w:p>
    <w:tbl>
      <w:tblPr>
        <w:tblStyle w:val="TableGrid"/>
        <w:tblW w:type="auto" w:w="0"/>
        <w:jc w:val="center"/>
        <w:tblLook w:firstColumn="1" w:firstRow="1" w:lastColumn="0" w:lastRow="0" w:noHBand="0" w:noVBand="1" w:val="04A0"/>
      </w:tblPr>
      <w:tblGrid>
        <w:gridCol w:w="4824"/>
        <w:gridCol w:w="4824"/>
      </w:tblGrid>
      <w:tr>
        <w:tc>
          <w:tcPr>
            <w:tcW w:type="dxa" w:w="3744"/>
            <w:shd w:fill="D9EAF7"/>
          </w:tcPr>
          <w:p>
            <w:pPr>
              <w:jc w:val="center"/>
            </w:pPr>
            <w:r>
              <w:rPr>
                <w:b/>
              </w:rPr>
              <w:t>Requirement from notice PDF</w:t>
            </w:r>
          </w:p>
        </w:tc>
        <w:tc>
          <w:tcPr>
            <w:tcW w:type="dxa" w:w="5760"/>
            <w:shd w:fill="D9EAF7"/>
          </w:tcPr>
          <w:p>
            <w:pPr>
              <w:jc w:val="center"/>
            </w:pPr>
            <w:r>
              <w:rPr>
                <w:b/>
              </w:rPr>
              <w:t>Implementation in this submission</w:t>
            </w:r>
          </w:p>
        </w:tc>
      </w:tr>
      <w:tr>
        <w:tc>
          <w:tcPr>
            <w:tcW w:type="dxa" w:w="3744"/>
            <w:vAlign w:val="center"/>
          </w:tcPr>
          <w:p>
            <w:pPr>
              <w:spacing w:after="0"/>
            </w:pPr>
            <w:r>
              <w:t>Two-body Earth-centered propagation</w:t>
            </w:r>
          </w:p>
        </w:tc>
        <w:tc>
          <w:tcPr>
            <w:tcW w:type="dxa" w:w="5760"/>
            <w:vAlign w:val="center"/>
          </w:tcPr>
          <w:p>
            <w:pPr>
              <w:spacing w:after="0"/>
            </w:pPr>
            <w:r>
              <w:t>Both transfer spacecraft and target state are propagated with the two-body model.</w:t>
            </w:r>
          </w:p>
        </w:tc>
      </w:tr>
      <w:tr>
        <w:tc>
          <w:tcPr>
            <w:tcW w:type="dxa" w:w="3744"/>
            <w:vAlign w:val="center"/>
          </w:tcPr>
          <w:p>
            <w:pPr>
              <w:spacing w:after="0"/>
            </w:pPr>
            <w:r>
              <w:t>1 day &lt;= Delta t &lt;= 30 days</w:t>
            </w:r>
          </w:p>
        </w:tc>
        <w:tc>
          <w:tcPr>
            <w:tcW w:type="dxa" w:w="5760"/>
            <w:vAlign w:val="center"/>
          </w:tcPr>
          <w:p>
            <w:pPr>
              <w:spacing w:after="0"/>
            </w:pPr>
            <w:r>
              <w:t>Dense 1-to-30-day search is retained for the Pareto trade study.</w:t>
            </w:r>
          </w:p>
        </w:tc>
      </w:tr>
      <w:tr>
        <w:tc>
          <w:tcPr>
            <w:tcW w:type="dxa" w:w="3744"/>
            <w:vAlign w:val="center"/>
          </w:tcPr>
          <w:p>
            <w:pPr>
              <w:spacing w:after="0"/>
              <w:jc w:val="center"/>
            </w:pPr>
            <w:r>
              <w:t>Pareto discussion</w:t>
            </w:r>
          </w:p>
        </w:tc>
        <w:tc>
          <w:tcPr>
            <w:tcW w:type="dxa" w:w="5760"/>
            <w:vAlign w:val="center"/>
          </w:tcPr>
          <w:p>
            <w:pPr>
              <w:spacing w:after="0"/>
            </w:pPr>
            <w:r>
              <w:t>Fast, knee-like, selected, and global minimum-fuel points are compared.</w:t>
            </w:r>
          </w:p>
        </w:tc>
      </w:tr>
      <w:tr>
        <w:tc>
          <w:tcPr>
            <w:tcW w:type="dxa" w:w="3744"/>
            <w:vAlign w:val="center"/>
          </w:tcPr>
          <w:p>
            <w:pPr>
              <w:spacing w:after="0"/>
              <w:jc w:val="center"/>
            </w:pPr>
            <w:r>
              <w:t>Required figures</w:t>
            </w:r>
          </w:p>
        </w:tc>
        <w:tc>
          <w:tcPr>
            <w:tcW w:type="dxa" w:w="5760"/>
            <w:vAlign w:val="center"/>
          </w:tcPr>
          <w:p>
            <w:pPr>
              <w:spacing w:after="0"/>
            </w:pPr>
            <w:r>
              <w:t>3D trajectory, radius history, maneuver bars, final error, and KHU visibility are included.</w:t>
            </w:r>
          </w:p>
        </w:tc>
      </w:tr>
      <w:tr>
        <w:tc>
          <w:tcPr>
            <w:tcW w:type="dxa" w:w="3744"/>
            <w:vAlign w:val="center"/>
          </w:tcPr>
          <w:p>
            <w:pPr>
              <w:spacing w:after="0"/>
              <w:jc w:val="center"/>
            </w:pPr>
            <w:r>
              <w:t>Animation</w:t>
            </w:r>
          </w:p>
        </w:tc>
        <w:tc>
          <w:tcPr>
            <w:tcW w:type="dxa" w:w="5760"/>
            <w:vAlign w:val="center"/>
          </w:tcPr>
          <w:p>
            <w:pPr>
              <w:spacing w:after="0"/>
            </w:pPr>
            <w:r>
              <w:t>A rendezvous GIF with moving target state and transfer spacecraft is generated.</w:t>
            </w:r>
          </w:p>
        </w:tc>
      </w:tr>
    </w:tbl>
    <w:p/>
    <w:p>
      <w:pPr>
        <w:pStyle w:val="Heading1"/>
      </w:pPr>
      <w:r>
        <w:rPr>
          <w:rFonts w:ascii="Arial" w:hAnsi="Arial" w:eastAsia="Malgun Gothic"/>
        </w:rPr>
        <w:t>3. Assumptions and State Interpretation</w:t>
      </w:r>
    </w:p>
    <w:p>
      <w:pPr>
        <w:spacing w:after="120" w:line="276" w:lineRule="auto"/>
      </w:pPr>
      <w:r>
        <w:t>The target orbit is described in the assignment as circular GEO, but the numerical Section 3.2 state vector is not exactly a nominal circular GEO state: its radius and radial velocity differ from a perfect circular GEO reference. Because the instructor clarified that the Section 3.2 target state vector should be used, this report treats that state vector as the mission boundary condition instead of reconstructing a circular GEO state from longitude alone.</w:t>
      </w:r>
    </w:p>
    <w:tbl>
      <w:tblPr>
        <w:tblStyle w:val="TableGrid"/>
        <w:tblW w:type="auto" w:w="0"/>
        <w:jc w:val="center"/>
        <w:tblLook w:firstColumn="1" w:firstRow="1" w:lastColumn="0" w:lastRow="0" w:noHBand="0" w:noVBand="1" w:val="04A0"/>
      </w:tblPr>
      <w:tblGrid>
        <w:gridCol w:w="4824"/>
        <w:gridCol w:w="4824"/>
      </w:tblGrid>
      <w:tr>
        <w:tc>
          <w:tcPr>
            <w:tcW w:type="dxa" w:w="3024"/>
            <w:shd w:fill="D9EAF7"/>
          </w:tcPr>
          <w:p>
            <w:pPr>
              <w:jc w:val="center"/>
            </w:pPr>
            <w:r>
              <w:rPr>
                <w:b/>
              </w:rPr>
              <w:t>Quantity</w:t>
            </w:r>
          </w:p>
        </w:tc>
        <w:tc>
          <w:tcPr>
            <w:tcW w:type="dxa" w:w="6768"/>
            <w:shd w:fill="D9EAF7"/>
          </w:tcPr>
          <w:p>
            <w:pPr>
              <w:jc w:val="center"/>
            </w:pPr>
            <w:r>
              <w:rPr>
                <w:b/>
              </w:rPr>
              <w:t>Value</w:t>
            </w:r>
          </w:p>
        </w:tc>
      </w:tr>
      <w:tr>
        <w:tc>
          <w:tcPr>
            <w:tcW w:type="dxa" w:w="3024"/>
            <w:vAlign w:val="center"/>
          </w:tcPr>
          <w:p>
            <w:pPr>
              <w:spacing w:after="0"/>
              <w:jc w:val="center"/>
            </w:pPr>
            <w:r>
              <w:t>Initial position R0</w:t>
            </w:r>
          </w:p>
        </w:tc>
        <w:tc>
          <w:tcPr>
            <w:tcW w:type="dxa" w:w="6768"/>
            <w:vAlign w:val="center"/>
          </w:tcPr>
          <w:p>
            <w:pPr>
              <w:spacing w:after="0"/>
              <w:jc w:val="center"/>
            </w:pPr>
            <w:r>
              <w:t>[-42164.1729, 0, 0] km</w:t>
            </w:r>
          </w:p>
        </w:tc>
      </w:tr>
      <w:tr>
        <w:tc>
          <w:tcPr>
            <w:tcW w:type="dxa" w:w="3024"/>
            <w:vAlign w:val="center"/>
          </w:tcPr>
          <w:p>
            <w:pPr>
              <w:spacing w:after="0"/>
              <w:jc w:val="center"/>
            </w:pPr>
            <w:r>
              <w:t>Initial velocity V0</w:t>
            </w:r>
          </w:p>
        </w:tc>
        <w:tc>
          <w:tcPr>
            <w:tcW w:type="dxa" w:w="6768"/>
            <w:vAlign w:val="center"/>
          </w:tcPr>
          <w:p>
            <w:pPr>
              <w:spacing w:after="0"/>
            </w:pPr>
            <w:r>
              <w:t>[0, -1.458327, -0.664598] km/s</w:t>
            </w:r>
          </w:p>
        </w:tc>
      </w:tr>
      <w:tr>
        <w:tc>
          <w:tcPr>
            <w:tcW w:type="dxa" w:w="3024"/>
            <w:vAlign w:val="center"/>
          </w:tcPr>
          <w:p>
            <w:pPr>
              <w:spacing w:after="0"/>
            </w:pPr>
            <w:r>
              <w:t>Target position RGEO(t0)</w:t>
            </w:r>
          </w:p>
        </w:tc>
        <w:tc>
          <w:tcPr>
            <w:tcW w:type="dxa" w:w="6768"/>
            <w:vAlign w:val="center"/>
          </w:tcPr>
          <w:p>
            <w:pPr>
              <w:spacing w:after="0"/>
            </w:pPr>
            <w:r>
              <w:t>[41244.6079, 12577.3213, 0] km</w:t>
            </w:r>
          </w:p>
        </w:tc>
      </w:tr>
      <w:tr>
        <w:tc>
          <w:tcPr>
            <w:tcW w:type="dxa" w:w="3024"/>
            <w:vAlign w:val="center"/>
          </w:tcPr>
          <w:p>
            <w:pPr>
              <w:spacing w:after="0"/>
            </w:pPr>
            <w:r>
              <w:t>Target velocity VGEO(t0)</w:t>
            </w:r>
          </w:p>
        </w:tc>
        <w:tc>
          <w:tcPr>
            <w:tcW w:type="dxa" w:w="6768"/>
            <w:vAlign w:val="center"/>
          </w:tcPr>
          <w:p>
            <w:pPr>
              <w:spacing w:after="0"/>
            </w:pPr>
            <w:r>
              <w:t>[-0.917153, 2.934683, 0] km/s</w:t>
            </w:r>
          </w:p>
        </w:tc>
      </w:tr>
      <w:tr>
        <w:tc>
          <w:tcPr>
            <w:tcW w:type="dxa" w:w="3024"/>
            <w:vAlign w:val="center"/>
          </w:tcPr>
          <w:p>
            <w:pPr>
              <w:spacing w:after="0"/>
              <w:jc w:val="center"/>
            </w:pPr>
            <w:r>
              <w:t>Dynamics</w:t>
            </w:r>
          </w:p>
        </w:tc>
        <w:tc>
          <w:tcPr>
            <w:tcW w:type="dxa" w:w="6768"/>
            <w:vAlign w:val="center"/>
          </w:tcPr>
          <w:p>
            <w:pPr>
              <w:spacing w:after="0"/>
            </w:pPr>
            <w:r>
              <w:t>Two-body ECI propagation using mu_E = 398600.4418 km^3/s^2</w:t>
            </w:r>
          </w:p>
        </w:tc>
      </w:tr>
    </w:tbl>
    <w:p/>
    <w:p>
      <w:pPr>
        <w:pStyle w:val="Heading1"/>
      </w:pPr>
      <w:r>
        <w:rPr>
          <w:rFonts w:ascii="Arial" w:hAnsi="Arial" w:eastAsia="Malgun Gothic"/>
        </w:rPr>
        <w:t>4. Governing Equations</w:t>
      </w:r>
    </w:p>
    <w:p>
      <w:pPr>
        <w:spacing w:after="120" w:line="276" w:lineRule="auto"/>
      </w:pPr>
      <w:r>
        <w:t>The spacecraft and target states are propagated using the standard two-body equation of motion:</w:t>
      </w:r>
    </w:p>
    <w:p>
      <w:pPr>
        <w:spacing w:before="60" w:after="140"/>
        <w:jc w:val="center"/>
      </w:pPr>
      <m:oMath>
        <m:r>
          <m:t>r¨ = - μ_E r / ‖r‖³</m:t>
        </m:r>
      </m:oMath>
    </w:p>
    <w:p>
      <w:pPr>
        <w:spacing w:after="120" w:line="276" w:lineRule="auto"/>
      </w:pPr>
      <w:r>
        <w:t>For each candidate time of flight, the Lambert problem connects the initial GTO position to the propagated target position. The Lambert boundary condition is</w:t>
      </w:r>
    </w:p>
    <w:p>
      <w:pPr>
        <w:spacing w:before="60" w:after="140"/>
        <w:jc w:val="center"/>
      </w:pPr>
      <m:oMath>
        <m:r>
          <m:t>r(t₀) = R₀,     r(t_f) = R_GEO(t_f),     Δt = t_f − t₀</m:t>
        </m:r>
      </m:oMath>
    </w:p>
    <w:p>
      <w:pPr>
        <w:spacing w:after="120" w:line="276" w:lineRule="auto"/>
      </w:pPr>
      <w:r>
        <w:t>The two impulsive maneuvers are computed from the velocity discontinuities at departure and arrival:</w:t>
      </w:r>
    </w:p>
    <w:p>
      <w:pPr>
        <w:spacing w:before="60" w:after="140"/>
        <w:jc w:val="center"/>
      </w:pPr>
      <m:oMath>
        <m:r>
          <m:t>Δv₁ = ‖v₁⁺ − v_GTO(t₀)‖</m:t>
        </m:r>
      </m:oMath>
    </w:p>
    <w:p>
      <w:pPr>
        <w:spacing w:before="60" w:after="140"/>
        <w:jc w:val="center"/>
      </w:pPr>
      <m:oMath>
        <m:r>
          <m:t>Δv₂ = ‖v_target(t_f) − v₂⁻‖</m:t>
        </m:r>
      </m:oMath>
    </w:p>
    <w:p>
      <w:pPr>
        <w:spacing w:before="60" w:after="140"/>
        <w:jc w:val="center"/>
      </w:pPr>
      <m:oMath>
        <m:r>
          <m:t>Δv_total = Δv₁ + Δv₂</m:t>
        </m:r>
      </m:oMath>
    </w:p>
    <w:p>
      <w:pPr>
        <w:spacing w:after="120" w:line="276" w:lineRule="auto"/>
      </w:pPr>
      <w:r>
        <w:t>The representative-design rule used for the final submitted point is</w:t>
      </w:r>
    </w:p>
    <w:p>
      <w:pPr>
        <w:spacing w:before="60" w:after="140"/>
        <w:jc w:val="center"/>
      </w:pPr>
      <m:oMath>
        <m:r>
          <m:t>minimize  J = Δv_total,   subject to  1 day ≤ Δt ≤ 4 days and valid rendezvous</m:t>
        </m:r>
      </m:oMath>
    </w:p>
    <w:p>
      <w:pPr>
        <w:pStyle w:val="Heading1"/>
      </w:pPr>
      <w:r>
        <w:rPr>
          <w:rFonts w:ascii="Arial" w:hAnsi="Arial" w:eastAsia="Malgun Gothic"/>
        </w:rPr>
        <w:t>5. Mission Priority: Why the Four-Day Fuel-Minimum Rule Was Used</w:t>
      </w:r>
    </w:p>
    <w:p>
      <w:pPr>
        <w:spacing w:after="120" w:line="276" w:lineRule="auto"/>
      </w:pPr>
      <w:r>
        <w:t>From a real GEO spacecraft operations perspective, propellant is a non-replenishable mission resource. Once the spacecraft is in a safe and trackable early-orbit phase, spending several days before final GEO insertion can be acceptable if it saves a large amount of Delta V. On the other hand, extending the transfer toward ten days or more increases the duration of tracking, orbit determination, ground contact planning, thermal/power monitoring, and contingency exposure before the spacecraft reaches its operational GEO condition.</w:t>
      </w:r>
    </w:p>
    <w:p>
      <w:pPr>
        <w:spacing w:after="120" w:line="276" w:lineRule="auto"/>
      </w:pPr>
      <w:r>
        <w:t>For that reason this submission uses a two-stage decision rule rather than a purely graphical knee selection. First, impose a practical early-orbit operations limit of 4 days. This is short enough to avoid treating a long minimum-fuel phasing solution as the representative mission design, but long enough to allow multi-revolution phasing to reduce the very high penalty of the fast 1-day transfer. Second, within that 4-day window, choose the lowest total Delta V because propellant margin directly affects station acquisition, stationkeeping lifetime, and mission robustness.</w:t>
      </w:r>
    </w:p>
    <w:p>
      <w:pPr>
        <w:pStyle w:val="ListBullet"/>
        <w:spacing w:after="60"/>
      </w:pPr>
      <w:r>
        <w:t>The 1-day solution is operationally fast but costs 3.4652 km/s, which is inefficient as a representative GEO insertion design.</w:t>
      </w:r>
    </w:p>
    <w:p>
      <w:pPr>
        <w:pStyle w:val="ListBullet"/>
        <w:spacing w:after="60"/>
      </w:pPr>
      <w:r>
        <w:t>The 1.4365-day knee-like solution is a useful trade-study point, but it is not the final priority rule.</w:t>
      </w:r>
    </w:p>
    <w:p>
      <w:pPr>
        <w:pStyle w:val="ListBullet"/>
        <w:spacing w:after="60"/>
      </w:pPr>
      <w:r>
        <w:t>The 3.4709-day solution remains inside the four-day operations window and lowers the cost to 1.8400 km/s.</w:t>
      </w:r>
    </w:p>
    <w:p>
      <w:pPr>
        <w:pStyle w:val="ListBullet"/>
        <w:spacing w:after="60"/>
      </w:pPr>
      <w:r>
        <w:t>The 10.7387-day solution has the lowest Delta V in the full sweep, but the added operations duration is not justified for the submitted representative point.</w:t>
      </w:r>
    </w:p>
    <w:p>
      <w:pPr>
        <w:pStyle w:val="Heading1"/>
      </w:pPr>
      <w:r>
        <w:rPr>
          <w:rFonts w:ascii="Arial" w:hAnsi="Arial" w:eastAsia="Malgun Gothic"/>
        </w:rPr>
        <w:t>6. Optimization and Search Method</w:t>
      </w:r>
    </w:p>
    <w:p>
      <w:pPr>
        <w:spacing w:after="120" w:line="276" w:lineRule="auto"/>
      </w:pPr>
      <w:r>
        <w:t>The MATLAB code performs a deterministic trade-space search rather than relying on a single black-box local optimizer. First, a dense zero-revolution Lambert sweep is performed over 20,000 time-of-flight samples from 1 to 30 days, testing both prograde and retrograde branches. Second, a multi-revolution Lambert sweep adds candidate transfers with complete revolutions up to M = 20 on a coarser time grid. Third, all candidates are validated by propagating the transfer trajectory and checking the final position error. Finally, Pareto filtering is applied in the [Delta V, Delta t] plane.</w:t>
      </w:r>
    </w:p>
    <w:p>
      <w:pPr>
        <w:pStyle w:val="ListNumber"/>
        <w:spacing w:after="60"/>
      </w:pPr>
      <w:r>
        <w:t>Generate candidate transfer times over the assignment interval 1 day &lt;= Delta t &lt;= 30 days.</w:t>
      </w:r>
    </w:p>
    <w:p>
      <w:pPr>
        <w:pStyle w:val="ListNumber"/>
        <w:spacing w:after="60"/>
      </w:pPr>
      <w:r>
        <w:t>Propagate the Section 3.2 target state to the candidate final epoch using the two-body model.</w:t>
      </w:r>
    </w:p>
    <w:p>
      <w:pPr>
        <w:pStyle w:val="ListNumber"/>
        <w:spacing w:after="60"/>
      </w:pPr>
      <w:r>
        <w:t>Solve Lambert boundary-value problems for zero-revolution and multi-revolution branches.</w:t>
      </w:r>
    </w:p>
    <w:p>
      <w:pPr>
        <w:pStyle w:val="ListNumber"/>
        <w:spacing w:after="60"/>
      </w:pPr>
      <w:r>
        <w:t>Compute Delta V1, Delta V2, total Delta V, and terminal position error for every valid candidate.</w:t>
      </w:r>
    </w:p>
    <w:p>
      <w:pPr>
        <w:pStyle w:val="ListNumber"/>
        <w:spacing w:after="60"/>
      </w:pPr>
      <w:r>
        <w:t>Filter dominated candidates and select the representative design using the predefined mission priority.</w:t>
      </w:r>
    </w:p>
    <w:p>
      <w:pPr>
        <w:spacing w:after="120" w:line="276" w:lineRule="auto"/>
      </w:pPr>
      <w:r>
        <w:t>This approach is appropriate for the assignment because the objective landscape changes sharply with transfer duration and multi-revolution branch choice. A broad Lambert sweep makes those branch changes visible and avoids over-interpreting one local solution as the only optimum.</w:t>
      </w:r>
    </w:p>
    <w:p>
      <w:pPr>
        <w:pStyle w:val="Heading1"/>
      </w:pPr>
      <w:r>
        <w:rPr>
          <w:rFonts w:ascii="Arial" w:hAnsi="Arial" w:eastAsia="Malgun Gothic"/>
        </w:rPr>
        <w:t>7. Convergence and Validity Discussion</w:t>
      </w:r>
    </w:p>
    <w:p>
      <w:pPr>
        <w:spacing w:after="120" w:line="276" w:lineRule="auto"/>
      </w:pPr>
      <w:r>
        <w:t>The search produced 82,672 Lambert-level candidates before final filtering. The Pareto-level candidates were then rechecked by direct propagation, and candidates with terminal position error above the specified internal tolerance were rejected. The final Pareto set contains 211 candidates. Because the selected solution is not created by iterative direct shooting, convergence here means numerical stability of the branch sweep and consistency of the Pareto front, not convergence of a single nonlinear program.</w:t>
      </w:r>
    </w:p>
    <w:p>
      <w:pPr>
        <w:spacing w:after="120" w:line="276" w:lineRule="auto"/>
      </w:pPr>
      <w:r>
        <w:t>The submitted representative solution has a final position error of 0.0001373 km, which is much smaller than the scale of the orbit and confirms that the Lambert boundary condition and subsequent two-body propagation are mutually consistent for the selected transfer.</w:t>
      </w:r>
    </w:p>
    <w:p>
      <w:pPr>
        <w:pStyle w:val="Heading1"/>
      </w:pPr>
      <w:r>
        <w:rPr>
          <w:rFonts w:ascii="Arial" w:hAnsi="Arial" w:eastAsia="Malgun Gothic"/>
        </w:rPr>
        <w:t>8. Pareto Results and Representative Design Point</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224"/>
            <w:shd w:fill="D9EAF7"/>
          </w:tcPr>
          <w:p>
            <w:pPr>
              <w:jc w:val="center"/>
            </w:pPr>
            <w:r>
              <w:rPr>
                <w:b/>
              </w:rPr>
              <w:t>Case</w:t>
            </w:r>
          </w:p>
        </w:tc>
        <w:tc>
          <w:tcPr>
            <w:tcW w:type="dxa" w:w="1440"/>
            <w:shd w:fill="D9EAF7"/>
          </w:tcPr>
          <w:p>
            <w:pPr>
              <w:jc w:val="center"/>
            </w:pPr>
            <w:r>
              <w:rPr>
                <w:b/>
              </w:rPr>
              <w:t>Method</w:t>
            </w:r>
          </w:p>
        </w:tc>
        <w:tc>
          <w:tcPr>
            <w:tcW w:type="dxa" w:w="1224"/>
            <w:shd w:fill="D9EAF7"/>
          </w:tcPr>
          <w:p>
            <w:pPr>
              <w:jc w:val="center"/>
            </w:pPr>
            <w:r>
              <w:rPr>
                <w:b/>
              </w:rPr>
              <w:t>Delta t [days]</w:t>
            </w:r>
          </w:p>
        </w:tc>
        <w:tc>
          <w:tcPr>
            <w:tcW w:type="dxa" w:w="1224"/>
            <w:shd w:fill="D9EAF7"/>
          </w:tcPr>
          <w:p>
            <w:pPr>
              <w:jc w:val="center"/>
            </w:pPr>
            <w:r>
              <w:rPr>
                <w:b/>
              </w:rPr>
              <w:t>Delta V1 [km/s]</w:t>
            </w:r>
          </w:p>
        </w:tc>
        <w:tc>
          <w:tcPr>
            <w:tcW w:type="dxa" w:w="1224"/>
            <w:shd w:fill="D9EAF7"/>
          </w:tcPr>
          <w:p>
            <w:pPr>
              <w:jc w:val="center"/>
            </w:pPr>
            <w:r>
              <w:rPr>
                <w:b/>
              </w:rPr>
              <w:t>Delta V2 [km/s]</w:t>
            </w:r>
          </w:p>
        </w:tc>
        <w:tc>
          <w:tcPr>
            <w:tcW w:type="dxa" w:w="1368"/>
            <w:shd w:fill="D9EAF7"/>
          </w:tcPr>
          <w:p>
            <w:pPr>
              <w:jc w:val="center"/>
            </w:pPr>
            <w:r>
              <w:rPr>
                <w:b/>
              </w:rPr>
              <w:t>Total Delta V [km/s]</w:t>
            </w:r>
          </w:p>
        </w:tc>
        <w:tc>
          <w:tcPr>
            <w:tcW w:type="dxa" w:w="2160"/>
            <w:shd w:fill="D9EAF7"/>
          </w:tcPr>
          <w:p>
            <w:pPr>
              <w:jc w:val="center"/>
            </w:pPr>
            <w:r>
              <w:rPr>
                <w:b/>
              </w:rPr>
              <w:t>Mission interpretation</w:t>
            </w:r>
          </w:p>
        </w:tc>
      </w:tr>
      <w:tr>
        <w:tc>
          <w:tcPr>
            <w:tcW w:type="dxa" w:w="1224"/>
            <w:vAlign w:val="center"/>
          </w:tcPr>
          <w:p>
            <w:pPr>
              <w:spacing w:after="0"/>
              <w:jc w:val="center"/>
            </w:pPr>
            <w:r>
              <w:t>Fastest</w:t>
            </w:r>
          </w:p>
        </w:tc>
        <w:tc>
          <w:tcPr>
            <w:tcW w:type="dxa" w:w="1440"/>
            <w:vAlign w:val="center"/>
          </w:tcPr>
          <w:p>
            <w:pPr>
              <w:spacing w:after="0"/>
              <w:jc w:val="center"/>
            </w:pPr>
            <w:r>
              <w:t>Lambert</w:t>
            </w:r>
          </w:p>
        </w:tc>
        <w:tc>
          <w:tcPr>
            <w:tcW w:type="dxa" w:w="1224"/>
            <w:vAlign w:val="center"/>
          </w:tcPr>
          <w:p>
            <w:pPr>
              <w:spacing w:after="0"/>
              <w:jc w:val="center"/>
            </w:pPr>
            <w:r>
              <w:t>1.0000</w:t>
            </w:r>
          </w:p>
        </w:tc>
        <w:tc>
          <w:tcPr>
            <w:tcW w:type="dxa" w:w="1224"/>
            <w:vAlign w:val="center"/>
          </w:tcPr>
          <w:p>
            <w:pPr>
              <w:spacing w:after="0"/>
              <w:jc w:val="center"/>
            </w:pPr>
            <w:r>
              <w:t>2.1830</w:t>
            </w:r>
          </w:p>
        </w:tc>
        <w:tc>
          <w:tcPr>
            <w:tcW w:type="dxa" w:w="1224"/>
            <w:vAlign w:val="center"/>
          </w:tcPr>
          <w:p>
            <w:pPr>
              <w:spacing w:after="0"/>
              <w:jc w:val="center"/>
            </w:pPr>
            <w:r>
              <w:t>1.2822</w:t>
            </w:r>
          </w:p>
        </w:tc>
        <w:tc>
          <w:tcPr>
            <w:tcW w:type="dxa" w:w="1368"/>
            <w:vAlign w:val="center"/>
          </w:tcPr>
          <w:p>
            <w:pPr>
              <w:spacing w:after="0"/>
              <w:jc w:val="center"/>
            </w:pPr>
            <w:r>
              <w:t>3.4652</w:t>
            </w:r>
          </w:p>
        </w:tc>
        <w:tc>
          <w:tcPr>
            <w:tcW w:type="dxa" w:w="2160"/>
            <w:vAlign w:val="center"/>
          </w:tcPr>
          <w:p>
            <w:pPr>
              <w:spacing w:after="0"/>
            </w:pPr>
            <w:r>
              <w:t>Fast but propellant-expensive</w:t>
            </w:r>
          </w:p>
        </w:tc>
      </w:tr>
      <w:tr>
        <w:tc>
          <w:tcPr>
            <w:tcW w:type="dxa" w:w="1224"/>
            <w:vAlign w:val="center"/>
          </w:tcPr>
          <w:p>
            <w:pPr>
              <w:spacing w:after="0"/>
              <w:jc w:val="center"/>
            </w:pPr>
            <w:r>
              <w:t>Knee-like</w:t>
            </w:r>
          </w:p>
        </w:tc>
        <w:tc>
          <w:tcPr>
            <w:tcW w:type="dxa" w:w="1440"/>
            <w:vAlign w:val="center"/>
          </w:tcPr>
          <w:p>
            <w:pPr>
              <w:spacing w:after="0"/>
              <w:jc w:val="center"/>
            </w:pPr>
            <w:r>
              <w:t>Lambert</w:t>
            </w:r>
          </w:p>
        </w:tc>
        <w:tc>
          <w:tcPr>
            <w:tcW w:type="dxa" w:w="1224"/>
            <w:vAlign w:val="center"/>
          </w:tcPr>
          <w:p>
            <w:pPr>
              <w:spacing w:after="0"/>
              <w:jc w:val="center"/>
            </w:pPr>
            <w:r>
              <w:t>1.2610</w:t>
            </w:r>
          </w:p>
        </w:tc>
        <w:tc>
          <w:tcPr>
            <w:tcW w:type="dxa" w:w="1224"/>
            <w:vAlign w:val="center"/>
          </w:tcPr>
          <w:p>
            <w:pPr>
              <w:spacing w:after="0"/>
              <w:jc w:val="center"/>
            </w:pPr>
            <w:r>
              <w:t>2.0943</w:t>
            </w:r>
          </w:p>
        </w:tc>
        <w:tc>
          <w:tcPr>
            <w:tcW w:type="dxa" w:w="1224"/>
            <w:vAlign w:val="center"/>
          </w:tcPr>
          <w:p>
            <w:pPr>
              <w:spacing w:after="0"/>
              <w:jc w:val="center"/>
            </w:pPr>
            <w:r>
              <w:t>0.7061</w:t>
            </w:r>
          </w:p>
        </w:tc>
        <w:tc>
          <w:tcPr>
            <w:tcW w:type="dxa" w:w="1368"/>
            <w:vAlign w:val="center"/>
          </w:tcPr>
          <w:p>
            <w:pPr>
              <w:spacing w:after="0"/>
              <w:jc w:val="center"/>
            </w:pPr>
            <w:r>
              <w:t>2.8004</w:t>
            </w:r>
          </w:p>
        </w:tc>
        <w:tc>
          <w:tcPr>
            <w:tcW w:type="dxa" w:w="2160"/>
            <w:vAlign w:val="center"/>
          </w:tcPr>
          <w:p>
            <w:pPr>
              <w:spacing w:after="0"/>
            </w:pPr>
            <w:r>
              <w:t>Useful trade-study point</w:t>
            </w:r>
          </w:p>
        </w:tc>
      </w:tr>
      <w:tr>
        <w:tc>
          <w:tcPr>
            <w:tcW w:type="dxa" w:w="1224"/>
            <w:vAlign w:val="center"/>
          </w:tcPr>
          <w:p>
            <w:pPr>
              <w:spacing w:after="0"/>
              <w:jc w:val="center"/>
            </w:pPr>
            <w:r>
              <w:t>Submitted</w:t>
            </w:r>
          </w:p>
        </w:tc>
        <w:tc>
          <w:tcPr>
            <w:tcW w:type="dxa" w:w="1440"/>
            <w:vAlign w:val="center"/>
          </w:tcPr>
          <w:p>
            <w:pPr>
              <w:spacing w:after="0"/>
              <w:jc w:val="center"/>
            </w:pPr>
            <w:r>
              <w:t>MultiRevLambert</w:t>
            </w:r>
          </w:p>
        </w:tc>
        <w:tc>
          <w:tcPr>
            <w:tcW w:type="dxa" w:w="1224"/>
            <w:vAlign w:val="center"/>
          </w:tcPr>
          <w:p>
            <w:pPr>
              <w:spacing w:after="0"/>
              <w:jc w:val="center"/>
            </w:pPr>
            <w:r>
              <w:t>3.4709</w:t>
            </w:r>
          </w:p>
        </w:tc>
        <w:tc>
          <w:tcPr>
            <w:tcW w:type="dxa" w:w="1224"/>
            <w:vAlign w:val="center"/>
          </w:tcPr>
          <w:p>
            <w:pPr>
              <w:spacing w:after="0"/>
              <w:jc w:val="center"/>
            </w:pPr>
            <w:r>
              <w:t>1.6784</w:t>
            </w:r>
          </w:p>
        </w:tc>
        <w:tc>
          <w:tcPr>
            <w:tcW w:type="dxa" w:w="1224"/>
            <w:vAlign w:val="center"/>
          </w:tcPr>
          <w:p>
            <w:pPr>
              <w:spacing w:after="0"/>
              <w:jc w:val="center"/>
            </w:pPr>
            <w:r>
              <w:t>0.1616</w:t>
            </w:r>
          </w:p>
        </w:tc>
        <w:tc>
          <w:tcPr>
            <w:tcW w:type="dxa" w:w="1368"/>
            <w:vAlign w:val="center"/>
          </w:tcPr>
          <w:p>
            <w:pPr>
              <w:spacing w:after="0"/>
              <w:jc w:val="center"/>
            </w:pPr>
            <w:r>
              <w:t>1.8400</w:t>
            </w:r>
          </w:p>
        </w:tc>
        <w:tc>
          <w:tcPr>
            <w:tcW w:type="dxa" w:w="2160"/>
            <w:vAlign w:val="center"/>
          </w:tcPr>
          <w:p>
            <w:pPr>
              <w:spacing w:after="0"/>
            </w:pPr>
            <w:r>
              <w:t>Best within the four-day mission window</w:t>
            </w:r>
          </w:p>
        </w:tc>
      </w:tr>
      <w:tr>
        <w:tc>
          <w:tcPr>
            <w:tcW w:type="dxa" w:w="1224"/>
            <w:vAlign w:val="center"/>
          </w:tcPr>
          <w:p>
            <w:pPr>
              <w:spacing w:after="0"/>
              <w:jc w:val="center"/>
            </w:pPr>
            <w:r>
              <w:t>Global min Delta V</w:t>
            </w:r>
          </w:p>
        </w:tc>
        <w:tc>
          <w:tcPr>
            <w:tcW w:type="dxa" w:w="1440"/>
            <w:vAlign w:val="center"/>
          </w:tcPr>
          <w:p>
            <w:pPr>
              <w:spacing w:after="0"/>
              <w:jc w:val="center"/>
            </w:pPr>
            <w:r>
              <w:t>MultiRevLambert</w:t>
            </w:r>
          </w:p>
        </w:tc>
        <w:tc>
          <w:tcPr>
            <w:tcW w:type="dxa" w:w="1224"/>
            <w:vAlign w:val="center"/>
          </w:tcPr>
          <w:p>
            <w:pPr>
              <w:spacing w:after="0"/>
              <w:jc w:val="center"/>
            </w:pPr>
            <w:r>
              <w:t>10.7387</w:t>
            </w:r>
          </w:p>
        </w:tc>
        <w:tc>
          <w:tcPr>
            <w:tcW w:type="dxa" w:w="1224"/>
            <w:vAlign w:val="center"/>
          </w:tcPr>
          <w:p>
            <w:pPr>
              <w:spacing w:after="0"/>
              <w:jc w:val="center"/>
            </w:pPr>
            <w:r>
              <w:t>1.7617</w:t>
            </w:r>
          </w:p>
        </w:tc>
        <w:tc>
          <w:tcPr>
            <w:tcW w:type="dxa" w:w="1224"/>
            <w:vAlign w:val="center"/>
          </w:tcPr>
          <w:p>
            <w:pPr>
              <w:spacing w:after="0"/>
              <w:jc w:val="center"/>
            </w:pPr>
            <w:r>
              <w:t>0.0545</w:t>
            </w:r>
          </w:p>
        </w:tc>
        <w:tc>
          <w:tcPr>
            <w:tcW w:type="dxa" w:w="1368"/>
            <w:vAlign w:val="center"/>
          </w:tcPr>
          <w:p>
            <w:pPr>
              <w:spacing w:after="0"/>
              <w:jc w:val="center"/>
            </w:pPr>
            <w:r>
              <w:t>1.8162</w:t>
            </w:r>
          </w:p>
        </w:tc>
        <w:tc>
          <w:tcPr>
            <w:tcW w:type="dxa" w:w="2160"/>
            <w:vAlign w:val="center"/>
          </w:tcPr>
          <w:p>
            <w:pPr>
              <w:spacing w:after="0"/>
            </w:pPr>
            <w:r>
              <w:t>Lowest fuel, but too slow for the representative mission</w:t>
            </w:r>
          </w:p>
        </w:tc>
      </w:tr>
    </w:tbl>
    <w:p/>
    <w:p>
      <w:pPr>
        <w:spacing w:after="120" w:line="276" w:lineRule="auto"/>
      </w:pPr>
      <w:r>
        <w:t>The Pareto front shows a sharp reduction in Delta V as transfer time is increased from the fastest 1-day solution. However, the final mission decision is based on the operations rule rather than only the visual curve shape. The submitted 3.4709-day solution uses about 2.03 more days than the knee-like 1.4365-day solution, but it remains within the four-day early-operations window and saves additional propellant. Compared with the 10.7387-day global minimum-fuel point, it gives up only about 0.0238 km/s while shortening the transfer by more than seven days.</w:t>
      </w:r>
    </w:p>
    <w:p>
      <w:pPr>
        <w:pStyle w:val="Heading1"/>
      </w:pPr>
      <w:r>
        <w:rPr>
          <w:rFonts w:ascii="Arial" w:hAnsi="Arial" w:eastAsia="Malgun Gothic"/>
        </w:rPr>
        <w:t>9. Trajectory, Error, Visibility, and Animation Results</w:t>
      </w:r>
    </w:p>
    <w:p>
      <w:pPr>
        <w:spacing w:after="120" w:line="276" w:lineRule="auto"/>
      </w:pPr>
      <w:r>
        <w:t>The selected trajectory is visualized with a moving target state, not a fixed final point. This is important because the target state is propagated during the transfer. The figures below document the main required outputs: the Pareto front, 3D trajectory, radius history, burn magnitudes, final position error near insertion, and KHU ground-station visibility intervals. The generated GIF animation additionally shows Earth, the transfer trajectory, maneuver locations, and the moving GEO target.</w:t>
      </w:r>
    </w:p>
    <w:p>
      <w:pPr>
        <w:jc w:val="center"/>
      </w:pPr>
      <w:r>
        <w:drawing>
          <wp:inline xmlns:a="http://schemas.openxmlformats.org/drawingml/2006/main" xmlns:pic="http://schemas.openxmlformats.org/drawingml/2006/picture">
            <wp:extent cx="5669280" cy="373329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733290"/>
                    </a:xfrm>
                    <a:prstGeom prst="rect"/>
                  </pic:spPr>
                </pic:pic>
              </a:graphicData>
            </a:graphic>
          </wp:inline>
        </w:drawing>
      </w:r>
    </w:p>
    <w:p>
      <w:pPr>
        <w:jc w:val="center"/>
      </w:pPr>
      <w:r>
        <w:rPr>
          <w:i/>
          <w:sz w:val="18"/>
        </w:rPr>
        <w:t>Figure 1. Pareto front and report solutions in the total Delta V-transfer duration plane.</w:t>
      </w:r>
    </w:p>
    <w:p>
      <w:pPr>
        <w:jc w:val="center"/>
      </w:pPr>
      <w:r>
        <w:drawing>
          <wp:inline xmlns:a="http://schemas.openxmlformats.org/drawingml/2006/main" xmlns:pic="http://schemas.openxmlformats.org/drawingml/2006/picture">
            <wp:extent cx="5303520" cy="3295592"/>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3295592"/>
                    </a:xfrm>
                    <a:prstGeom prst="rect"/>
                  </pic:spPr>
                </pic:pic>
              </a:graphicData>
            </a:graphic>
          </wp:inline>
        </w:drawing>
      </w:r>
    </w:p>
    <w:p>
      <w:pPr>
        <w:jc w:val="center"/>
      </w:pPr>
      <w:r>
        <w:rPr>
          <w:i/>
          <w:sz w:val="18"/>
        </w:rPr>
        <w:t>Figure 2. Selected GTO-to-GEO-KOMPSAT-2A transfer trajectory with moving target state.</w:t>
      </w:r>
    </w:p>
    <w:p>
      <w:pPr>
        <w:jc w:val="center"/>
      </w:pPr>
      <w:r>
        <w:drawing>
          <wp:inline xmlns:a="http://schemas.openxmlformats.org/drawingml/2006/main" xmlns:pic="http://schemas.openxmlformats.org/drawingml/2006/picture">
            <wp:extent cx="5303520" cy="348464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3484643"/>
                    </a:xfrm>
                    <a:prstGeom prst="rect"/>
                  </pic:spPr>
                </pic:pic>
              </a:graphicData>
            </a:graphic>
          </wp:inline>
        </w:drawing>
      </w:r>
    </w:p>
    <w:p>
      <w:pPr>
        <w:jc w:val="center"/>
      </w:pPr>
      <w:r>
        <w:rPr>
          <w:i/>
          <w:sz w:val="18"/>
        </w:rPr>
        <w:t>Figure 3. Spacecraft orbital radius during the selected transfer.</w:t>
      </w:r>
    </w:p>
    <w:p>
      <w:pPr>
        <w:jc w:val="center"/>
      </w:pPr>
      <w:r>
        <w:drawing>
          <wp:inline xmlns:a="http://schemas.openxmlformats.org/drawingml/2006/main" xmlns:pic="http://schemas.openxmlformats.org/drawingml/2006/picture">
            <wp:extent cx="5029200" cy="322747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227470"/>
                    </a:xfrm>
                    <a:prstGeom prst="rect"/>
                  </pic:spPr>
                </pic:pic>
              </a:graphicData>
            </a:graphic>
          </wp:inline>
        </w:drawing>
      </w:r>
    </w:p>
    <w:p>
      <w:pPr>
        <w:jc w:val="center"/>
      </w:pPr>
      <w:r>
        <w:rPr>
          <w:i/>
          <w:sz w:val="18"/>
        </w:rPr>
        <w:t>Figure 4. Impulsive maneuver magnitudes for departure and GEO insertion.</w:t>
      </w:r>
    </w:p>
    <w:p>
      <w:pPr>
        <w:jc w:val="center"/>
      </w:pPr>
      <w:r>
        <w:drawing>
          <wp:inline xmlns:a="http://schemas.openxmlformats.org/drawingml/2006/main" xmlns:pic="http://schemas.openxmlformats.org/drawingml/2006/picture">
            <wp:extent cx="5303520" cy="347244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3472449"/>
                    </a:xfrm>
                    <a:prstGeom prst="rect"/>
                  </pic:spPr>
                </pic:pic>
              </a:graphicData>
            </a:graphic>
          </wp:inline>
        </w:drawing>
      </w:r>
    </w:p>
    <w:p>
      <w:pPr>
        <w:jc w:val="center"/>
      </w:pPr>
      <w:r>
        <w:rPr>
          <w:i/>
          <w:sz w:val="18"/>
        </w:rPr>
        <w:t>Figure 5. Final-position error near the rendezvous epoch.</w:t>
      </w:r>
    </w:p>
    <w:p>
      <w:pPr>
        <w:jc w:val="center"/>
      </w:pPr>
      <w:r>
        <w:drawing>
          <wp:inline xmlns:a="http://schemas.openxmlformats.org/drawingml/2006/main" xmlns:pic="http://schemas.openxmlformats.org/drawingml/2006/picture">
            <wp:extent cx="5303520" cy="3475902"/>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3475902"/>
                    </a:xfrm>
                    <a:prstGeom prst="rect"/>
                  </pic:spPr>
                </pic:pic>
              </a:graphicData>
            </a:graphic>
          </wp:inline>
        </w:drawing>
      </w:r>
    </w:p>
    <w:p>
      <w:pPr>
        <w:jc w:val="center"/>
      </w:pPr>
      <w:r>
        <w:rPr>
          <w:i/>
          <w:sz w:val="18"/>
        </w:rPr>
        <w:t>Figure 6. Visibility intervals from Kyung Hee University for the selected transfer.</w:t>
      </w:r>
    </w:p>
    <w:p>
      <w:pPr>
        <w:pStyle w:val="Heading1"/>
      </w:pPr>
      <w:r>
        <w:rPr>
          <w:rFonts w:ascii="Arial" w:hAnsi="Arial" w:eastAsia="Malgun Gothic"/>
        </w:rPr>
        <w:t>10. Conclusion</w:t>
      </w:r>
    </w:p>
    <w:p>
      <w:pPr>
        <w:spacing w:after="120" w:line="276" w:lineRule="auto"/>
      </w:pPr>
      <w:r>
        <w:t>The final submitted design follows the assignment dynamics model and the instructor clarification on target-state handling. The selected representative point is a MultiRevLambert prograde, M = 3, low-path solution with Delta t = 3.4709 days, Delta V1 = 1.6784 km/s, Delta V2 = 0.1616 km/s, and total Delta V = 1.8400 km/s. The design is optimal with respect to the stated mission priority: it is the lowest-Delta-V valid solution inside the four-day early-orbit operations window.</w:t>
      </w:r>
    </w:p>
    <w:p>
      <w:pPr>
        <w:spacing w:after="120" w:line="276" w:lineRule="auto"/>
      </w:pPr>
      <w:r>
        <w:t>This result is more defensible than simply choosing the visual knee because it reflects a realistic mission rule: a short but not unnecessarily rushed transfer, with propellant preserved once the operations duration remains acceptable. It also avoids selecting the full-sweep minimum-fuel solution, whose small Delta V advantage does not justify the much longer early-orbit phase for the representative submitted design.</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algun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