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0"/>
        </w:rPr>
        <w:t>SPACE312 Final Project</w:t>
      </w:r>
    </w:p>
    <w:p>
      <w:pPr>
        <w:jc w:val="center"/>
      </w:pPr>
      <w:r>
        <w:rPr>
          <w:b/>
          <w:sz w:val="34"/>
        </w:rPr>
        <w:t>GTO-to-GEO Transfer Trajectory Optimization</w:t>
      </w:r>
    </w:p>
    <w:p>
      <w:pPr>
        <w:jc w:val="center"/>
      </w:pPr>
      <w:r>
        <w:rPr>
          <w:sz w:val="26"/>
        </w:rPr>
        <w:t>Mission Target: GEO-KOMPSAT-2A</w:t>
      </w:r>
    </w:p>
    <w:p/>
    <w:tbl>
      <w:tblPr>
        <w:tblW w:type="auto" w:w="0"/>
        <w:jc w:val="center"/>
        <w:tblLayout w:type="autofit"/>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824"/>
        <w:gridCol w:w="4824"/>
      </w:tblGrid>
      <w:tr>
        <w:tc>
          <w:tcPr>
            <w:tcW w:type="dxa" w:w="4824"/>
            <w:vAlign w:val="center"/>
            <w:shd w:fill="D9EAF7"/>
          </w:tcPr>
          <w:p>
            <w:pPr>
              <w:spacing w:after="0"/>
            </w:pPr>
            <w:r/>
            <w:r>
              <w:rPr>
                <w:b/>
                <w:sz w:val="18"/>
              </w:rPr>
              <w:t>Course</w:t>
            </w:r>
          </w:p>
        </w:tc>
        <w:tc>
          <w:tcPr>
            <w:tcW w:type="dxa" w:w="4824"/>
            <w:vAlign w:val="center"/>
          </w:tcPr>
          <w:p>
            <w:pPr>
              <w:spacing w:after="0"/>
            </w:pPr>
            <w:r/>
            <w:r>
              <w:rPr>
                <w:b w:val="0"/>
                <w:sz w:val="18"/>
              </w:rPr>
              <w:t>SPACE312 Space Flight Mechanics</w:t>
            </w:r>
          </w:p>
        </w:tc>
      </w:tr>
      <w:tr>
        <w:tc>
          <w:tcPr>
            <w:tcW w:type="dxa" w:w="4824"/>
            <w:vAlign w:val="center"/>
            <w:shd w:fill="D9EAF7"/>
          </w:tcPr>
          <w:p>
            <w:pPr>
              <w:spacing w:after="0"/>
            </w:pPr>
            <w:r/>
            <w:r>
              <w:rPr>
                <w:b/>
                <w:sz w:val="18"/>
              </w:rPr>
              <w:t>Project</w:t>
            </w:r>
          </w:p>
        </w:tc>
        <w:tc>
          <w:tcPr>
            <w:tcW w:type="dxa" w:w="4824"/>
            <w:vAlign w:val="center"/>
          </w:tcPr>
          <w:p>
            <w:pPr>
              <w:spacing w:after="0"/>
            </w:pPr>
            <w:r/>
            <w:r>
              <w:rPr>
                <w:b w:val="0"/>
                <w:sz w:val="18"/>
              </w:rPr>
              <w:t>Final Project</w:t>
            </w:r>
          </w:p>
        </w:tc>
      </w:tr>
      <w:tr>
        <w:tc>
          <w:tcPr>
            <w:tcW w:type="dxa" w:w="4824"/>
            <w:vAlign w:val="center"/>
            <w:shd w:fill="D9EAF7"/>
          </w:tcPr>
          <w:p>
            <w:pPr>
              <w:spacing w:after="0"/>
            </w:pPr>
            <w:r/>
            <w:r>
              <w:rPr>
                <w:b/>
                <w:sz w:val="18"/>
              </w:rPr>
              <w:t>Initial epoch</w:t>
            </w:r>
          </w:p>
        </w:tc>
        <w:tc>
          <w:tcPr>
            <w:tcW w:type="dxa" w:w="4824"/>
            <w:vAlign w:val="center"/>
          </w:tcPr>
          <w:p>
            <w:pPr>
              <w:spacing w:after="0"/>
            </w:pPr>
            <w:r/>
            <w:r>
              <w:rPr>
                <w:b w:val="0"/>
                <w:sz w:val="18"/>
              </w:rPr>
              <w:t>2026-06-01 00:00:00 UTC</w:t>
            </w:r>
          </w:p>
        </w:tc>
      </w:tr>
      <w:tr>
        <w:tc>
          <w:tcPr>
            <w:tcW w:type="dxa" w:w="4824"/>
            <w:vAlign w:val="center"/>
            <w:shd w:fill="D9EAF7"/>
          </w:tcPr>
          <w:p>
            <w:pPr>
              <w:spacing w:after="0"/>
            </w:pPr>
            <w:r/>
            <w:r>
              <w:rPr>
                <w:b/>
                <w:sz w:val="18"/>
              </w:rPr>
              <w:t>Required target condition</w:t>
            </w:r>
          </w:p>
        </w:tc>
        <w:tc>
          <w:tcPr>
            <w:tcW w:type="dxa" w:w="4824"/>
            <w:vAlign w:val="center"/>
          </w:tcPr>
          <w:p>
            <w:pPr>
              <w:spacing w:after="0"/>
            </w:pPr>
            <w:r/>
            <w:r>
              <w:rPr>
                <w:b w:val="0"/>
                <w:sz w:val="18"/>
              </w:rPr>
              <w:t>Section 3.2 target GEO state vector</w:t>
            </w:r>
          </w:p>
        </w:tc>
      </w:tr>
      <w:tr>
        <w:tc>
          <w:tcPr>
            <w:tcW w:type="dxa" w:w="4824"/>
            <w:vAlign w:val="center"/>
            <w:shd w:fill="D9EAF7"/>
          </w:tcPr>
          <w:p>
            <w:pPr>
              <w:spacing w:after="0"/>
            </w:pPr>
            <w:r/>
            <w:r>
              <w:rPr>
                <w:b/>
                <w:sz w:val="18"/>
              </w:rPr>
              <w:t>Mission priority</w:t>
            </w:r>
          </w:p>
        </w:tc>
        <w:tc>
          <w:tcPr>
            <w:tcW w:type="dxa" w:w="4824"/>
            <w:vAlign w:val="center"/>
          </w:tcPr>
          <w:p>
            <w:pPr>
              <w:spacing w:after="0"/>
            </w:pPr>
            <w:r/>
            <w:r>
              <w:rPr>
                <w:b w:val="0"/>
                <w:sz w:val="18"/>
              </w:rPr>
              <w:t>4일 이내 초기운용 창에서 total Delta V 최소화</w:t>
            </w:r>
          </w:p>
        </w:tc>
      </w:tr>
      <w:tr>
        <w:tc>
          <w:tcPr>
            <w:tcW w:type="dxa" w:w="4824"/>
            <w:vAlign w:val="center"/>
            <w:shd w:fill="D9EAF7"/>
          </w:tcPr>
          <w:p>
            <w:pPr>
              <w:spacing w:after="0"/>
            </w:pPr>
            <w:r/>
            <w:r>
              <w:rPr>
                <w:b/>
                <w:sz w:val="18"/>
              </w:rPr>
              <w:t>Selected design point</w:t>
            </w:r>
          </w:p>
        </w:tc>
        <w:tc>
          <w:tcPr>
            <w:tcW w:type="dxa" w:w="4824"/>
            <w:vAlign w:val="center"/>
          </w:tcPr>
          <w:p>
            <w:pPr>
              <w:spacing w:after="0"/>
            </w:pPr>
            <w:r/>
            <w:r>
              <w:rPr>
                <w:b w:val="0"/>
                <w:sz w:val="18"/>
              </w:rPr>
              <w:t>Delta t = 3.4709 days, total Delta V = 1.8400 km/s</w:t>
            </w:r>
          </w:p>
        </w:tc>
      </w:tr>
    </w:tbl>
    <w:p/>
    <w:p>
      <w:pPr>
        <w:spacing w:before="440"/>
        <w:jc w:val="center"/>
      </w:pPr>
      <w:r>
        <w:rPr>
          <w:i/>
          <w:sz w:val="21"/>
        </w:rPr>
        <w:t>Mission priority를 먼저 정의한 뒤, 그 기준에 따라 Pareto 후보 중 대표 설계점 하나를 선정하였다.</w:t>
      </w:r>
    </w:p>
    <w:p>
      <w:r>
        <w:br w:type="page"/>
      </w:r>
    </w:p>
    <w:p>
      <w:pPr>
        <w:pStyle w:val="Heading1"/>
      </w:pPr>
      <w:r>
        <w:rPr>
          <w:color w:val="1F4E79"/>
        </w:rPr>
        <w:t>1. 요약</w:t>
      </w:r>
    </w:p>
    <w:p>
      <w:pPr>
        <w:spacing w:after="140" w:line="269" w:lineRule="auto"/>
      </w:pPr>
      <w:r>
        <w:t>본 과제는 초기 GTO 상태에서 GEO-KOMPSAT-2A의 목표 GEO 상태로 이동하는 impulsive transfer를 설계하고, 총 Delta V와 transfer duration 사이의 Pareto tradeoff를 평가하는 문제이다. 교수님 확인에 따라 최종 코드는 Section 3.2의 target GEO state vector를 초기 목표 상태로 사용하고, 이후 target motion은 같은 two-body dynamics로 전파하였다.</w:t>
      </w:r>
    </w:p>
    <w:p>
      <w:pPr>
        <w:spacing w:after="140" w:line="269" w:lineRule="auto"/>
      </w:pPr>
      <w:r>
        <w:t>대표 설계점은 계산 후 임의로 고른 것이 아니라, 먼저 mission priority를 정한 뒤 그 기준으로 선택하였다. 본 설계의 priority는 실제 위성 초기 운용을 고려하여 4일 이내 rendezvous를 완료하되, 그 조건 안에서는 total Delta V를 최소화하는 것이다. 이 기준에 따른 대표 설계점은 Delta t = 3.4709 days, total Delta V = 1.8400 km/s이다.</w:t>
      </w:r>
    </w:p>
    <w:p>
      <w:pPr>
        <w:pStyle w:val="Heading1"/>
      </w:pPr>
      <w:r>
        <w:rPr>
          <w:color w:val="1F4E79"/>
        </w:rPr>
        <w:t>2. 문제 조건과 목표 상태 해석</w:t>
      </w:r>
    </w:p>
    <w:p>
      <w:pPr>
        <w:spacing w:after="140" w:line="269" w:lineRule="auto"/>
      </w:pPr>
      <w:r>
        <w:t>과제 PDF에는 target orbit이 circular geostationary orbit으로 설명되어 있지만, 교수님 답변에서 이번 과제에서는 Section 3.2의 target GEO state vector를 사용하라고 명시하였다. 따라서 최종 코드는 원형 GEO를 다시 가정하지 않고, 주어진 위치와 속도를 authoritative rendezvous boundary condition으로 사용한다.</w:t>
      </w:r>
    </w:p>
    <w:tbl>
      <w:tblPr>
        <w:tblW w:type="auto" w:w="0"/>
        <w:jc w:val="center"/>
        <w:tblLayout w:type="autofit"/>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824"/>
        <w:gridCol w:w="4824"/>
      </w:tblGrid>
      <w:tr>
        <w:tc>
          <w:tcPr>
            <w:tcW w:type="dxa" w:w="4824"/>
            <w:vAlign w:val="center"/>
            <w:shd w:fill="D9EAF7"/>
          </w:tcPr>
          <w:p>
            <w:pPr>
              <w:spacing w:after="0"/>
            </w:pPr>
            <w:r/>
            <w:r>
              <w:rPr>
                <w:b/>
                <w:sz w:val="18"/>
              </w:rPr>
              <w:t>Initial GTO position</w:t>
            </w:r>
          </w:p>
        </w:tc>
        <w:tc>
          <w:tcPr>
            <w:tcW w:type="dxa" w:w="4824"/>
            <w:vAlign w:val="center"/>
          </w:tcPr>
          <w:p>
            <w:pPr>
              <w:spacing w:after="0"/>
            </w:pPr>
            <w:r/>
            <w:r>
              <w:rPr>
                <w:b w:val="0"/>
                <w:sz w:val="18"/>
              </w:rPr>
              <w:t>[-42164.1729, 0, 0] km</w:t>
            </w:r>
          </w:p>
        </w:tc>
      </w:tr>
      <w:tr>
        <w:tc>
          <w:tcPr>
            <w:tcW w:type="dxa" w:w="4824"/>
            <w:vAlign w:val="center"/>
            <w:shd w:fill="D9EAF7"/>
          </w:tcPr>
          <w:p>
            <w:pPr>
              <w:spacing w:after="0"/>
            </w:pPr>
            <w:r/>
            <w:r>
              <w:rPr>
                <w:b/>
                <w:sz w:val="18"/>
              </w:rPr>
              <w:t>Initial GTO velocity</w:t>
            </w:r>
          </w:p>
        </w:tc>
        <w:tc>
          <w:tcPr>
            <w:tcW w:type="dxa" w:w="4824"/>
            <w:vAlign w:val="center"/>
          </w:tcPr>
          <w:p>
            <w:pPr>
              <w:spacing w:after="0"/>
            </w:pPr>
            <w:r/>
            <w:r>
              <w:rPr>
                <w:b w:val="0"/>
                <w:sz w:val="18"/>
              </w:rPr>
              <w:t>[0, -1.458327, -0.664598] km/s</w:t>
            </w:r>
          </w:p>
        </w:tc>
      </w:tr>
      <w:tr>
        <w:tc>
          <w:tcPr>
            <w:tcW w:type="dxa" w:w="4824"/>
            <w:vAlign w:val="center"/>
            <w:shd w:fill="D9EAF7"/>
          </w:tcPr>
          <w:p>
            <w:pPr>
              <w:spacing w:after="0"/>
            </w:pPr>
            <w:r/>
            <w:r>
              <w:rPr>
                <w:b/>
                <w:sz w:val="18"/>
              </w:rPr>
              <w:t>Target GEO position</w:t>
            </w:r>
          </w:p>
        </w:tc>
        <w:tc>
          <w:tcPr>
            <w:tcW w:type="dxa" w:w="4824"/>
            <w:vAlign w:val="center"/>
          </w:tcPr>
          <w:p>
            <w:pPr>
              <w:spacing w:after="0"/>
            </w:pPr>
            <w:r/>
            <w:r>
              <w:rPr>
                <w:b w:val="0"/>
                <w:sz w:val="18"/>
              </w:rPr>
              <w:t>[41244.6079, 12577.3213, 0] km</w:t>
            </w:r>
          </w:p>
        </w:tc>
      </w:tr>
      <w:tr>
        <w:tc>
          <w:tcPr>
            <w:tcW w:type="dxa" w:w="4824"/>
            <w:vAlign w:val="center"/>
            <w:shd w:fill="D9EAF7"/>
          </w:tcPr>
          <w:p>
            <w:pPr>
              <w:spacing w:after="0"/>
            </w:pPr>
            <w:r/>
            <w:r>
              <w:rPr>
                <w:b/>
                <w:sz w:val="18"/>
              </w:rPr>
              <w:t>Target GEO velocity</w:t>
            </w:r>
          </w:p>
        </w:tc>
        <w:tc>
          <w:tcPr>
            <w:tcW w:type="dxa" w:w="4824"/>
            <w:vAlign w:val="center"/>
          </w:tcPr>
          <w:p>
            <w:pPr>
              <w:spacing w:after="0"/>
            </w:pPr>
            <w:r/>
            <w:r>
              <w:rPr>
                <w:b w:val="0"/>
                <w:sz w:val="18"/>
              </w:rPr>
              <w:t>[-0.917153, 2.934683, 0] km/s</w:t>
            </w:r>
          </w:p>
        </w:tc>
      </w:tr>
      <w:tr>
        <w:tc>
          <w:tcPr>
            <w:tcW w:type="dxa" w:w="4824"/>
            <w:vAlign w:val="center"/>
            <w:shd w:fill="D9EAF7"/>
          </w:tcPr>
          <w:p>
            <w:pPr>
              <w:spacing w:after="0"/>
            </w:pPr>
            <w:r/>
            <w:r>
              <w:rPr>
                <w:b/>
                <w:sz w:val="18"/>
              </w:rPr>
              <w:t>Dynamics model</w:t>
            </w:r>
          </w:p>
        </w:tc>
        <w:tc>
          <w:tcPr>
            <w:tcW w:type="dxa" w:w="4824"/>
            <w:vAlign w:val="center"/>
          </w:tcPr>
          <w:p>
            <w:pPr>
              <w:spacing w:after="0"/>
            </w:pPr>
            <w:r/>
            <w:r>
              <w:rPr>
                <w:b w:val="0"/>
                <w:sz w:val="18"/>
              </w:rPr>
              <w:t>Earth-centered two-body propagation</w:t>
            </w:r>
          </w:p>
        </w:tc>
      </w:tr>
      <w:tr>
        <w:tc>
          <w:tcPr>
            <w:tcW w:type="dxa" w:w="4824"/>
            <w:vAlign w:val="center"/>
            <w:shd w:fill="D9EAF7"/>
          </w:tcPr>
          <w:p>
            <w:pPr>
              <w:spacing w:after="0"/>
            </w:pPr>
            <w:r/>
            <w:r>
              <w:rPr>
                <w:b/>
                <w:sz w:val="18"/>
              </w:rPr>
              <w:t>Search range</w:t>
            </w:r>
          </w:p>
        </w:tc>
        <w:tc>
          <w:tcPr>
            <w:tcW w:type="dxa" w:w="4824"/>
            <w:vAlign w:val="center"/>
          </w:tcPr>
          <w:p>
            <w:pPr>
              <w:spacing w:after="0"/>
            </w:pPr>
            <w:r/>
            <w:r>
              <w:rPr>
                <w:b w:val="0"/>
                <w:sz w:val="18"/>
              </w:rPr>
              <w:t>1 day &lt;= Delta t &lt;= 30 days</w:t>
            </w:r>
          </w:p>
        </w:tc>
      </w:tr>
    </w:tbl>
    <w:p/>
    <w:p>
      <w:pPr>
        <w:spacing w:after="140" w:line="269" w:lineRule="auto"/>
      </w:pPr>
      <w:r>
        <w:t>이 해석은 target spacecraft와 transfer spacecraft 모두를 동일한 two-body model로 전파한다는 점에서 동역학적으로 일관적이며, Section 3.2 state vector를 단순한 circular GEO 반경으로 대체하지 않는다.</w:t>
      </w:r>
    </w:p>
    <w:p>
      <w:pPr>
        <w:pStyle w:val="Heading1"/>
      </w:pPr>
      <w:r>
        <w:rPr>
          <w:color w:val="1F4E79"/>
        </w:rPr>
        <w:t>3. Mission Priority</w:t>
      </w:r>
    </w:p>
    <w:p>
      <w:pPr>
        <w:spacing w:after="140" w:line="269" w:lineRule="auto"/>
      </w:pPr>
      <w:r>
        <w:t>실제 위성 미션에서는 무조건 가장 빠른 해를 고르기보다, 운용 일정과 연료 예산을 함께 본다. GEO 임무의 초기 궤도상 시험과 commissioning 관점에서 며칠 수준의 transfer는 허용 가능하지만, 10일 이상으로 길어지는 transfer는 추적, 관제, 궤도결정, 이상상태 대응 기간을 불필요하게 늘린다. 따라서 본 설계에서는 4일을 practical upper bound로 두고, 그 안에서는 연료를 최우선으로 절감한다.</w:t>
      </w:r>
    </w:p>
    <w:p>
      <w:pPr>
        <w:pStyle w:val="ListBullet"/>
        <w:spacing w:after="60"/>
      </w:pPr>
      <w:r>
        <w:t>대표 설계점은 1일 이상 4일 이하의 practical early-orbit operation window 안에서 고른다.</w:t>
      </w:r>
    </w:p>
    <w:p>
      <w:pPr>
        <w:pStyle w:val="ListBullet"/>
        <w:spacing w:after="60"/>
      </w:pPr>
      <w:r>
        <w:t>4일 이내라는 일정 조건을 만족하면, 남은 판단 기준은 total Delta V 최소화로 둔다.</w:t>
      </w:r>
    </w:p>
    <w:p>
      <w:pPr>
        <w:pStyle w:val="ListBullet"/>
        <w:spacing w:after="60"/>
      </w:pPr>
      <w:r>
        <w:t>1일대 transfer는 빠르지만 2~3 km/s 이상의 큰 Delta V penalty가 있어 실제 연료 예산 관점에서 불리하다.</w:t>
      </w:r>
    </w:p>
    <w:p>
      <w:pPr>
        <w:pStyle w:val="ListBullet"/>
        <w:spacing w:after="60"/>
      </w:pPr>
      <w:r>
        <w:t>10일대 minimum-fuel 해는 연료가 가장 작지만, 초기 운용 지연이 과도하므로 대표 설계점이 아니라 trade-study 참고점으로 둔다.</w:t>
      </w:r>
    </w:p>
    <w:p>
      <w:pPr>
        <w:spacing w:after="140" w:line="269" w:lineRule="auto"/>
      </w:pPr>
      <w:r>
        <w:t>따라서 본 보고서의 최종 해는 '그래프상 knee'를 기계적으로 고른 결과가 아니라, 먼저 운용 허용 시간을 정하고 그 안에서 가장 연료 효율적인 해를 선택한 결과이다. 이는 문제에서 요구한 mission priority 선 정의 조건을 직접 반영한다.</w:t>
      </w:r>
    </w:p>
    <w:p>
      <w:pPr>
        <w:pStyle w:val="Heading1"/>
      </w:pPr>
      <w:r>
        <w:rPr>
          <w:color w:val="1F4E79"/>
        </w:rPr>
        <w:t>4. 해석 및 탐색 방법</w:t>
      </w:r>
    </w:p>
    <w:p>
      <w:pPr>
        <w:spacing w:after="140" w:line="269" w:lineRule="auto"/>
      </w:pPr>
      <w:r>
        <w:t>MATLAB 코드는 1~30일 범위의 transfer duration을 sweep하여 zero-revolution Lambert 후보와 multi-revolution Lambert 후보를 생성한다. 각 후보에 대해 초기 burn, 종단 burn, 총 Delta V, 최종 위치 오차를 계산하고, total Delta V와 transfer duration 기준으로 Pareto filtering을 수행한다.</w:t>
      </w:r>
    </w:p>
    <w:p>
      <w:pPr>
        <w:pStyle w:val="ListBullet"/>
        <w:spacing w:after="60"/>
      </w:pPr>
      <w:r>
        <w:t>Delta V1 = ||v1_plus - v_GTO(t0)||</w:t>
      </w:r>
    </w:p>
    <w:p>
      <w:pPr>
        <w:pStyle w:val="ListBullet"/>
        <w:spacing w:after="60"/>
      </w:pPr>
      <w:r>
        <w:t>Delta V2 = ||v_target(tf) - v2_minus||</w:t>
      </w:r>
    </w:p>
    <w:p>
      <w:pPr>
        <w:pStyle w:val="ListBullet"/>
        <w:spacing w:after="60"/>
      </w:pPr>
      <w:r>
        <w:t>Total Delta V = Delta V1 + Delta V2</w:t>
      </w:r>
    </w:p>
    <w:p>
      <w:pPr>
        <w:pStyle w:val="ListBullet"/>
        <w:spacing w:after="60"/>
      </w:pPr>
      <w:r>
        <w:t>최종 위치 오차가 허용 범위 안에 들어오는 후보만 유효한 rendezvous 후보로 사용한다.</w:t>
      </w:r>
    </w:p>
    <w:p>
      <w:pPr>
        <w:pStyle w:val="Heading1"/>
      </w:pPr>
      <w:r>
        <w:rPr>
          <w:color w:val="1F4E79"/>
        </w:rPr>
        <w:t>5. Pareto 결과와 대표 설계점</w:t>
      </w:r>
    </w:p>
    <w:tbl>
      <w:tblPr>
        <w:tblW w:type="auto" w:w="0"/>
        <w:jc w:val="center"/>
        <w:tblLayout w:type="autofit"/>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608"/>
        <w:gridCol w:w="1608"/>
        <w:gridCol w:w="1608"/>
        <w:gridCol w:w="1608"/>
        <w:gridCol w:w="1608"/>
        <w:gridCol w:w="1608"/>
      </w:tblGrid>
      <w:tr>
        <w:tc>
          <w:tcPr>
            <w:tcW w:type="dxa" w:w="1608"/>
            <w:vAlign w:val="center"/>
            <w:shd w:fill="1F4E79"/>
          </w:tcPr>
          <w:p>
            <w:pPr>
              <w:spacing w:after="0"/>
            </w:pPr>
            <w:r/>
            <w:r>
              <w:rPr>
                <w:b/>
                <w:color w:val="FFFFFF"/>
                <w:sz w:val="18"/>
              </w:rPr>
              <w:t>Case</w:t>
            </w:r>
          </w:p>
        </w:tc>
        <w:tc>
          <w:tcPr>
            <w:tcW w:type="dxa" w:w="1608"/>
            <w:vAlign w:val="center"/>
            <w:shd w:fill="1F4E79"/>
          </w:tcPr>
          <w:p>
            <w:pPr>
              <w:spacing w:after="0"/>
            </w:pPr>
            <w:r/>
            <w:r>
              <w:rPr>
                <w:b/>
                <w:color w:val="FFFFFF"/>
                <w:sz w:val="18"/>
              </w:rPr>
              <w:t>Method</w:t>
            </w:r>
          </w:p>
        </w:tc>
        <w:tc>
          <w:tcPr>
            <w:tcW w:type="dxa" w:w="1608"/>
            <w:vAlign w:val="center"/>
            <w:shd w:fill="1F4E79"/>
          </w:tcPr>
          <w:p>
            <w:pPr>
              <w:spacing w:after="0"/>
            </w:pPr>
            <w:r/>
            <w:r>
              <w:rPr>
                <w:b/>
                <w:color w:val="FFFFFF"/>
                <w:sz w:val="18"/>
              </w:rPr>
              <w:t>TOF [days]</w:t>
            </w:r>
          </w:p>
        </w:tc>
        <w:tc>
          <w:tcPr>
            <w:tcW w:type="dxa" w:w="1608"/>
            <w:vAlign w:val="center"/>
            <w:shd w:fill="1F4E79"/>
          </w:tcPr>
          <w:p>
            <w:pPr>
              <w:spacing w:after="0"/>
            </w:pPr>
            <w:r/>
            <w:r>
              <w:rPr>
                <w:b/>
                <w:color w:val="FFFFFF"/>
                <w:sz w:val="18"/>
              </w:rPr>
              <w:t>dV1 [km/s]</w:t>
            </w:r>
          </w:p>
        </w:tc>
        <w:tc>
          <w:tcPr>
            <w:tcW w:type="dxa" w:w="1608"/>
            <w:vAlign w:val="center"/>
            <w:shd w:fill="1F4E79"/>
          </w:tcPr>
          <w:p>
            <w:pPr>
              <w:spacing w:after="0"/>
            </w:pPr>
            <w:r/>
            <w:r>
              <w:rPr>
                <w:b/>
                <w:color w:val="FFFFFF"/>
                <w:sz w:val="18"/>
              </w:rPr>
              <w:t>dV2 [km/s]</w:t>
            </w:r>
          </w:p>
        </w:tc>
        <w:tc>
          <w:tcPr>
            <w:tcW w:type="dxa" w:w="1608"/>
            <w:vAlign w:val="center"/>
            <w:shd w:fill="1F4E79"/>
          </w:tcPr>
          <w:p>
            <w:pPr>
              <w:spacing w:after="0"/>
            </w:pPr>
            <w:r/>
            <w:r>
              <w:rPr>
                <w:b/>
                <w:color w:val="FFFFFF"/>
                <w:sz w:val="18"/>
              </w:rPr>
              <w:t>Total dV [km/s]</w:t>
            </w:r>
          </w:p>
        </w:tc>
      </w:tr>
      <w:tr>
        <w:tc>
          <w:tcPr>
            <w:tcW w:type="dxa" w:w="1608"/>
            <w:vAlign w:val="center"/>
          </w:tcPr>
          <w:p>
            <w:pPr>
              <w:spacing w:after="0"/>
            </w:pPr>
            <w:r/>
            <w:r>
              <w:rPr>
                <w:b w:val="0"/>
                <w:sz w:val="18"/>
              </w:rPr>
              <w:t>1</w:t>
            </w:r>
          </w:p>
        </w:tc>
        <w:tc>
          <w:tcPr>
            <w:tcW w:type="dxa" w:w="1608"/>
            <w:vAlign w:val="center"/>
          </w:tcPr>
          <w:p>
            <w:pPr>
              <w:spacing w:after="0"/>
            </w:pPr>
            <w:r/>
            <w:r>
              <w:rPr>
                <w:b w:val="0"/>
                <w:sz w:val="18"/>
              </w:rPr>
              <w:t>Lambert</w:t>
            </w:r>
          </w:p>
        </w:tc>
        <w:tc>
          <w:tcPr>
            <w:tcW w:type="dxa" w:w="1608"/>
            <w:vAlign w:val="center"/>
          </w:tcPr>
          <w:p>
            <w:pPr>
              <w:spacing w:after="0"/>
            </w:pPr>
            <w:r/>
            <w:r>
              <w:rPr>
                <w:b w:val="0"/>
                <w:sz w:val="18"/>
              </w:rPr>
              <w:t>1.0000</w:t>
            </w:r>
          </w:p>
        </w:tc>
        <w:tc>
          <w:tcPr>
            <w:tcW w:type="dxa" w:w="1608"/>
            <w:vAlign w:val="center"/>
          </w:tcPr>
          <w:p>
            <w:pPr>
              <w:spacing w:after="0"/>
            </w:pPr>
            <w:r/>
            <w:r>
              <w:rPr>
                <w:b w:val="0"/>
                <w:sz w:val="18"/>
              </w:rPr>
              <w:t>2.1830</w:t>
            </w:r>
          </w:p>
        </w:tc>
        <w:tc>
          <w:tcPr>
            <w:tcW w:type="dxa" w:w="1608"/>
            <w:vAlign w:val="center"/>
          </w:tcPr>
          <w:p>
            <w:pPr>
              <w:spacing w:after="0"/>
            </w:pPr>
            <w:r/>
            <w:r>
              <w:rPr>
                <w:b w:val="0"/>
                <w:sz w:val="18"/>
              </w:rPr>
              <w:t>1.2822</w:t>
            </w:r>
          </w:p>
        </w:tc>
        <w:tc>
          <w:tcPr>
            <w:tcW w:type="dxa" w:w="1608"/>
            <w:vAlign w:val="center"/>
          </w:tcPr>
          <w:p>
            <w:pPr>
              <w:spacing w:after="0"/>
            </w:pPr>
            <w:r/>
            <w:r>
              <w:rPr>
                <w:b w:val="0"/>
                <w:sz w:val="18"/>
              </w:rPr>
              <w:t>3.4652</w:t>
            </w:r>
          </w:p>
        </w:tc>
      </w:tr>
      <w:tr>
        <w:tc>
          <w:tcPr>
            <w:tcW w:type="dxa" w:w="1608"/>
            <w:vAlign w:val="center"/>
            <w:shd w:fill="EEF3F8"/>
          </w:tcPr>
          <w:p>
            <w:pPr>
              <w:spacing w:after="0"/>
            </w:pPr>
            <w:r/>
            <w:r>
              <w:rPr>
                <w:b w:val="0"/>
                <w:sz w:val="18"/>
              </w:rPr>
              <w:t>2</w:t>
            </w:r>
          </w:p>
        </w:tc>
        <w:tc>
          <w:tcPr>
            <w:tcW w:type="dxa" w:w="1608"/>
            <w:vAlign w:val="center"/>
            <w:shd w:fill="EEF3F8"/>
          </w:tcPr>
          <w:p>
            <w:pPr>
              <w:spacing w:after="0"/>
            </w:pPr>
            <w:r/>
            <w:r>
              <w:rPr>
                <w:b w:val="0"/>
                <w:sz w:val="18"/>
              </w:rPr>
              <w:t>Lambert</w:t>
            </w:r>
          </w:p>
        </w:tc>
        <w:tc>
          <w:tcPr>
            <w:tcW w:type="dxa" w:w="1608"/>
            <w:vAlign w:val="center"/>
            <w:shd w:fill="EEF3F8"/>
          </w:tcPr>
          <w:p>
            <w:pPr>
              <w:spacing w:after="0"/>
            </w:pPr>
            <w:r/>
            <w:r>
              <w:rPr>
                <w:b w:val="0"/>
                <w:sz w:val="18"/>
              </w:rPr>
              <w:t>1.0435</w:t>
            </w:r>
          </w:p>
        </w:tc>
        <w:tc>
          <w:tcPr>
            <w:tcW w:type="dxa" w:w="1608"/>
            <w:vAlign w:val="center"/>
            <w:shd w:fill="EEF3F8"/>
          </w:tcPr>
          <w:p>
            <w:pPr>
              <w:spacing w:after="0"/>
            </w:pPr>
            <w:r/>
            <w:r>
              <w:rPr>
                <w:b w:val="0"/>
                <w:sz w:val="18"/>
              </w:rPr>
              <w:t>2.1602</w:t>
            </w:r>
          </w:p>
        </w:tc>
        <w:tc>
          <w:tcPr>
            <w:tcW w:type="dxa" w:w="1608"/>
            <w:vAlign w:val="center"/>
            <w:shd w:fill="EEF3F8"/>
          </w:tcPr>
          <w:p>
            <w:pPr>
              <w:spacing w:after="0"/>
            </w:pPr>
            <w:r/>
            <w:r>
              <w:rPr>
                <w:b w:val="0"/>
                <w:sz w:val="18"/>
              </w:rPr>
              <w:t>1.1593</w:t>
            </w:r>
          </w:p>
        </w:tc>
        <w:tc>
          <w:tcPr>
            <w:tcW w:type="dxa" w:w="1608"/>
            <w:vAlign w:val="center"/>
            <w:shd w:fill="EEF3F8"/>
          </w:tcPr>
          <w:p>
            <w:pPr>
              <w:spacing w:after="0"/>
            </w:pPr>
            <w:r/>
            <w:r>
              <w:rPr>
                <w:b w:val="0"/>
                <w:sz w:val="18"/>
              </w:rPr>
              <w:t>3.3194</w:t>
            </w:r>
          </w:p>
        </w:tc>
      </w:tr>
      <w:tr>
        <w:tc>
          <w:tcPr>
            <w:tcW w:type="dxa" w:w="1608"/>
            <w:vAlign w:val="center"/>
          </w:tcPr>
          <w:p>
            <w:pPr>
              <w:spacing w:after="0"/>
            </w:pPr>
            <w:r/>
            <w:r>
              <w:rPr>
                <w:b w:val="0"/>
                <w:sz w:val="18"/>
              </w:rPr>
              <w:t>3</w:t>
            </w:r>
          </w:p>
        </w:tc>
        <w:tc>
          <w:tcPr>
            <w:tcW w:type="dxa" w:w="1608"/>
            <w:vAlign w:val="center"/>
          </w:tcPr>
          <w:p>
            <w:pPr>
              <w:spacing w:after="0"/>
            </w:pPr>
            <w:r/>
            <w:r>
              <w:rPr>
                <w:b w:val="0"/>
                <w:sz w:val="18"/>
              </w:rPr>
              <w:t>Lambert</w:t>
            </w:r>
          </w:p>
        </w:tc>
        <w:tc>
          <w:tcPr>
            <w:tcW w:type="dxa" w:w="1608"/>
            <w:vAlign w:val="center"/>
          </w:tcPr>
          <w:p>
            <w:pPr>
              <w:spacing w:after="0"/>
            </w:pPr>
            <w:r/>
            <w:r>
              <w:rPr>
                <w:b w:val="0"/>
                <w:sz w:val="18"/>
              </w:rPr>
              <w:t>1.0870</w:t>
            </w:r>
          </w:p>
        </w:tc>
        <w:tc>
          <w:tcPr>
            <w:tcW w:type="dxa" w:w="1608"/>
            <w:vAlign w:val="center"/>
          </w:tcPr>
          <w:p>
            <w:pPr>
              <w:spacing w:after="0"/>
            </w:pPr>
            <w:r/>
            <w:r>
              <w:rPr>
                <w:b w:val="0"/>
                <w:sz w:val="18"/>
              </w:rPr>
              <w:t>2.1412</w:t>
            </w:r>
          </w:p>
        </w:tc>
        <w:tc>
          <w:tcPr>
            <w:tcW w:type="dxa" w:w="1608"/>
            <w:vAlign w:val="center"/>
          </w:tcPr>
          <w:p>
            <w:pPr>
              <w:spacing w:after="0"/>
            </w:pPr>
            <w:r/>
            <w:r>
              <w:rPr>
                <w:b w:val="0"/>
                <w:sz w:val="18"/>
              </w:rPr>
              <w:t>1.0473</w:t>
            </w:r>
          </w:p>
        </w:tc>
        <w:tc>
          <w:tcPr>
            <w:tcW w:type="dxa" w:w="1608"/>
            <w:vAlign w:val="center"/>
          </w:tcPr>
          <w:p>
            <w:pPr>
              <w:spacing w:after="0"/>
            </w:pPr>
            <w:r/>
            <w:r>
              <w:rPr>
                <w:b w:val="0"/>
                <w:sz w:val="18"/>
              </w:rPr>
              <w:t>3.1886</w:t>
            </w:r>
          </w:p>
        </w:tc>
      </w:tr>
      <w:tr>
        <w:tc>
          <w:tcPr>
            <w:tcW w:type="dxa" w:w="1608"/>
            <w:vAlign w:val="center"/>
            <w:shd w:fill="EEF3F8"/>
          </w:tcPr>
          <w:p>
            <w:pPr>
              <w:spacing w:after="0"/>
            </w:pPr>
            <w:r/>
            <w:r>
              <w:rPr>
                <w:b w:val="0"/>
                <w:sz w:val="18"/>
              </w:rPr>
              <w:t>4</w:t>
            </w:r>
          </w:p>
        </w:tc>
        <w:tc>
          <w:tcPr>
            <w:tcW w:type="dxa" w:w="1608"/>
            <w:vAlign w:val="center"/>
            <w:shd w:fill="EEF3F8"/>
          </w:tcPr>
          <w:p>
            <w:pPr>
              <w:spacing w:after="0"/>
            </w:pPr>
            <w:r/>
            <w:r>
              <w:rPr>
                <w:b w:val="0"/>
                <w:sz w:val="18"/>
              </w:rPr>
              <w:t>Lambert</w:t>
            </w:r>
          </w:p>
        </w:tc>
        <w:tc>
          <w:tcPr>
            <w:tcW w:type="dxa" w:w="1608"/>
            <w:vAlign w:val="center"/>
            <w:shd w:fill="EEF3F8"/>
          </w:tcPr>
          <w:p>
            <w:pPr>
              <w:spacing w:after="0"/>
            </w:pPr>
            <w:r/>
            <w:r>
              <w:rPr>
                <w:b w:val="0"/>
                <w:sz w:val="18"/>
              </w:rPr>
              <w:t>1.1305</w:t>
            </w:r>
          </w:p>
        </w:tc>
        <w:tc>
          <w:tcPr>
            <w:tcW w:type="dxa" w:w="1608"/>
            <w:vAlign w:val="center"/>
            <w:shd w:fill="EEF3F8"/>
          </w:tcPr>
          <w:p>
            <w:pPr>
              <w:spacing w:after="0"/>
            </w:pPr>
            <w:r/>
            <w:r>
              <w:rPr>
                <w:b w:val="0"/>
                <w:sz w:val="18"/>
              </w:rPr>
              <w:t>2.1256</w:t>
            </w:r>
          </w:p>
        </w:tc>
        <w:tc>
          <w:tcPr>
            <w:tcW w:type="dxa" w:w="1608"/>
            <w:vAlign w:val="center"/>
            <w:shd w:fill="EEF3F8"/>
          </w:tcPr>
          <w:p>
            <w:pPr>
              <w:spacing w:after="0"/>
            </w:pPr>
            <w:r/>
            <w:r>
              <w:rPr>
                <w:b w:val="0"/>
                <w:sz w:val="18"/>
              </w:rPr>
              <w:t>0.9461</w:t>
            </w:r>
          </w:p>
        </w:tc>
        <w:tc>
          <w:tcPr>
            <w:tcW w:type="dxa" w:w="1608"/>
            <w:vAlign w:val="center"/>
            <w:shd w:fill="EEF3F8"/>
          </w:tcPr>
          <w:p>
            <w:pPr>
              <w:spacing w:after="0"/>
            </w:pPr>
            <w:r/>
            <w:r>
              <w:rPr>
                <w:b w:val="0"/>
                <w:sz w:val="18"/>
              </w:rPr>
              <w:t>3.0717</w:t>
            </w:r>
          </w:p>
        </w:tc>
      </w:tr>
      <w:tr>
        <w:tc>
          <w:tcPr>
            <w:tcW w:type="dxa" w:w="1608"/>
            <w:vAlign w:val="center"/>
          </w:tcPr>
          <w:p>
            <w:pPr>
              <w:spacing w:after="0"/>
            </w:pPr>
            <w:r/>
            <w:r>
              <w:rPr>
                <w:b w:val="0"/>
                <w:sz w:val="18"/>
              </w:rPr>
              <w:t>5</w:t>
            </w:r>
          </w:p>
        </w:tc>
        <w:tc>
          <w:tcPr>
            <w:tcW w:type="dxa" w:w="1608"/>
            <w:vAlign w:val="center"/>
          </w:tcPr>
          <w:p>
            <w:pPr>
              <w:spacing w:after="0"/>
            </w:pPr>
            <w:r/>
            <w:r>
              <w:rPr>
                <w:b w:val="0"/>
                <w:sz w:val="18"/>
              </w:rPr>
              <w:t>Lambert</w:t>
            </w:r>
          </w:p>
        </w:tc>
        <w:tc>
          <w:tcPr>
            <w:tcW w:type="dxa" w:w="1608"/>
            <w:vAlign w:val="center"/>
          </w:tcPr>
          <w:p>
            <w:pPr>
              <w:spacing w:after="0"/>
            </w:pPr>
            <w:r/>
            <w:r>
              <w:rPr>
                <w:b w:val="0"/>
                <w:sz w:val="18"/>
              </w:rPr>
              <w:t>1.1740</w:t>
            </w:r>
          </w:p>
        </w:tc>
        <w:tc>
          <w:tcPr>
            <w:tcW w:type="dxa" w:w="1608"/>
            <w:vAlign w:val="center"/>
          </w:tcPr>
          <w:p>
            <w:pPr>
              <w:spacing w:after="0"/>
            </w:pPr>
            <w:r/>
            <w:r>
              <w:rPr>
                <w:b w:val="0"/>
                <w:sz w:val="18"/>
              </w:rPr>
              <w:t>2.1128</w:t>
            </w:r>
          </w:p>
        </w:tc>
        <w:tc>
          <w:tcPr>
            <w:tcW w:type="dxa" w:w="1608"/>
            <w:vAlign w:val="center"/>
          </w:tcPr>
          <w:p>
            <w:pPr>
              <w:spacing w:after="0"/>
            </w:pPr>
            <w:r/>
            <w:r>
              <w:rPr>
                <w:b w:val="0"/>
                <w:sz w:val="18"/>
              </w:rPr>
              <w:t>0.8554</w:t>
            </w:r>
          </w:p>
        </w:tc>
        <w:tc>
          <w:tcPr>
            <w:tcW w:type="dxa" w:w="1608"/>
            <w:vAlign w:val="center"/>
          </w:tcPr>
          <w:p>
            <w:pPr>
              <w:spacing w:after="0"/>
            </w:pPr>
            <w:r/>
            <w:r>
              <w:rPr>
                <w:b w:val="0"/>
                <w:sz w:val="18"/>
              </w:rPr>
              <w:t>2.9682</w:t>
            </w:r>
          </w:p>
        </w:tc>
      </w:tr>
      <w:tr>
        <w:tc>
          <w:tcPr>
            <w:tcW w:type="dxa" w:w="1608"/>
            <w:vAlign w:val="center"/>
            <w:shd w:fill="EEF3F8"/>
          </w:tcPr>
          <w:p>
            <w:pPr>
              <w:spacing w:after="0"/>
            </w:pPr>
            <w:r/>
            <w:r>
              <w:rPr>
                <w:b w:val="0"/>
                <w:sz w:val="18"/>
              </w:rPr>
              <w:t>6</w:t>
            </w:r>
          </w:p>
        </w:tc>
        <w:tc>
          <w:tcPr>
            <w:tcW w:type="dxa" w:w="1608"/>
            <w:vAlign w:val="center"/>
            <w:shd w:fill="EEF3F8"/>
          </w:tcPr>
          <w:p>
            <w:pPr>
              <w:spacing w:after="0"/>
            </w:pPr>
            <w:r/>
            <w:r>
              <w:rPr>
                <w:b w:val="0"/>
                <w:sz w:val="18"/>
              </w:rPr>
              <w:t>Lambert</w:t>
            </w:r>
          </w:p>
        </w:tc>
        <w:tc>
          <w:tcPr>
            <w:tcW w:type="dxa" w:w="1608"/>
            <w:vAlign w:val="center"/>
            <w:shd w:fill="EEF3F8"/>
          </w:tcPr>
          <w:p>
            <w:pPr>
              <w:spacing w:after="0"/>
            </w:pPr>
            <w:r/>
            <w:r>
              <w:rPr>
                <w:b w:val="0"/>
                <w:sz w:val="18"/>
              </w:rPr>
              <w:t>1.2175</w:t>
            </w:r>
          </w:p>
        </w:tc>
        <w:tc>
          <w:tcPr>
            <w:tcW w:type="dxa" w:w="1608"/>
            <w:vAlign w:val="center"/>
            <w:shd w:fill="EEF3F8"/>
          </w:tcPr>
          <w:p>
            <w:pPr>
              <w:spacing w:after="0"/>
            </w:pPr>
            <w:r/>
            <w:r>
              <w:rPr>
                <w:b w:val="0"/>
                <w:sz w:val="18"/>
              </w:rPr>
              <w:t>2.1025</w:t>
            </w:r>
          </w:p>
        </w:tc>
        <w:tc>
          <w:tcPr>
            <w:tcW w:type="dxa" w:w="1608"/>
            <w:vAlign w:val="center"/>
            <w:shd w:fill="EEF3F8"/>
          </w:tcPr>
          <w:p>
            <w:pPr>
              <w:spacing w:after="0"/>
            </w:pPr>
            <w:r/>
            <w:r>
              <w:rPr>
                <w:b w:val="0"/>
                <w:sz w:val="18"/>
              </w:rPr>
              <w:t>0.7753</w:t>
            </w:r>
          </w:p>
        </w:tc>
        <w:tc>
          <w:tcPr>
            <w:tcW w:type="dxa" w:w="1608"/>
            <w:vAlign w:val="center"/>
            <w:shd w:fill="EEF3F8"/>
          </w:tcPr>
          <w:p>
            <w:pPr>
              <w:spacing w:after="0"/>
            </w:pPr>
            <w:r/>
            <w:r>
              <w:rPr>
                <w:b w:val="0"/>
                <w:sz w:val="18"/>
              </w:rPr>
              <w:t>2.8778</w:t>
            </w:r>
          </w:p>
        </w:tc>
      </w:tr>
      <w:tr>
        <w:tc>
          <w:tcPr>
            <w:tcW w:type="dxa" w:w="1608"/>
            <w:vAlign w:val="center"/>
          </w:tcPr>
          <w:p>
            <w:pPr>
              <w:spacing w:after="0"/>
            </w:pPr>
            <w:r/>
            <w:r>
              <w:rPr>
                <w:b w:val="0"/>
                <w:sz w:val="18"/>
              </w:rPr>
              <w:t>7</w:t>
            </w:r>
          </w:p>
        </w:tc>
        <w:tc>
          <w:tcPr>
            <w:tcW w:type="dxa" w:w="1608"/>
            <w:vAlign w:val="center"/>
          </w:tcPr>
          <w:p>
            <w:pPr>
              <w:spacing w:after="0"/>
            </w:pPr>
            <w:r/>
            <w:r>
              <w:rPr>
                <w:b w:val="0"/>
                <w:sz w:val="18"/>
              </w:rPr>
              <w:t>Lambert</w:t>
            </w:r>
          </w:p>
        </w:tc>
        <w:tc>
          <w:tcPr>
            <w:tcW w:type="dxa" w:w="1608"/>
            <w:vAlign w:val="center"/>
          </w:tcPr>
          <w:p>
            <w:pPr>
              <w:spacing w:after="0"/>
            </w:pPr>
            <w:r/>
            <w:r>
              <w:rPr>
                <w:b w:val="0"/>
                <w:sz w:val="18"/>
              </w:rPr>
              <w:t>1.2610</w:t>
            </w:r>
          </w:p>
        </w:tc>
        <w:tc>
          <w:tcPr>
            <w:tcW w:type="dxa" w:w="1608"/>
            <w:vAlign w:val="center"/>
          </w:tcPr>
          <w:p>
            <w:pPr>
              <w:spacing w:after="0"/>
            </w:pPr>
            <w:r/>
            <w:r>
              <w:rPr>
                <w:b w:val="0"/>
                <w:sz w:val="18"/>
              </w:rPr>
              <w:t>2.0943</w:t>
            </w:r>
          </w:p>
        </w:tc>
        <w:tc>
          <w:tcPr>
            <w:tcW w:type="dxa" w:w="1608"/>
            <w:vAlign w:val="center"/>
          </w:tcPr>
          <w:p>
            <w:pPr>
              <w:spacing w:after="0"/>
            </w:pPr>
            <w:r/>
            <w:r>
              <w:rPr>
                <w:b w:val="0"/>
                <w:sz w:val="18"/>
              </w:rPr>
              <w:t>0.7061</w:t>
            </w:r>
          </w:p>
        </w:tc>
        <w:tc>
          <w:tcPr>
            <w:tcW w:type="dxa" w:w="1608"/>
            <w:vAlign w:val="center"/>
          </w:tcPr>
          <w:p>
            <w:pPr>
              <w:spacing w:after="0"/>
            </w:pPr>
            <w:r/>
            <w:r>
              <w:rPr>
                <w:b w:val="0"/>
                <w:sz w:val="18"/>
              </w:rPr>
              <w:t>2.8004</w:t>
            </w:r>
          </w:p>
        </w:tc>
      </w:tr>
      <w:tr>
        <w:tc>
          <w:tcPr>
            <w:tcW w:type="dxa" w:w="1608"/>
            <w:vAlign w:val="center"/>
            <w:shd w:fill="EEF3F8"/>
          </w:tcPr>
          <w:p>
            <w:pPr>
              <w:spacing w:after="0"/>
            </w:pPr>
            <w:r/>
            <w:r>
              <w:rPr>
                <w:b w:val="0"/>
                <w:sz w:val="18"/>
              </w:rPr>
              <w:t>8</w:t>
            </w:r>
          </w:p>
        </w:tc>
        <w:tc>
          <w:tcPr>
            <w:tcW w:type="dxa" w:w="1608"/>
            <w:vAlign w:val="center"/>
            <w:shd w:fill="EEF3F8"/>
          </w:tcPr>
          <w:p>
            <w:pPr>
              <w:spacing w:after="0"/>
            </w:pPr>
            <w:r/>
            <w:r>
              <w:rPr>
                <w:b w:val="0"/>
                <w:sz w:val="18"/>
              </w:rPr>
              <w:t>MultiRevLambert</w:t>
            </w:r>
          </w:p>
        </w:tc>
        <w:tc>
          <w:tcPr>
            <w:tcW w:type="dxa" w:w="1608"/>
            <w:vAlign w:val="center"/>
            <w:shd w:fill="EEF3F8"/>
          </w:tcPr>
          <w:p>
            <w:pPr>
              <w:spacing w:after="0"/>
            </w:pPr>
            <w:r/>
            <w:r>
              <w:rPr>
                <w:b w:val="0"/>
                <w:sz w:val="18"/>
              </w:rPr>
              <w:t>3.4709</w:t>
            </w:r>
          </w:p>
        </w:tc>
        <w:tc>
          <w:tcPr>
            <w:tcW w:type="dxa" w:w="1608"/>
            <w:vAlign w:val="center"/>
            <w:shd w:fill="EEF3F8"/>
          </w:tcPr>
          <w:p>
            <w:pPr>
              <w:spacing w:after="0"/>
            </w:pPr>
            <w:r/>
            <w:r>
              <w:rPr>
                <w:b w:val="0"/>
                <w:sz w:val="18"/>
              </w:rPr>
              <w:t>1.6784</w:t>
            </w:r>
          </w:p>
        </w:tc>
        <w:tc>
          <w:tcPr>
            <w:tcW w:type="dxa" w:w="1608"/>
            <w:vAlign w:val="center"/>
            <w:shd w:fill="EEF3F8"/>
          </w:tcPr>
          <w:p>
            <w:pPr>
              <w:spacing w:after="0"/>
            </w:pPr>
            <w:r/>
            <w:r>
              <w:rPr>
                <w:b w:val="0"/>
                <w:sz w:val="18"/>
              </w:rPr>
              <w:t>0.1616</w:t>
            </w:r>
          </w:p>
        </w:tc>
        <w:tc>
          <w:tcPr>
            <w:tcW w:type="dxa" w:w="1608"/>
            <w:vAlign w:val="center"/>
            <w:shd w:fill="EEF3F8"/>
          </w:tcPr>
          <w:p>
            <w:pPr>
              <w:spacing w:after="0"/>
            </w:pPr>
            <w:r/>
            <w:r>
              <w:rPr>
                <w:b w:val="0"/>
                <w:sz w:val="18"/>
              </w:rPr>
              <w:t>1.8400</w:t>
            </w:r>
          </w:p>
        </w:tc>
      </w:tr>
      <w:tr>
        <w:tc>
          <w:tcPr>
            <w:tcW w:type="dxa" w:w="1608"/>
            <w:vAlign w:val="center"/>
          </w:tcPr>
          <w:p>
            <w:pPr>
              <w:spacing w:after="0"/>
            </w:pPr>
            <w:r/>
            <w:r>
              <w:rPr>
                <w:b w:val="0"/>
                <w:sz w:val="18"/>
              </w:rPr>
              <w:t>9</w:t>
            </w:r>
          </w:p>
        </w:tc>
        <w:tc>
          <w:tcPr>
            <w:tcW w:type="dxa" w:w="1608"/>
            <w:vAlign w:val="center"/>
          </w:tcPr>
          <w:p>
            <w:pPr>
              <w:spacing w:after="0"/>
            </w:pPr>
            <w:r/>
            <w:r>
              <w:rPr>
                <w:b w:val="0"/>
                <w:sz w:val="18"/>
              </w:rPr>
              <w:t>MultiRevLambert</w:t>
            </w:r>
          </w:p>
        </w:tc>
        <w:tc>
          <w:tcPr>
            <w:tcW w:type="dxa" w:w="1608"/>
            <w:vAlign w:val="center"/>
          </w:tcPr>
          <w:p>
            <w:pPr>
              <w:spacing w:after="0"/>
            </w:pPr>
            <w:r/>
            <w:r>
              <w:rPr>
                <w:b w:val="0"/>
                <w:sz w:val="18"/>
              </w:rPr>
              <w:t>10.7387</w:t>
            </w:r>
          </w:p>
        </w:tc>
        <w:tc>
          <w:tcPr>
            <w:tcW w:type="dxa" w:w="1608"/>
            <w:vAlign w:val="center"/>
          </w:tcPr>
          <w:p>
            <w:pPr>
              <w:spacing w:after="0"/>
            </w:pPr>
            <w:r/>
            <w:r>
              <w:rPr>
                <w:b w:val="0"/>
                <w:sz w:val="18"/>
              </w:rPr>
              <w:t>1.7617</w:t>
            </w:r>
          </w:p>
        </w:tc>
        <w:tc>
          <w:tcPr>
            <w:tcW w:type="dxa" w:w="1608"/>
            <w:vAlign w:val="center"/>
          </w:tcPr>
          <w:p>
            <w:pPr>
              <w:spacing w:after="0"/>
            </w:pPr>
            <w:r/>
            <w:r>
              <w:rPr>
                <w:b w:val="0"/>
                <w:sz w:val="18"/>
              </w:rPr>
              <w:t>0.0545</w:t>
            </w:r>
          </w:p>
        </w:tc>
        <w:tc>
          <w:tcPr>
            <w:tcW w:type="dxa" w:w="1608"/>
            <w:vAlign w:val="center"/>
          </w:tcPr>
          <w:p>
            <w:pPr>
              <w:spacing w:after="0"/>
            </w:pPr>
            <w:r/>
            <w:r>
              <w:rPr>
                <w:b w:val="0"/>
                <w:sz w:val="18"/>
              </w:rPr>
              <w:t>1.8162</w:t>
            </w:r>
          </w:p>
        </w:tc>
      </w:tr>
    </w:tbl>
    <w:p/>
    <w:p>
      <w:pPr>
        <w:spacing w:after="140" w:line="269" w:lineRule="auto"/>
      </w:pPr>
      <w:r>
        <w:t>Pareto front에서 약 1.44일 부근의 knee는 빠른 transfer 대비 Delta V를 크게 줄이는 좋은 참고점이다. 그러나 실제 제출 대표해의 priority를 '4일 이내 초기운용 가능성'과 '그 안의 연료 최소화'로 정하면, 3.47일 해가 더 적합하다. 1.44일 해와 비교하면 약 2.03일을 더 사용하지만 total Delta V를 약 0.064 km/s 더 줄일 수 있고, 여전히 4일 이내 운용 창을 만족한다.</w:t>
      </w:r>
    </w:p>
    <w:tbl>
      <w:tblPr>
        <w:tblW w:type="auto" w:w="0"/>
        <w:jc w:val="center"/>
        <w:tblLayout w:type="autofit"/>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4824"/>
        <w:gridCol w:w="4824"/>
      </w:tblGrid>
      <w:tr>
        <w:tc>
          <w:tcPr>
            <w:tcW w:type="dxa" w:w="4824"/>
            <w:vAlign w:val="center"/>
            <w:shd w:fill="D9EAF7"/>
          </w:tcPr>
          <w:p>
            <w:pPr>
              <w:spacing w:after="0"/>
            </w:pPr>
            <w:r/>
            <w:r>
              <w:rPr>
                <w:b/>
                <w:sz w:val="18"/>
              </w:rPr>
              <w:t>Selected method</w:t>
            </w:r>
          </w:p>
        </w:tc>
        <w:tc>
          <w:tcPr>
            <w:tcW w:type="dxa" w:w="4824"/>
            <w:vAlign w:val="center"/>
          </w:tcPr>
          <w:p>
            <w:pPr>
              <w:spacing w:after="0"/>
            </w:pPr>
            <w:r/>
            <w:r>
              <w:rPr>
                <w:b w:val="0"/>
                <w:sz w:val="18"/>
              </w:rPr>
              <w:t>MultiRevLambert</w:t>
            </w:r>
          </w:p>
        </w:tc>
      </w:tr>
      <w:tr>
        <w:tc>
          <w:tcPr>
            <w:tcW w:type="dxa" w:w="4824"/>
            <w:vAlign w:val="center"/>
            <w:shd w:fill="D9EAF7"/>
          </w:tcPr>
          <w:p>
            <w:pPr>
              <w:spacing w:after="0"/>
            </w:pPr>
            <w:r/>
            <w:r>
              <w:rPr>
                <w:b/>
                <w:sz w:val="18"/>
              </w:rPr>
              <w:t>Direction/detail</w:t>
            </w:r>
          </w:p>
        </w:tc>
        <w:tc>
          <w:tcPr>
            <w:tcW w:type="dxa" w:w="4824"/>
            <w:vAlign w:val="center"/>
          </w:tcPr>
          <w:p>
            <w:pPr>
              <w:spacing w:after="0"/>
            </w:pPr>
            <w:r/>
            <w:r>
              <w:rPr>
                <w:b w:val="0"/>
                <w:sz w:val="18"/>
              </w:rPr>
              <w:t>Prograde, M=3, low</w:t>
            </w:r>
          </w:p>
        </w:tc>
      </w:tr>
      <w:tr>
        <w:tc>
          <w:tcPr>
            <w:tcW w:type="dxa" w:w="4824"/>
            <w:vAlign w:val="center"/>
            <w:shd w:fill="D9EAF7"/>
          </w:tcPr>
          <w:p>
            <w:pPr>
              <w:spacing w:after="0"/>
            </w:pPr>
            <w:r/>
            <w:r>
              <w:rPr>
                <w:b/>
                <w:sz w:val="18"/>
              </w:rPr>
              <w:t>Transfer duration</w:t>
            </w:r>
          </w:p>
        </w:tc>
        <w:tc>
          <w:tcPr>
            <w:tcW w:type="dxa" w:w="4824"/>
            <w:vAlign w:val="center"/>
          </w:tcPr>
          <w:p>
            <w:pPr>
              <w:spacing w:after="0"/>
            </w:pPr>
            <w:r/>
            <w:r>
              <w:rPr>
                <w:b w:val="0"/>
                <w:sz w:val="18"/>
              </w:rPr>
              <w:t>3.4709 days</w:t>
            </w:r>
          </w:p>
        </w:tc>
      </w:tr>
      <w:tr>
        <w:tc>
          <w:tcPr>
            <w:tcW w:type="dxa" w:w="4824"/>
            <w:vAlign w:val="center"/>
            <w:shd w:fill="D9EAF7"/>
          </w:tcPr>
          <w:p>
            <w:pPr>
              <w:spacing w:after="0"/>
            </w:pPr>
            <w:r/>
            <w:r>
              <w:rPr>
                <w:b/>
                <w:sz w:val="18"/>
              </w:rPr>
              <w:t>Delta V1</w:t>
            </w:r>
          </w:p>
        </w:tc>
        <w:tc>
          <w:tcPr>
            <w:tcW w:type="dxa" w:w="4824"/>
            <w:vAlign w:val="center"/>
          </w:tcPr>
          <w:p>
            <w:pPr>
              <w:spacing w:after="0"/>
            </w:pPr>
            <w:r/>
            <w:r>
              <w:rPr>
                <w:b w:val="0"/>
                <w:sz w:val="18"/>
              </w:rPr>
              <w:t>1.6784 km/s</w:t>
            </w:r>
          </w:p>
        </w:tc>
      </w:tr>
      <w:tr>
        <w:tc>
          <w:tcPr>
            <w:tcW w:type="dxa" w:w="4824"/>
            <w:vAlign w:val="center"/>
            <w:shd w:fill="D9EAF7"/>
          </w:tcPr>
          <w:p>
            <w:pPr>
              <w:spacing w:after="0"/>
            </w:pPr>
            <w:r/>
            <w:r>
              <w:rPr>
                <w:b/>
                <w:sz w:val="18"/>
              </w:rPr>
              <w:t>Delta V2</w:t>
            </w:r>
          </w:p>
        </w:tc>
        <w:tc>
          <w:tcPr>
            <w:tcW w:type="dxa" w:w="4824"/>
            <w:vAlign w:val="center"/>
          </w:tcPr>
          <w:p>
            <w:pPr>
              <w:spacing w:after="0"/>
            </w:pPr>
            <w:r/>
            <w:r>
              <w:rPr>
                <w:b w:val="0"/>
                <w:sz w:val="18"/>
              </w:rPr>
              <w:t>0.1616 km/s</w:t>
            </w:r>
          </w:p>
        </w:tc>
      </w:tr>
      <w:tr>
        <w:tc>
          <w:tcPr>
            <w:tcW w:type="dxa" w:w="4824"/>
            <w:vAlign w:val="center"/>
            <w:shd w:fill="D9EAF7"/>
          </w:tcPr>
          <w:p>
            <w:pPr>
              <w:spacing w:after="0"/>
            </w:pPr>
            <w:r/>
            <w:r>
              <w:rPr>
                <w:b/>
                <w:sz w:val="18"/>
              </w:rPr>
              <w:t>Total Delta V</w:t>
            </w:r>
          </w:p>
        </w:tc>
        <w:tc>
          <w:tcPr>
            <w:tcW w:type="dxa" w:w="4824"/>
            <w:vAlign w:val="center"/>
          </w:tcPr>
          <w:p>
            <w:pPr>
              <w:spacing w:after="0"/>
            </w:pPr>
            <w:r/>
            <w:r>
              <w:rPr>
                <w:b w:val="0"/>
                <w:sz w:val="18"/>
              </w:rPr>
              <w:t>1.8400 km/s</w:t>
            </w:r>
          </w:p>
        </w:tc>
      </w:tr>
      <w:tr>
        <w:tc>
          <w:tcPr>
            <w:tcW w:type="dxa" w:w="4824"/>
            <w:vAlign w:val="center"/>
            <w:shd w:fill="D9EAF7"/>
          </w:tcPr>
          <w:p>
            <w:pPr>
              <w:spacing w:after="0"/>
            </w:pPr>
            <w:r/>
            <w:r>
              <w:rPr>
                <w:b/>
                <w:sz w:val="18"/>
              </w:rPr>
              <w:t>Final position error</w:t>
            </w:r>
          </w:p>
        </w:tc>
        <w:tc>
          <w:tcPr>
            <w:tcW w:type="dxa" w:w="4824"/>
            <w:vAlign w:val="center"/>
          </w:tcPr>
          <w:p>
            <w:pPr>
              <w:spacing w:after="0"/>
            </w:pPr>
            <w:r/>
            <w:r>
              <w:rPr>
                <w:b w:val="0"/>
                <w:sz w:val="18"/>
              </w:rPr>
              <w:t>0.000137 km</w:t>
            </w:r>
          </w:p>
        </w:tc>
      </w:tr>
    </w:tbl>
    <w:p/>
    <w:p>
      <w:pPr>
        <w:pStyle w:val="Heading1"/>
      </w:pPr>
      <w:r>
        <w:rPr>
          <w:color w:val="1F4E79"/>
        </w:rPr>
        <w:t>6. 결과 그림</w:t>
      </w:r>
    </w:p>
    <w:p>
      <w:pPr>
        <w:spacing w:after="140" w:line="269" w:lineRule="auto"/>
      </w:pPr>
      <w:r>
        <w:t>MATLAB 실행 후 results 폴더에는 Pareto front, 3D trajectory, radius history, maneuver magnitude, final position error, KHU visibility 그림과 rendezvous animation GIF가 저장된다.</w:t>
      </w:r>
    </w:p>
    <w:p>
      <w:pPr>
        <w:jc w:val="center"/>
      </w:pPr>
      <w:r>
        <w:drawing>
          <wp:inline xmlns:a="http://schemas.openxmlformats.org/drawingml/2006/main" xmlns:pic="http://schemas.openxmlformats.org/drawingml/2006/picture">
            <wp:extent cx="5669280" cy="3733290"/>
            <wp:docPr id="1" name="Picture 1"/>
            <wp:cNvGraphicFramePr>
              <a:graphicFrameLocks noChangeAspect="1"/>
            </wp:cNvGraphicFramePr>
            <a:graphic>
              <a:graphicData uri="http://schemas.openxmlformats.org/drawingml/2006/picture">
                <pic:pic>
                  <pic:nvPicPr>
                    <pic:cNvPr id="0" name="Pareto_dV_vs_TOF.png"/>
                    <pic:cNvPicPr/>
                  </pic:nvPicPr>
                  <pic:blipFill>
                    <a:blip r:embed="rId10"/>
                    <a:stretch>
                      <a:fillRect/>
                    </a:stretch>
                  </pic:blipFill>
                  <pic:spPr>
                    <a:xfrm>
                      <a:off x="0" y="0"/>
                      <a:ext cx="5669280" cy="3733290"/>
                    </a:xfrm>
                    <a:prstGeom prst="rect"/>
                  </pic:spPr>
                </pic:pic>
              </a:graphicData>
            </a:graphic>
          </wp:inline>
        </w:drawing>
      </w:r>
    </w:p>
    <w:p>
      <w:pPr>
        <w:spacing w:after="160"/>
        <w:jc w:val="center"/>
      </w:pPr>
      <w:r>
        <w:rPr>
          <w:i/>
          <w:color w:val="5B6770"/>
          <w:sz w:val="18"/>
        </w:rPr>
        <w:t>Figure 1. Pareto front of total Delta V versus transfer duration.</w:t>
      </w:r>
    </w:p>
    <w:p>
      <w:pPr>
        <w:jc w:val="center"/>
      </w:pPr>
      <w:r>
        <w:drawing>
          <wp:inline xmlns:a="http://schemas.openxmlformats.org/drawingml/2006/main" xmlns:pic="http://schemas.openxmlformats.org/drawingml/2006/picture">
            <wp:extent cx="5303520" cy="3295592"/>
            <wp:docPr id="2" name="Picture 2"/>
            <wp:cNvGraphicFramePr>
              <a:graphicFrameLocks noChangeAspect="1"/>
            </wp:cNvGraphicFramePr>
            <a:graphic>
              <a:graphicData uri="http://schemas.openxmlformats.org/drawingml/2006/picture">
                <pic:pic>
                  <pic:nvPicPr>
                    <pic:cNvPr id="0" name="Trajectory3D.png"/>
                    <pic:cNvPicPr/>
                  </pic:nvPicPr>
                  <pic:blipFill>
                    <a:blip r:embed="rId11"/>
                    <a:stretch>
                      <a:fillRect/>
                    </a:stretch>
                  </pic:blipFill>
                  <pic:spPr>
                    <a:xfrm>
                      <a:off x="0" y="0"/>
                      <a:ext cx="5303520" cy="3295592"/>
                    </a:xfrm>
                    <a:prstGeom prst="rect"/>
                  </pic:spPr>
                </pic:pic>
              </a:graphicData>
            </a:graphic>
          </wp:inline>
        </w:drawing>
      </w:r>
    </w:p>
    <w:p>
      <w:pPr>
        <w:spacing w:after="160"/>
        <w:jc w:val="center"/>
      </w:pPr>
      <w:r>
        <w:rPr>
          <w:i/>
          <w:color w:val="5B6770"/>
          <w:sz w:val="18"/>
        </w:rPr>
        <w:t>Figure 2. Selected transfer trajectory and moving target state.</w:t>
      </w:r>
    </w:p>
    <w:p>
      <w:pPr>
        <w:jc w:val="center"/>
      </w:pPr>
      <w:r>
        <w:drawing>
          <wp:inline xmlns:a="http://schemas.openxmlformats.org/drawingml/2006/main" xmlns:pic="http://schemas.openxmlformats.org/drawingml/2006/picture">
            <wp:extent cx="5303520" cy="3484643"/>
            <wp:docPr id="3" name="Picture 3"/>
            <wp:cNvGraphicFramePr>
              <a:graphicFrameLocks noChangeAspect="1"/>
            </wp:cNvGraphicFramePr>
            <a:graphic>
              <a:graphicData uri="http://schemas.openxmlformats.org/drawingml/2006/picture">
                <pic:pic>
                  <pic:nvPicPr>
                    <pic:cNvPr id="0" name="Radius_vs_Time.png"/>
                    <pic:cNvPicPr/>
                  </pic:nvPicPr>
                  <pic:blipFill>
                    <a:blip r:embed="rId12"/>
                    <a:stretch>
                      <a:fillRect/>
                    </a:stretch>
                  </pic:blipFill>
                  <pic:spPr>
                    <a:xfrm>
                      <a:off x="0" y="0"/>
                      <a:ext cx="5303520" cy="3484643"/>
                    </a:xfrm>
                    <a:prstGeom prst="rect"/>
                  </pic:spPr>
                </pic:pic>
              </a:graphicData>
            </a:graphic>
          </wp:inline>
        </w:drawing>
      </w:r>
    </w:p>
    <w:p>
      <w:pPr>
        <w:spacing w:after="160"/>
        <w:jc w:val="center"/>
      </w:pPr>
      <w:r>
        <w:rPr>
          <w:i/>
          <w:color w:val="5B6770"/>
          <w:sz w:val="18"/>
        </w:rPr>
        <w:t>Figure 3. Spacecraft radius history.</w:t>
      </w:r>
    </w:p>
    <w:p>
      <w:pPr>
        <w:jc w:val="center"/>
      </w:pPr>
      <w:r>
        <w:drawing>
          <wp:inline xmlns:a="http://schemas.openxmlformats.org/drawingml/2006/main" xmlns:pic="http://schemas.openxmlformats.org/drawingml/2006/picture">
            <wp:extent cx="5029200" cy="3227470"/>
            <wp:docPr id="4" name="Picture 4"/>
            <wp:cNvGraphicFramePr>
              <a:graphicFrameLocks noChangeAspect="1"/>
            </wp:cNvGraphicFramePr>
            <a:graphic>
              <a:graphicData uri="http://schemas.openxmlformats.org/drawingml/2006/picture">
                <pic:pic>
                  <pic:nvPicPr>
                    <pic:cNvPr id="0" name="DeltaV_Maneuvers.png"/>
                    <pic:cNvPicPr/>
                  </pic:nvPicPr>
                  <pic:blipFill>
                    <a:blip r:embed="rId13"/>
                    <a:stretch>
                      <a:fillRect/>
                    </a:stretch>
                  </pic:blipFill>
                  <pic:spPr>
                    <a:xfrm>
                      <a:off x="0" y="0"/>
                      <a:ext cx="5029200" cy="3227470"/>
                    </a:xfrm>
                    <a:prstGeom prst="rect"/>
                  </pic:spPr>
                </pic:pic>
              </a:graphicData>
            </a:graphic>
          </wp:inline>
        </w:drawing>
      </w:r>
    </w:p>
    <w:p>
      <w:pPr>
        <w:spacing w:after="160"/>
        <w:jc w:val="center"/>
      </w:pPr>
      <w:r>
        <w:rPr>
          <w:i/>
          <w:color w:val="5B6770"/>
          <w:sz w:val="18"/>
        </w:rPr>
        <w:t>Figure 4. Impulsive maneuver magnitudes.</w:t>
      </w:r>
    </w:p>
    <w:p>
      <w:pPr>
        <w:jc w:val="center"/>
      </w:pPr>
      <w:r>
        <w:drawing>
          <wp:inline xmlns:a="http://schemas.openxmlformats.org/drawingml/2006/main" xmlns:pic="http://schemas.openxmlformats.org/drawingml/2006/picture">
            <wp:extent cx="5303520" cy="3472449"/>
            <wp:docPr id="5" name="Picture 5"/>
            <wp:cNvGraphicFramePr>
              <a:graphicFrameLocks noChangeAspect="1"/>
            </wp:cNvGraphicFramePr>
            <a:graphic>
              <a:graphicData uri="http://schemas.openxmlformats.org/drawingml/2006/picture">
                <pic:pic>
                  <pic:nvPicPr>
                    <pic:cNvPr id="0" name="Position_Error_Final_Window.png"/>
                    <pic:cNvPicPr/>
                  </pic:nvPicPr>
                  <pic:blipFill>
                    <a:blip r:embed="rId14"/>
                    <a:stretch>
                      <a:fillRect/>
                    </a:stretch>
                  </pic:blipFill>
                  <pic:spPr>
                    <a:xfrm>
                      <a:off x="0" y="0"/>
                      <a:ext cx="5303520" cy="3472449"/>
                    </a:xfrm>
                    <a:prstGeom prst="rect"/>
                  </pic:spPr>
                </pic:pic>
              </a:graphicData>
            </a:graphic>
          </wp:inline>
        </w:drawing>
      </w:r>
    </w:p>
    <w:p>
      <w:pPr>
        <w:spacing w:after="160"/>
        <w:jc w:val="center"/>
      </w:pPr>
      <w:r>
        <w:rPr>
          <w:i/>
          <w:color w:val="5B6770"/>
          <w:sz w:val="18"/>
        </w:rPr>
        <w:t>Figure 5. Position error near final target epoch.</w:t>
      </w:r>
    </w:p>
    <w:p>
      <w:pPr>
        <w:jc w:val="center"/>
      </w:pPr>
      <w:r>
        <w:drawing>
          <wp:inline xmlns:a="http://schemas.openxmlformats.org/drawingml/2006/main" xmlns:pic="http://schemas.openxmlformats.org/drawingml/2006/picture">
            <wp:extent cx="5303520" cy="3475902"/>
            <wp:docPr id="6" name="Picture 6"/>
            <wp:cNvGraphicFramePr>
              <a:graphicFrameLocks noChangeAspect="1"/>
            </wp:cNvGraphicFramePr>
            <a:graphic>
              <a:graphicData uri="http://schemas.openxmlformats.org/drawingml/2006/picture">
                <pic:pic>
                  <pic:nvPicPr>
                    <pic:cNvPr id="0" name="KHU_Visibility.png"/>
                    <pic:cNvPicPr/>
                  </pic:nvPicPr>
                  <pic:blipFill>
                    <a:blip r:embed="rId15"/>
                    <a:stretch>
                      <a:fillRect/>
                    </a:stretch>
                  </pic:blipFill>
                  <pic:spPr>
                    <a:xfrm>
                      <a:off x="0" y="0"/>
                      <a:ext cx="5303520" cy="3475902"/>
                    </a:xfrm>
                    <a:prstGeom prst="rect"/>
                  </pic:spPr>
                </pic:pic>
              </a:graphicData>
            </a:graphic>
          </wp:inline>
        </w:drawing>
      </w:r>
    </w:p>
    <w:p>
      <w:pPr>
        <w:spacing w:after="160"/>
        <w:jc w:val="center"/>
      </w:pPr>
      <w:r>
        <w:rPr>
          <w:i/>
          <w:color w:val="5B6770"/>
          <w:sz w:val="18"/>
        </w:rPr>
        <w:t>Figure 6. Visibility intervals from KHU.</w:t>
      </w:r>
    </w:p>
    <w:p>
      <w:pPr>
        <w:pStyle w:val="Heading1"/>
      </w:pPr>
      <w:r>
        <w:rPr>
          <w:color w:val="1F4E79"/>
        </w:rPr>
        <w:t>7. 결론</w:t>
      </w:r>
    </w:p>
    <w:p>
      <w:pPr>
        <w:spacing w:after="140" w:line="269" w:lineRule="auto"/>
      </w:pPr>
      <w:r>
        <w:t>최종 코드는 교수님 답변을 반영하여 Section 3.2 target state vector를 사용하고, target motion을 two-body dynamics로 전파한다. 또한 대표 설계점은 사후적으로 보기 좋은 점을 고른 것이 아니라, 실제 위성 초기 운용에서 합리적인 4일 이내 운용 창을 먼저 정하고 그 안에서 total Delta V를 최소화하는 방식으로 결정하였다.</w:t>
      </w:r>
    </w:p>
    <w:p>
      <w:pPr>
        <w:spacing w:after="140" w:line="269" w:lineRule="auto"/>
      </w:pPr>
      <w:r>
        <w:t>따라서 제출 대표해는 Delta t = 3.4709 days, total Delta V = 1.8400 km/s이다. 이 해는 1일 내외의 빠른 transfer보다 연료 소모를 크게 줄이면서도, 10일대 전역 minimum-fuel 해에 비해 초기 운용 지연을 크게 줄이는 절충해이다.</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