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50"/>
        </w:rPr>
        <w:t>SPACE312 Final Project</w:t>
      </w:r>
    </w:p>
    <w:p>
      <w:pPr>
        <w:jc w:val="center"/>
      </w:pPr>
      <w:r>
        <w:rPr>
          <w:b/>
          <w:sz w:val="34"/>
        </w:rPr>
        <w:t>GTO-to-GEO Transfer Trajectory Optimization</w:t>
      </w:r>
    </w:p>
    <w:p>
      <w:pPr>
        <w:jc w:val="center"/>
      </w:pPr>
      <w:r>
        <w:rPr>
          <w:sz w:val="26"/>
        </w:rPr>
        <w:t>Mission Target: GEO-KOMPSAT-2A</w:t>
      </w:r>
    </w:p>
    <w:p/>
    <w:tbl>
      <w:tblPr>
        <w:tblW w:type="auto" w:w="0"/>
        <w:jc w:val="center"/>
        <w:tblLayout w:type="autofit"/>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4824"/>
        <w:gridCol w:w="4824"/>
      </w:tblGrid>
      <w:tr>
        <w:tc>
          <w:tcPr>
            <w:tcW w:type="dxa" w:w="4824"/>
            <w:vAlign w:val="center"/>
            <w:shd w:fill="D9EAF7"/>
          </w:tcPr>
          <w:p>
            <w:pPr>
              <w:spacing w:after="0"/>
            </w:pPr>
            <w:r/>
            <w:r>
              <w:rPr>
                <w:b/>
                <w:sz w:val="18"/>
              </w:rPr>
              <w:t>교과목</w:t>
            </w:r>
          </w:p>
        </w:tc>
        <w:tc>
          <w:tcPr>
            <w:tcW w:type="dxa" w:w="4824"/>
            <w:vAlign w:val="center"/>
          </w:tcPr>
          <w:p>
            <w:pPr>
              <w:spacing w:after="0"/>
            </w:pPr>
            <w:r/>
            <w:r>
              <w:rPr>
                <w:b w:val="0"/>
                <w:sz w:val="18"/>
              </w:rPr>
              <w:t>SPACE312 우주비행역학</w:t>
            </w:r>
          </w:p>
        </w:tc>
      </w:tr>
      <w:tr>
        <w:tc>
          <w:tcPr>
            <w:tcW w:type="dxa" w:w="4824"/>
            <w:vAlign w:val="center"/>
            <w:shd w:fill="D9EAF7"/>
          </w:tcPr>
          <w:p>
            <w:pPr>
              <w:spacing w:after="0"/>
            </w:pPr>
            <w:r/>
            <w:r>
              <w:rPr>
                <w:b/>
                <w:sz w:val="18"/>
              </w:rPr>
              <w:t>과제명</w:t>
            </w:r>
          </w:p>
        </w:tc>
        <w:tc>
          <w:tcPr>
            <w:tcW w:type="dxa" w:w="4824"/>
            <w:vAlign w:val="center"/>
          </w:tcPr>
          <w:p>
            <w:pPr>
              <w:spacing w:after="0"/>
            </w:pPr>
            <w:r/>
            <w:r>
              <w:rPr>
                <w:b w:val="0"/>
                <w:sz w:val="18"/>
              </w:rPr>
              <w:t>Final Project</w:t>
            </w:r>
          </w:p>
        </w:tc>
      </w:tr>
      <w:tr>
        <w:tc>
          <w:tcPr>
            <w:tcW w:type="dxa" w:w="4824"/>
            <w:vAlign w:val="center"/>
            <w:shd w:fill="D9EAF7"/>
          </w:tcPr>
          <w:p>
            <w:pPr>
              <w:spacing w:after="0"/>
            </w:pPr>
            <w:r/>
            <w:r>
              <w:rPr>
                <w:b/>
                <w:sz w:val="18"/>
              </w:rPr>
              <w:t>학생</w:t>
            </w:r>
          </w:p>
        </w:tc>
        <w:tc>
          <w:tcPr>
            <w:tcW w:type="dxa" w:w="4824"/>
            <w:vAlign w:val="center"/>
          </w:tcPr>
          <w:p>
            <w:pPr>
              <w:spacing w:after="0"/>
            </w:pPr>
            <w:r/>
            <w:r>
              <w:rPr>
                <w:b w:val="0"/>
                <w:sz w:val="18"/>
              </w:rPr>
              <w:t>2024105257 서혜인</w:t>
            </w:r>
          </w:p>
        </w:tc>
      </w:tr>
      <w:tr>
        <w:tc>
          <w:tcPr>
            <w:tcW w:type="dxa" w:w="4824"/>
            <w:vAlign w:val="center"/>
            <w:shd w:fill="D9EAF7"/>
          </w:tcPr>
          <w:p>
            <w:pPr>
              <w:spacing w:after="0"/>
            </w:pPr>
            <w:r/>
            <w:r>
              <w:rPr>
                <w:b/>
                <w:sz w:val="18"/>
              </w:rPr>
              <w:t>초기 시각</w:t>
            </w:r>
          </w:p>
        </w:tc>
        <w:tc>
          <w:tcPr>
            <w:tcW w:type="dxa" w:w="4824"/>
            <w:vAlign w:val="center"/>
          </w:tcPr>
          <w:p>
            <w:pPr>
              <w:spacing w:after="0"/>
            </w:pPr>
            <w:r/>
            <w:r>
              <w:rPr>
                <w:b w:val="0"/>
                <w:sz w:val="18"/>
              </w:rPr>
              <w:t>2026-06-01 00:00:00 UTC</w:t>
            </w:r>
          </w:p>
        </w:tc>
      </w:tr>
      <w:tr>
        <w:tc>
          <w:tcPr>
            <w:tcW w:type="dxa" w:w="4824"/>
            <w:vAlign w:val="center"/>
            <w:shd w:fill="D9EAF7"/>
          </w:tcPr>
          <w:p>
            <w:pPr>
              <w:spacing w:after="0"/>
            </w:pPr>
            <w:r/>
            <w:r>
              <w:rPr>
                <w:b/>
                <w:sz w:val="18"/>
              </w:rPr>
              <w:t>동역학 모델</w:t>
            </w:r>
          </w:p>
        </w:tc>
        <w:tc>
          <w:tcPr>
            <w:tcW w:type="dxa" w:w="4824"/>
            <w:vAlign w:val="center"/>
          </w:tcPr>
          <w:p>
            <w:pPr>
              <w:spacing w:after="0"/>
            </w:pPr>
            <w:r/>
            <w:r>
              <w:rPr>
                <w:b w:val="0"/>
                <w:sz w:val="18"/>
              </w:rPr>
              <w:t>지구 중심 2체 문제</w:t>
            </w:r>
          </w:p>
        </w:tc>
      </w:tr>
      <w:tr>
        <w:tc>
          <w:tcPr>
            <w:tcW w:type="dxa" w:w="4824"/>
            <w:vAlign w:val="center"/>
            <w:shd w:fill="D9EAF7"/>
          </w:tcPr>
          <w:p>
            <w:pPr>
              <w:spacing w:after="0"/>
            </w:pPr>
            <w:r/>
            <w:r>
              <w:rPr>
                <w:b/>
                <w:sz w:val="18"/>
              </w:rPr>
              <w:t>최적화 목표</w:t>
            </w:r>
          </w:p>
        </w:tc>
        <w:tc>
          <w:tcPr>
            <w:tcW w:type="dxa" w:w="4824"/>
            <w:vAlign w:val="center"/>
          </w:tcPr>
          <w:p>
            <w:pPr>
              <w:spacing w:after="0"/>
            </w:pPr>
            <w:r/>
            <w:r>
              <w:rPr>
                <w:b w:val="0"/>
                <w:sz w:val="18"/>
              </w:rPr>
              <w:t>총 impulsive dV와 전이 시간의 Pareto 최적화</w:t>
            </w:r>
          </w:p>
        </w:tc>
      </w:tr>
    </w:tbl>
    <w:p/>
    <w:p>
      <w:pPr>
        <w:spacing w:before="480"/>
        <w:jc w:val="center"/>
      </w:pPr>
      <w:r>
        <w:rPr>
          <w:i/>
          <w:sz w:val="21"/>
        </w:rPr>
        <w:t>본 보고서는 최종 궤적 결과뿐 아니라, 왜 Lambert 전이만으로 끝내지 않고 GEO 반경 phasing 해를 추가로 탐색했는지를 논리적으로 정리한다.</w:t>
      </w:r>
    </w:p>
    <w:p>
      <w:r>
        <w:br w:type="page"/>
      </w:r>
    </w:p>
    <w:p>
      <w:pPr>
        <w:pStyle w:val="Heading1"/>
      </w:pPr>
      <w:r>
        <w:rPr>
          <w:color w:val="1F4E79"/>
        </w:rPr>
        <w:t>목차</w:t>
      </w:r>
    </w:p>
    <w:p>
      <w:pPr>
        <w:spacing w:after="40"/>
        <w:ind w:left="216"/>
      </w:pPr>
      <w:r>
        <w:t>1. 요약</w:t>
      </w:r>
    </w:p>
    <w:p>
      <w:pPr>
        <w:spacing w:after="40"/>
        <w:ind w:left="216"/>
      </w:pPr>
      <w:r>
        <w:t>2. 문제 해석 및 기본 가정</w:t>
      </w:r>
    </w:p>
    <w:p>
      <w:pPr>
        <w:spacing w:after="40"/>
        <w:ind w:left="216"/>
      </w:pPr>
      <w:r>
        <w:t>3. 목표 상태 검산</w:t>
      </w:r>
    </w:p>
    <w:p>
      <w:pPr>
        <w:spacing w:after="40"/>
        <w:ind w:left="216"/>
      </w:pPr>
      <w:r>
        <w:t>4. 최적화 문제 정식화</w:t>
      </w:r>
    </w:p>
    <w:p>
      <w:pPr>
        <w:spacing w:after="40"/>
        <w:ind w:left="216"/>
      </w:pPr>
      <w:r>
        <w:t>5. 풀이 전략: Lambert에서 phasing으로</w:t>
      </w:r>
    </w:p>
    <w:p>
      <w:pPr>
        <w:spacing w:after="40"/>
        <w:ind w:left="216"/>
      </w:pPr>
      <w:r>
        <w:t>6. Baseline Lambert 전이 결과</w:t>
      </w:r>
    </w:p>
    <w:p>
      <w:pPr>
        <w:spacing w:after="40"/>
        <w:ind w:left="216"/>
      </w:pPr>
      <w:r>
        <w:t>7. GEO 반경 phasing family</w:t>
      </w:r>
    </w:p>
    <w:p>
      <w:pPr>
        <w:spacing w:after="40"/>
        <w:ind w:left="216"/>
      </w:pPr>
      <w:r>
        <w:t>8. Pareto 해석 및 대표 해</w:t>
      </w:r>
    </w:p>
    <w:p>
      <w:pPr>
        <w:spacing w:after="40"/>
        <w:ind w:left="216"/>
      </w:pPr>
      <w:r>
        <w:t>9. 최종 선택 궤적과 가시성 분석</w:t>
      </w:r>
    </w:p>
    <w:p>
      <w:pPr>
        <w:spacing w:after="40"/>
        <w:ind w:left="216"/>
      </w:pPr>
      <w:r>
        <w:t>10. 결론</w:t>
      </w:r>
    </w:p>
    <w:p>
      <w:pPr>
        <w:spacing w:after="40"/>
        <w:ind w:left="216"/>
      </w:pPr>
      <w:r>
        <w:t>부록 A. MATLAB 구현 요약</w:t>
      </w:r>
    </w:p>
    <w:p>
      <w:r>
        <w:br w:type="page"/>
      </w:r>
    </w:p>
    <w:p>
      <w:pPr>
        <w:pStyle w:val="Heading1"/>
      </w:pPr>
      <w:r>
        <w:rPr>
          <w:color w:val="1F4E79"/>
        </w:rPr>
        <w:t>1. 요약</w:t>
      </w:r>
    </w:p>
    <w:p>
      <w:pPr>
        <w:spacing w:after="140" w:line="269" w:lineRule="auto"/>
      </w:pPr>
      <w:r>
        <w:t>본 과제는 GTO에서 GEO-KOMPSAT-2A의 GEO 위치로 전이하는 궤적을 설계하는 문제이다. 평가 기준은 하나의 최소값이 아니라 총 dV와 전이 시간 Delta t의 Pareto optimal set이므로, 단순히 가장 빠른 궤적 또는 가장 dV가 작은 궤적 하나만 제시하는 것은 충분하지 않다고 판단하였다.</w:t>
      </w:r>
    </w:p>
    <w:p>
      <w:pPr>
        <w:spacing w:after="140" w:line="269" w:lineRule="auto"/>
      </w:pPr>
      <w:r>
        <w:t>처음에는 강의에서 다룬 Lambert rendezvous 문제와 pork-chop 탐색 방법을 그대로 적용하였다. 즉, 각 전이 시간에 대해 GEO target을 미래 시각까지 전파하고, 초기 GTO 위치에서 해당 target 위치까지 Lambert 문제를 풀어 dV를 계산하였다. 이 방법은 빠른 전이 영역의 Pareto 해를 잘 제공한다.</w:t>
      </w:r>
    </w:p>
    <w:p>
      <w:pPr>
        <w:spacing w:after="140" w:line="269" w:lineRule="auto"/>
      </w:pPr>
      <w:r>
        <w:t>하지만 결과를 검토하는 과정에서 중요한 기하학적 특징을 발견하였다. 우주선은 GTO의 apogee에서 출발하며, 이 지점의 반경은 이미 GEO 반경과 같다. 따라서 반경을 크게 바꾸는 전이가 아니라, 같은 GEO 반경 근처에서 위상을 맞추는 phasing orbit을 사용하면 더 작은 dV가 가능하다고 판단하였다. 이 판단에 따라 Lambert 해와 GEO 반경 phasing 해를 함께 탐색하여 최종 Pareto front를 구성하였다.</w:t>
      </w:r>
    </w:p>
    <w:p>
      <w:pPr>
        <w:spacing w:after="140" w:line="269" w:lineRule="auto"/>
      </w:pPr>
      <w:r>
        <w:t>최종적으로 보고서의 주 설계점은 균형 해로 선정하였다. 이 해는 Delta t = 3.4424 days, dV1 = 1.5980 km/s, dV2 = 0.1631 km/s, 총 dV = 1.7611 km/s이다. 최저 dV 한계점은 29.3714 days, 1.7491 km/s로 별도 제시하였다.</w:t>
      </w:r>
    </w:p>
    <w:p>
      <w:pPr>
        <w:pStyle w:val="Heading1"/>
      </w:pPr>
      <w:r>
        <w:rPr>
          <w:color w:val="1F4E79"/>
        </w:rPr>
        <w:t>2. 문제 해석 및 기본 가정</w:t>
      </w:r>
    </w:p>
    <w:p>
      <w:pPr>
        <w:spacing w:after="140" w:line="269" w:lineRule="auto"/>
      </w:pPr>
      <w:r>
        <w:t>모든 위치와 속도는 ECI 좌표계에서 표현하였다. 전파 모델은 과제 조건에 맞추어 지구 중심 2체 문제만 사용하였다. 따라서 J2, 달/태양 섭동, 대기저항 등은 고려하지 않았다. 초기 상태는 주어진 GTO apogee 상태이고, 목표 상태는 GEO-KOMPSAT-2A의 단순화된 동경 128.2 deg East에 해당하는 원형 GEO 상태이다.</w:t>
      </w:r>
    </w:p>
    <w:tbl>
      <w:tblPr>
        <w:tblW w:type="auto" w:w="0"/>
        <w:jc w:val="center"/>
        <w:tblLayout w:type="autofit"/>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4824"/>
        <w:gridCol w:w="4824"/>
      </w:tblGrid>
      <w:tr>
        <w:tc>
          <w:tcPr>
            <w:tcW w:type="dxa" w:w="4824"/>
            <w:vAlign w:val="center"/>
            <w:shd w:fill="D9EAF7"/>
          </w:tcPr>
          <w:p>
            <w:pPr>
              <w:spacing w:after="0"/>
            </w:pPr>
            <w:r/>
            <w:r>
              <w:rPr>
                <w:b/>
                <w:sz w:val="18"/>
              </w:rPr>
              <w:t>mu_E</w:t>
            </w:r>
          </w:p>
        </w:tc>
        <w:tc>
          <w:tcPr>
            <w:tcW w:type="dxa" w:w="4824"/>
            <w:vAlign w:val="center"/>
          </w:tcPr>
          <w:p>
            <w:pPr>
              <w:spacing w:after="0"/>
            </w:pPr>
            <w:r/>
            <w:r>
              <w:rPr>
                <w:b w:val="0"/>
                <w:sz w:val="18"/>
              </w:rPr>
              <w:t>398600.4418 km^3/s^2</w:t>
            </w:r>
          </w:p>
        </w:tc>
      </w:tr>
      <w:tr>
        <w:tc>
          <w:tcPr>
            <w:tcW w:type="dxa" w:w="4824"/>
            <w:vAlign w:val="center"/>
            <w:shd w:fill="D9EAF7"/>
          </w:tcPr>
          <w:p>
            <w:pPr>
              <w:spacing w:after="0"/>
            </w:pPr>
            <w:r/>
            <w:r>
              <w:rPr>
                <w:b/>
                <w:sz w:val="18"/>
              </w:rPr>
              <w:t>R_E</w:t>
            </w:r>
          </w:p>
        </w:tc>
        <w:tc>
          <w:tcPr>
            <w:tcW w:type="dxa" w:w="4824"/>
            <w:vAlign w:val="center"/>
          </w:tcPr>
          <w:p>
            <w:pPr>
              <w:spacing w:after="0"/>
            </w:pPr>
            <w:r/>
            <w:r>
              <w:rPr>
                <w:b w:val="0"/>
                <w:sz w:val="18"/>
              </w:rPr>
              <w:t>6378.137 km</w:t>
            </w:r>
          </w:p>
        </w:tc>
      </w:tr>
      <w:tr>
        <w:tc>
          <w:tcPr>
            <w:tcW w:type="dxa" w:w="4824"/>
            <w:vAlign w:val="center"/>
            <w:shd w:fill="D9EAF7"/>
          </w:tcPr>
          <w:p>
            <w:pPr>
              <w:spacing w:after="0"/>
            </w:pPr>
            <w:r/>
            <w:r>
              <w:rPr>
                <w:b/>
                <w:sz w:val="18"/>
              </w:rPr>
              <w:t>omega_E</w:t>
            </w:r>
          </w:p>
        </w:tc>
        <w:tc>
          <w:tcPr>
            <w:tcW w:type="dxa" w:w="4824"/>
            <w:vAlign w:val="center"/>
          </w:tcPr>
          <w:p>
            <w:pPr>
              <w:spacing w:after="0"/>
            </w:pPr>
            <w:r/>
            <w:r>
              <w:rPr>
                <w:b w:val="0"/>
                <w:sz w:val="18"/>
              </w:rPr>
              <w:t>7.2921150e-5 rad/s</w:t>
            </w:r>
          </w:p>
        </w:tc>
      </w:tr>
      <w:tr>
        <w:tc>
          <w:tcPr>
            <w:tcW w:type="dxa" w:w="4824"/>
            <w:vAlign w:val="center"/>
            <w:shd w:fill="D9EAF7"/>
          </w:tcPr>
          <w:p>
            <w:pPr>
              <w:spacing w:after="0"/>
            </w:pPr>
            <w:r/>
            <w:r>
              <w:rPr>
                <w:b/>
                <w:sz w:val="18"/>
              </w:rPr>
              <w:t>r_GEO</w:t>
            </w:r>
          </w:p>
        </w:tc>
        <w:tc>
          <w:tcPr>
            <w:tcW w:type="dxa" w:w="4824"/>
            <w:vAlign w:val="center"/>
          </w:tcPr>
          <w:p>
            <w:pPr>
              <w:spacing w:after="0"/>
            </w:pPr>
            <w:r/>
            <w:r>
              <w:rPr>
                <w:b w:val="0"/>
                <w:sz w:val="18"/>
              </w:rPr>
              <w:t>42164.173 km</w:t>
            </w:r>
          </w:p>
        </w:tc>
      </w:tr>
      <w:tr>
        <w:tc>
          <w:tcPr>
            <w:tcW w:type="dxa" w:w="4824"/>
            <w:vAlign w:val="center"/>
            <w:shd w:fill="D9EAF7"/>
          </w:tcPr>
          <w:p>
            <w:pPr>
              <w:spacing w:after="0"/>
            </w:pPr>
            <w:r/>
            <w:r>
              <w:rPr>
                <w:b/>
                <w:sz w:val="18"/>
              </w:rPr>
              <w:t>초기 궤도</w:t>
            </w:r>
          </w:p>
        </w:tc>
        <w:tc>
          <w:tcPr>
            <w:tcW w:type="dxa" w:w="4824"/>
            <w:vAlign w:val="center"/>
          </w:tcPr>
          <w:p>
            <w:pPr>
              <w:spacing w:after="0"/>
            </w:pPr>
            <w:r/>
            <w:r>
              <w:rPr>
                <w:b w:val="0"/>
                <w:sz w:val="18"/>
              </w:rPr>
              <w:t>GTO, inclination = 24.5 deg, apogee at t0</w:t>
            </w:r>
          </w:p>
        </w:tc>
      </w:tr>
      <w:tr>
        <w:tc>
          <w:tcPr>
            <w:tcW w:type="dxa" w:w="4824"/>
            <w:vAlign w:val="center"/>
            <w:shd w:fill="D9EAF7"/>
          </w:tcPr>
          <w:p>
            <w:pPr>
              <w:spacing w:after="0"/>
            </w:pPr>
            <w:r/>
            <w:r>
              <w:rPr>
                <w:b/>
                <w:sz w:val="18"/>
              </w:rPr>
              <w:t>목표 궤도</w:t>
            </w:r>
          </w:p>
        </w:tc>
        <w:tc>
          <w:tcPr>
            <w:tcW w:type="dxa" w:w="4824"/>
            <w:vAlign w:val="center"/>
          </w:tcPr>
          <w:p>
            <w:pPr>
              <w:spacing w:after="0"/>
            </w:pPr>
            <w:r/>
            <w:r>
              <w:rPr>
                <w:b w:val="0"/>
                <w:sz w:val="18"/>
              </w:rPr>
              <w:t>Circular GEO, inclination = 0 deg</w:t>
            </w:r>
          </w:p>
        </w:tc>
      </w:tr>
      <w:tr>
        <w:tc>
          <w:tcPr>
            <w:tcW w:type="dxa" w:w="4824"/>
            <w:vAlign w:val="center"/>
            <w:shd w:fill="D9EAF7"/>
          </w:tcPr>
          <w:p>
            <w:pPr>
              <w:spacing w:after="0"/>
            </w:pPr>
            <w:r/>
            <w:r>
              <w:rPr>
                <w:b/>
                <w:sz w:val="18"/>
              </w:rPr>
              <w:t>전이 시간 제한</w:t>
            </w:r>
          </w:p>
        </w:tc>
        <w:tc>
          <w:tcPr>
            <w:tcW w:type="dxa" w:w="4824"/>
            <w:vAlign w:val="center"/>
          </w:tcPr>
          <w:p>
            <w:pPr>
              <w:spacing w:after="0"/>
            </w:pPr>
            <w:r/>
            <w:r>
              <w:rPr>
                <w:b w:val="0"/>
                <w:sz w:val="18"/>
              </w:rPr>
              <w:t>1 day &lt;= Delta t &lt;= 30 days</w:t>
            </w:r>
          </w:p>
        </w:tc>
      </w:tr>
    </w:tbl>
    <w:p/>
    <w:p>
      <w:pPr>
        <w:spacing w:after="140" w:line="269" w:lineRule="auto"/>
      </w:pPr>
      <w:r>
        <w:t>중요한 점은 GEO target을 ECI에서 고정점으로 취급하면 안 된다는 것이다. GEO 위성은 지구 자전과 같은 각속도로 움직이므로, arrival time이 달라질 때마다 target의 ECI 위치도 달라진다. 따라서 각 후보 전이 시간마다 target state를 새로 계산하였다.</w:t>
      </w:r>
    </w:p>
    <w:p>
      <w:pPr>
        <w:pStyle w:val="Heading1"/>
      </w:pPr>
      <w:r>
        <w:rPr>
          <w:color w:val="1F4E79"/>
        </w:rPr>
        <w:t>3. 목표 상태 검산</w:t>
      </w:r>
    </w:p>
    <w:p>
      <w:pPr>
        <w:spacing w:after="140" w:line="269" w:lineRule="auto"/>
      </w:pPr>
      <w:r>
        <w:t>PDF의 표를 그대로 읽는 것보다, 주어진 coordinate assumption을 먼저 검산하는 것이 필요하다고 보았다. 목표 GEO의 ECI 각도는 theta_ERA,0 + lambda_GEO로 계산된다. 이를 사용하면 t0에서의 목표 위치와 속도는 다음과 같이 얻어진다.</w:t>
      </w:r>
    </w:p>
    <w:p>
      <w:pPr>
        <w:pStyle w:val="ListBullet"/>
        <w:spacing w:after="60"/>
      </w:pPr>
      <w:r>
        <w:t>r_GEO(t0) = [40244.6079, 12577.3213, 0] km</w:t>
      </w:r>
    </w:p>
    <w:p>
      <w:pPr>
        <w:pStyle w:val="ListBullet"/>
        <w:spacing w:after="60"/>
      </w:pPr>
      <w:r>
        <w:t>v_GEO(t0) = [-0.917153, 2.934683, 0] km/s</w:t>
      </w:r>
    </w:p>
    <w:p>
      <w:pPr>
        <w:pStyle w:val="ListBullet"/>
        <w:spacing w:after="60"/>
      </w:pPr>
      <w:r>
        <w:t>||r_GEO|| = 42164.173 km, ||v_GEO|| = 3.074660 km/s</w:t>
      </w:r>
    </w:p>
    <w:p>
      <w:pPr>
        <w:spacing w:after="140" w:line="269" w:lineRule="auto"/>
      </w:pPr>
      <w:r>
        <w:t>텍스트 추출 과정에서는 x 성분이 41244.6079처럼 보일 수 있지만, 이 값을 사용하면 반경이 GEO 반경이 아니고 주어진 속도와도 수직 조건이 맞지 않는다. 따라서 본 해석에서는 표의 숫자를 무조건 입력하기보다, PDF에 명시된 ERA와 GEO longitude 정의에서 목표 상태를 계산하도록 하였다. 이 선택이 물리적으로 더 일관적이다.</w:t>
      </w:r>
    </w:p>
    <w:p>
      <w:pPr>
        <w:pStyle w:val="Heading1"/>
      </w:pPr>
      <w:r>
        <w:rPr>
          <w:color w:val="1F4E79"/>
        </w:rPr>
        <w:t>4. 최적화 문제 정식화</w:t>
      </w:r>
    </w:p>
    <w:p>
      <w:pPr>
        <w:spacing w:after="140" w:line="269" w:lineRule="auto"/>
      </w:pPr>
      <w:r>
        <w:t>목적함수는 F(x) = [sum dV, Delta t]로 두었다. 어떤 해가 Pareto optimal이라는 것은, 다른 유효 해가 동시에 더 작은 dV와 더 짧은 전이 시간을 갖지 못한다는 뜻이다. 따라서 빠르지만 dV가 큰 해와 느리지만 dV가 작은 해가 동시에 의미 있는 해가 될 수 있다.</w:t>
      </w:r>
    </w:p>
    <w:p>
      <w:pPr>
        <w:spacing w:after="140" w:line="269" w:lineRule="auto"/>
      </w:pPr>
      <w:r>
        <w:t>두 impulsive maneuver에 대한 dV 계산은 다음과 같이 하였다.</w:t>
      </w:r>
    </w:p>
    <w:p>
      <w:pPr>
        <w:pStyle w:val="ListBullet"/>
        <w:spacing w:after="60"/>
      </w:pPr>
      <w:r>
        <w:t>dV1 = ||v1_plus - v_GTO(t0)||</w:t>
      </w:r>
    </w:p>
    <w:p>
      <w:pPr>
        <w:pStyle w:val="ListBullet"/>
        <w:spacing w:after="60"/>
      </w:pPr>
      <w:r>
        <w:t>dV2 = ||v_GEO(tf) - v2_minus||</w:t>
      </w:r>
    </w:p>
    <w:p>
      <w:pPr>
        <w:pStyle w:val="ListBullet"/>
        <w:spacing w:after="60"/>
      </w:pPr>
      <w:r>
        <w:t>dVtotal = dV1 + dV2</w:t>
      </w:r>
    </w:p>
    <w:p>
      <w:pPr>
        <w:pStyle w:val="Heading1"/>
      </w:pPr>
      <w:r>
        <w:rPr>
          <w:color w:val="1F4E79"/>
        </w:rPr>
        <w:t>5. 풀이 전략: Lambert에서 phasing으로</w:t>
      </w:r>
    </w:p>
    <w:p>
      <w:pPr>
        <w:spacing w:after="140" w:line="269" w:lineRule="auto"/>
      </w:pPr>
      <w:r>
        <w:t>처음부터 phasing 해를 가정한 것은 아니다. 강의 코드와 Homework 3의 흐름을 보면, 교수님이 기대하는 기본 접근은 Lambert solver를 이용한 boundary-value transfer와 pork-chop 형태의 탐색이라고 판단하였다. 그래서 먼저 이 baseline을 구현하였다.</w:t>
      </w:r>
    </w:p>
    <w:p>
      <w:pPr>
        <w:pStyle w:val="ListNumber"/>
        <w:spacing w:after="60"/>
      </w:pPr>
      <w:r>
        <w:t>1~30일 범위에서 전이 시간을 조밀하게 sweep한다.</w:t>
      </w:r>
    </w:p>
    <w:p>
      <w:pPr>
        <w:pStyle w:val="ListNumber"/>
        <w:spacing w:after="60"/>
      </w:pPr>
      <w:r>
        <w:t>각 Delta t마다 GEO-KOMPSAT-2A의 미래 ECI 위치와 속도를 계산한다.</w:t>
      </w:r>
    </w:p>
    <w:p>
      <w:pPr>
        <w:pStyle w:val="ListNumber"/>
        <w:spacing w:after="60"/>
      </w:pPr>
      <w:r>
        <w:t>초기 GTO 위치에서 미래 target 위치까지 Lambert 문제를 푼다.</w:t>
      </w:r>
    </w:p>
    <w:p>
      <w:pPr>
        <w:pStyle w:val="ListNumber"/>
        <w:spacing w:after="60"/>
      </w:pPr>
      <w:r>
        <w:t>초기 burn과 최종 insertion burn을 계산한다.</w:t>
      </w:r>
    </w:p>
    <w:p>
      <w:pPr>
        <w:pStyle w:val="ListNumber"/>
        <w:spacing w:after="60"/>
      </w:pPr>
      <w:r>
        <w:t>모든 후보를 Pareto dominance 기준으로 필터링한다.</w:t>
      </w:r>
    </w:p>
    <w:p>
      <w:pPr>
        <w:spacing w:after="140" w:line="269" w:lineRule="auto"/>
      </w:pPr>
      <w:r>
        <w:t>그런데 Lambert 결과만 보면 짧은 시간에서는 dV가 빠르게 줄어들지만, 장시간 영역에서는 더 좋은 구조적 해를 놓칠 수 있다고 보았다. 특히 초기 위치가 GEO 반경이라는 사실은 단순한 우연이 아니라 궤적 설계에서 활용할 수 있는 조건이다. 이 때문에 두 번째 탐색 family로 same-point phasing orbit을 추가하였다.</w:t>
      </w:r>
    </w:p>
    <w:p>
      <w:pPr>
        <w:pStyle w:val="Heading1"/>
      </w:pPr>
      <w:r>
        <w:rPr>
          <w:color w:val="1F4E79"/>
        </w:rPr>
        <w:t>6. Baseline Lambert 전이 결과</w:t>
      </w:r>
    </w:p>
    <w:p>
      <w:pPr>
        <w:spacing w:after="140" w:line="269" w:lineRule="auto"/>
      </w:pPr>
      <w:r>
        <w:t>Lambert 해는 빠른 전이 영역을 담당한다. 예를 들어 1일 전이 해는 요구되는 시간이 가장 짧지만 총 dV가 크다. 전이 시간을 조금 늘리면 target의 상대 위치가 달라져 dV가 감소하지만, Lambert arc만으로는 장시간 저에너지 phasing 해만큼 dV를 낮추기 어렵다.</w:t>
      </w:r>
    </w:p>
    <w:p>
      <w:pPr>
        <w:jc w:val="center"/>
      </w:pPr>
      <w:r>
        <w:drawing>
          <wp:inline xmlns:a="http://schemas.openxmlformats.org/drawingml/2006/main" xmlns:pic="http://schemas.openxmlformats.org/drawingml/2006/picture">
            <wp:extent cx="5669280" cy="4414199"/>
            <wp:docPr id="1" name="Picture 1"/>
            <wp:cNvGraphicFramePr>
              <a:graphicFrameLocks noChangeAspect="1"/>
            </wp:cNvGraphicFramePr>
            <a:graphic>
              <a:graphicData uri="http://schemas.openxmlformats.org/drawingml/2006/picture">
                <pic:pic>
                  <pic:nvPicPr>
                    <pic:cNvPr id="0" name="Pareto_dV_vs_TOF.png"/>
                    <pic:cNvPicPr/>
                  </pic:nvPicPr>
                  <pic:blipFill>
                    <a:blip r:embed="rId10"/>
                    <a:stretch>
                      <a:fillRect/>
                    </a:stretch>
                  </pic:blipFill>
                  <pic:spPr>
                    <a:xfrm>
                      <a:off x="0" y="0"/>
                      <a:ext cx="5669280" cy="4414199"/>
                    </a:xfrm>
                    <a:prstGeom prst="rect"/>
                  </pic:spPr>
                </pic:pic>
              </a:graphicData>
            </a:graphic>
          </wp:inline>
        </w:drawing>
      </w:r>
    </w:p>
    <w:p>
      <w:pPr>
        <w:spacing w:after="160"/>
        <w:jc w:val="center"/>
      </w:pPr>
      <w:r>
        <w:rPr>
          <w:i/>
          <w:color w:val="5B6770"/>
          <w:sz w:val="18"/>
        </w:rPr>
        <w:t>그림 1. Lambert 및 phasing 후보를 포함한 Pareto front.</w:t>
      </w:r>
    </w:p>
    <w:p>
      <w:pPr>
        <w:pStyle w:val="Heading1"/>
      </w:pPr>
      <w:r>
        <w:rPr>
          <w:color w:val="1F4E79"/>
        </w:rPr>
        <w:t>7. GEO 반경 phasing family</w:t>
      </w:r>
    </w:p>
    <w:p>
      <w:pPr>
        <w:spacing w:after="140" w:line="269" w:lineRule="auto"/>
      </w:pPr>
      <w:r>
        <w:t>phasing 해의 핵심 아이디어는 다음과 같다. 우주선은 이미 GEO 반경의 GTO apogee에 있으므로, 출발점 자체가 GEO 궤도 위의 한 점이다. GEO-KOMPSAT-2A가 시간이 지나 이 같은 ECI 방향으로 돌아오는 시각을 arrival time으로 선택하면, 우주선은 그동안 정수 회전 phasing orbit을 돌고 같은 점에 돌아와 rendezvous할 수 있다.</w:t>
      </w:r>
    </w:p>
    <w:p>
      <w:pPr>
        <w:spacing w:after="140" w:line="269" w:lineRule="auto"/>
      </w:pPr>
      <w:r>
        <w:t>이 해는 과제 조건을 벗어난 것이 아니다. 여전히 지구 중심 2체 전파이고, impulsive maneuver만 사용하며, 최종 상태는 움직이는 GEO target에 맞춘다. 다만 Lambert의 일반 boundary-value 해를 무작정 찾는 대신, 문제의 특수한 초기 반경 조건을 이용하여 더 좋은 후보군을 구성한 것이다.</w:t>
      </w:r>
    </w:p>
    <w:p>
      <w:pPr>
        <w:spacing w:after="140" w:line="269" w:lineRule="auto"/>
      </w:pPr>
      <w:r>
        <w:t>전이 시간이 길어질수록 phasing orbit의 주기는 GEO 주기에 가까워지고, 따라서 최종 GEO insertion dV는 매우 작아진다. 반면 초기 dV는 GTO의 경사 성분을 제거하고 equatorial phasing orbit으로 들어가기 위해 여전히 필요하다. 이 때문에 phasing family의 총 dV는 약 1.75 km/s 근처에서 천천히 감소한다.</w:t>
      </w:r>
    </w:p>
    <w:p>
      <w:pPr>
        <w:pStyle w:val="Heading1"/>
      </w:pPr>
      <w:r>
        <w:rPr>
          <w:color w:val="1F4E79"/>
        </w:rPr>
        <w:t>8. Pareto 해석 및 대표 해</w:t>
      </w:r>
    </w:p>
    <w:tbl>
      <w:tblPr>
        <w:tblW w:type="auto" w:w="0"/>
        <w:jc w:val="center"/>
        <w:tblLayout w:type="autofit"/>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1608"/>
        <w:gridCol w:w="1608"/>
        <w:gridCol w:w="1608"/>
        <w:gridCol w:w="1608"/>
        <w:gridCol w:w="1608"/>
        <w:gridCol w:w="1608"/>
      </w:tblGrid>
      <w:tr>
        <w:tc>
          <w:tcPr>
            <w:tcW w:type="dxa" w:w="1608"/>
            <w:vAlign w:val="center"/>
            <w:shd w:fill="1F4E79"/>
          </w:tcPr>
          <w:p>
            <w:pPr>
              <w:spacing w:after="0"/>
            </w:pPr>
            <w:r/>
            <w:r>
              <w:rPr>
                <w:b/>
                <w:color w:val="FFFFFF"/>
                <w:sz w:val="18"/>
              </w:rPr>
              <w:t>Case</w:t>
            </w:r>
          </w:p>
        </w:tc>
        <w:tc>
          <w:tcPr>
            <w:tcW w:type="dxa" w:w="1608"/>
            <w:vAlign w:val="center"/>
            <w:shd w:fill="1F4E79"/>
          </w:tcPr>
          <w:p>
            <w:pPr>
              <w:spacing w:after="0"/>
            </w:pPr>
            <w:r/>
            <w:r>
              <w:rPr>
                <w:b/>
                <w:color w:val="FFFFFF"/>
                <w:sz w:val="18"/>
              </w:rPr>
              <w:t>Method</w:t>
            </w:r>
          </w:p>
        </w:tc>
        <w:tc>
          <w:tcPr>
            <w:tcW w:type="dxa" w:w="1608"/>
            <w:vAlign w:val="center"/>
            <w:shd w:fill="1F4E79"/>
          </w:tcPr>
          <w:p>
            <w:pPr>
              <w:spacing w:after="0"/>
            </w:pPr>
            <w:r/>
            <w:r>
              <w:rPr>
                <w:b/>
                <w:color w:val="FFFFFF"/>
                <w:sz w:val="18"/>
              </w:rPr>
              <w:t>TOF [days]</w:t>
            </w:r>
          </w:p>
        </w:tc>
        <w:tc>
          <w:tcPr>
            <w:tcW w:type="dxa" w:w="1608"/>
            <w:vAlign w:val="center"/>
            <w:shd w:fill="1F4E79"/>
          </w:tcPr>
          <w:p>
            <w:pPr>
              <w:spacing w:after="0"/>
            </w:pPr>
            <w:r/>
            <w:r>
              <w:rPr>
                <w:b/>
                <w:color w:val="FFFFFF"/>
                <w:sz w:val="18"/>
              </w:rPr>
              <w:t>dV1 [km/s]</w:t>
            </w:r>
          </w:p>
        </w:tc>
        <w:tc>
          <w:tcPr>
            <w:tcW w:type="dxa" w:w="1608"/>
            <w:vAlign w:val="center"/>
            <w:shd w:fill="1F4E79"/>
          </w:tcPr>
          <w:p>
            <w:pPr>
              <w:spacing w:after="0"/>
            </w:pPr>
            <w:r/>
            <w:r>
              <w:rPr>
                <w:b/>
                <w:color w:val="FFFFFF"/>
                <w:sz w:val="18"/>
              </w:rPr>
              <w:t>dV2 [km/s]</w:t>
            </w:r>
          </w:p>
        </w:tc>
        <w:tc>
          <w:tcPr>
            <w:tcW w:type="dxa" w:w="1608"/>
            <w:vAlign w:val="center"/>
            <w:shd w:fill="1F4E79"/>
          </w:tcPr>
          <w:p>
            <w:pPr>
              <w:spacing w:after="0"/>
            </w:pPr>
            <w:r/>
            <w:r>
              <w:rPr>
                <w:b/>
                <w:color w:val="FFFFFF"/>
                <w:sz w:val="18"/>
              </w:rPr>
              <w:t>Total dV [km/s]</w:t>
            </w:r>
          </w:p>
        </w:tc>
      </w:tr>
      <w:tr>
        <w:tc>
          <w:tcPr>
            <w:tcW w:type="dxa" w:w="1608"/>
            <w:vAlign w:val="center"/>
          </w:tcPr>
          <w:p>
            <w:pPr>
              <w:spacing w:after="0"/>
            </w:pPr>
            <w:r/>
            <w:r>
              <w:rPr>
                <w:b w:val="0"/>
                <w:sz w:val="18"/>
              </w:rPr>
              <w:t>1</w:t>
            </w:r>
          </w:p>
        </w:tc>
        <w:tc>
          <w:tcPr>
            <w:tcW w:type="dxa" w:w="1608"/>
            <w:vAlign w:val="center"/>
          </w:tcPr>
          <w:p>
            <w:pPr>
              <w:spacing w:after="0"/>
            </w:pPr>
            <w:r/>
            <w:r>
              <w:rPr>
                <w:b w:val="0"/>
                <w:sz w:val="18"/>
              </w:rPr>
              <w:t>Lambert</w:t>
            </w:r>
          </w:p>
        </w:tc>
        <w:tc>
          <w:tcPr>
            <w:tcW w:type="dxa" w:w="1608"/>
            <w:vAlign w:val="center"/>
          </w:tcPr>
          <w:p>
            <w:pPr>
              <w:spacing w:after="0"/>
            </w:pPr>
            <w:r/>
            <w:r>
              <w:rPr>
                <w:b w:val="0"/>
                <w:sz w:val="18"/>
              </w:rPr>
              <w:t>1.0000</w:t>
            </w:r>
          </w:p>
        </w:tc>
        <w:tc>
          <w:tcPr>
            <w:tcW w:type="dxa" w:w="1608"/>
            <w:vAlign w:val="center"/>
          </w:tcPr>
          <w:p>
            <w:pPr>
              <w:spacing w:after="0"/>
            </w:pPr>
            <w:r/>
            <w:r>
              <w:rPr>
                <w:b w:val="0"/>
                <w:sz w:val="18"/>
              </w:rPr>
              <w:t>2.1005</w:t>
            </w:r>
          </w:p>
        </w:tc>
        <w:tc>
          <w:tcPr>
            <w:tcW w:type="dxa" w:w="1608"/>
            <w:vAlign w:val="center"/>
          </w:tcPr>
          <w:p>
            <w:pPr>
              <w:spacing w:after="0"/>
            </w:pPr>
            <w:r/>
            <w:r>
              <w:rPr>
                <w:b w:val="0"/>
                <w:sz w:val="18"/>
              </w:rPr>
              <w:t>1.0409</w:t>
            </w:r>
          </w:p>
        </w:tc>
        <w:tc>
          <w:tcPr>
            <w:tcW w:type="dxa" w:w="1608"/>
            <w:vAlign w:val="center"/>
          </w:tcPr>
          <w:p>
            <w:pPr>
              <w:spacing w:after="0"/>
            </w:pPr>
            <w:r/>
            <w:r>
              <w:rPr>
                <w:b w:val="0"/>
                <w:sz w:val="18"/>
              </w:rPr>
              <w:t>3.1413</w:t>
            </w:r>
          </w:p>
        </w:tc>
      </w:tr>
      <w:tr>
        <w:tc>
          <w:tcPr>
            <w:tcW w:type="dxa" w:w="1608"/>
            <w:vAlign w:val="center"/>
            <w:shd w:fill="EEF3F8"/>
          </w:tcPr>
          <w:p>
            <w:pPr>
              <w:spacing w:after="0"/>
            </w:pPr>
            <w:r/>
            <w:r>
              <w:rPr>
                <w:b w:val="0"/>
                <w:sz w:val="18"/>
              </w:rPr>
              <w:t>2</w:t>
            </w:r>
          </w:p>
        </w:tc>
        <w:tc>
          <w:tcPr>
            <w:tcW w:type="dxa" w:w="1608"/>
            <w:vAlign w:val="center"/>
            <w:shd w:fill="EEF3F8"/>
          </w:tcPr>
          <w:p>
            <w:pPr>
              <w:spacing w:after="0"/>
            </w:pPr>
            <w:r/>
            <w:r>
              <w:rPr>
                <w:b w:val="0"/>
                <w:sz w:val="18"/>
              </w:rPr>
              <w:t>Lambert</w:t>
            </w:r>
          </w:p>
        </w:tc>
        <w:tc>
          <w:tcPr>
            <w:tcW w:type="dxa" w:w="1608"/>
            <w:vAlign w:val="center"/>
            <w:shd w:fill="EEF3F8"/>
          </w:tcPr>
          <w:p>
            <w:pPr>
              <w:spacing w:after="0"/>
            </w:pPr>
            <w:r/>
            <w:r>
              <w:rPr>
                <w:b w:val="0"/>
                <w:sz w:val="18"/>
              </w:rPr>
              <w:t>1.1750</w:t>
            </w:r>
          </w:p>
        </w:tc>
        <w:tc>
          <w:tcPr>
            <w:tcW w:type="dxa" w:w="1608"/>
            <w:vAlign w:val="center"/>
            <w:shd w:fill="EEF3F8"/>
          </w:tcPr>
          <w:p>
            <w:pPr>
              <w:spacing w:after="0"/>
            </w:pPr>
            <w:r/>
            <w:r>
              <w:rPr>
                <w:b w:val="0"/>
                <w:sz w:val="18"/>
              </w:rPr>
              <w:t>2.0608</w:t>
            </w:r>
          </w:p>
        </w:tc>
        <w:tc>
          <w:tcPr>
            <w:tcW w:type="dxa" w:w="1608"/>
            <w:vAlign w:val="center"/>
            <w:shd w:fill="EEF3F8"/>
          </w:tcPr>
          <w:p>
            <w:pPr>
              <w:spacing w:after="0"/>
            </w:pPr>
            <w:r/>
            <w:r>
              <w:rPr>
                <w:b w:val="0"/>
                <w:sz w:val="18"/>
              </w:rPr>
              <w:t>0.6156</w:t>
            </w:r>
          </w:p>
        </w:tc>
        <w:tc>
          <w:tcPr>
            <w:tcW w:type="dxa" w:w="1608"/>
            <w:vAlign w:val="center"/>
            <w:shd w:fill="EEF3F8"/>
          </w:tcPr>
          <w:p>
            <w:pPr>
              <w:spacing w:after="0"/>
            </w:pPr>
            <w:r/>
            <w:r>
              <w:rPr>
                <w:b w:val="0"/>
                <w:sz w:val="18"/>
              </w:rPr>
              <w:t>2.6764</w:t>
            </w:r>
          </w:p>
        </w:tc>
      </w:tr>
      <w:tr>
        <w:tc>
          <w:tcPr>
            <w:tcW w:type="dxa" w:w="1608"/>
            <w:vAlign w:val="center"/>
          </w:tcPr>
          <w:p>
            <w:pPr>
              <w:spacing w:after="0"/>
            </w:pPr>
            <w:r/>
            <w:r>
              <w:rPr>
                <w:b w:val="0"/>
                <w:sz w:val="18"/>
              </w:rPr>
              <w:t>3</w:t>
            </w:r>
          </w:p>
        </w:tc>
        <w:tc>
          <w:tcPr>
            <w:tcW w:type="dxa" w:w="1608"/>
            <w:vAlign w:val="center"/>
          </w:tcPr>
          <w:p>
            <w:pPr>
              <w:spacing w:after="0"/>
            </w:pPr>
            <w:r/>
            <w:r>
              <w:rPr>
                <w:b w:val="0"/>
                <w:sz w:val="18"/>
              </w:rPr>
              <w:t>Lambert</w:t>
            </w:r>
          </w:p>
        </w:tc>
        <w:tc>
          <w:tcPr>
            <w:tcW w:type="dxa" w:w="1608"/>
            <w:vAlign w:val="center"/>
          </w:tcPr>
          <w:p>
            <w:pPr>
              <w:spacing w:after="0"/>
            </w:pPr>
            <w:r/>
            <w:r>
              <w:rPr>
                <w:b w:val="0"/>
                <w:sz w:val="18"/>
              </w:rPr>
              <w:t>1.3250</w:t>
            </w:r>
          </w:p>
        </w:tc>
        <w:tc>
          <w:tcPr>
            <w:tcW w:type="dxa" w:w="1608"/>
            <w:vAlign w:val="center"/>
          </w:tcPr>
          <w:p>
            <w:pPr>
              <w:spacing w:after="0"/>
            </w:pPr>
            <w:r/>
            <w:r>
              <w:rPr>
                <w:b w:val="0"/>
                <w:sz w:val="18"/>
              </w:rPr>
              <w:t>2.0483</w:t>
            </w:r>
          </w:p>
        </w:tc>
        <w:tc>
          <w:tcPr>
            <w:tcW w:type="dxa" w:w="1608"/>
            <w:vAlign w:val="center"/>
          </w:tcPr>
          <w:p>
            <w:pPr>
              <w:spacing w:after="0"/>
            </w:pPr>
            <w:r/>
            <w:r>
              <w:rPr>
                <w:b w:val="0"/>
                <w:sz w:val="18"/>
              </w:rPr>
              <w:t>0.3883</w:t>
            </w:r>
          </w:p>
        </w:tc>
        <w:tc>
          <w:tcPr>
            <w:tcW w:type="dxa" w:w="1608"/>
            <w:vAlign w:val="center"/>
          </w:tcPr>
          <w:p>
            <w:pPr>
              <w:spacing w:after="0"/>
            </w:pPr>
            <w:r/>
            <w:r>
              <w:rPr>
                <w:b w:val="0"/>
                <w:sz w:val="18"/>
              </w:rPr>
              <w:t>2.4366</w:t>
            </w:r>
          </w:p>
        </w:tc>
      </w:tr>
      <w:tr>
        <w:tc>
          <w:tcPr>
            <w:tcW w:type="dxa" w:w="1608"/>
            <w:vAlign w:val="center"/>
            <w:shd w:fill="EEF3F8"/>
          </w:tcPr>
          <w:p>
            <w:pPr>
              <w:spacing w:after="0"/>
            </w:pPr>
            <w:r/>
            <w:r>
              <w:rPr>
                <w:b w:val="0"/>
                <w:sz w:val="18"/>
              </w:rPr>
              <w:t>4</w:t>
            </w:r>
          </w:p>
        </w:tc>
        <w:tc>
          <w:tcPr>
            <w:tcW w:type="dxa" w:w="1608"/>
            <w:vAlign w:val="center"/>
            <w:shd w:fill="EEF3F8"/>
          </w:tcPr>
          <w:p>
            <w:pPr>
              <w:spacing w:after="0"/>
            </w:pPr>
            <w:r/>
            <w:r>
              <w:rPr>
                <w:b w:val="0"/>
                <w:sz w:val="18"/>
              </w:rPr>
              <w:t>Phasing</w:t>
            </w:r>
          </w:p>
        </w:tc>
        <w:tc>
          <w:tcPr>
            <w:tcW w:type="dxa" w:w="1608"/>
            <w:vAlign w:val="center"/>
            <w:shd w:fill="EEF3F8"/>
          </w:tcPr>
          <w:p>
            <w:pPr>
              <w:spacing w:after="0"/>
            </w:pPr>
            <w:r/>
            <w:r>
              <w:rPr>
                <w:b w:val="0"/>
                <w:sz w:val="18"/>
              </w:rPr>
              <w:t>3.4424</w:t>
            </w:r>
          </w:p>
        </w:tc>
        <w:tc>
          <w:tcPr>
            <w:tcW w:type="dxa" w:w="1608"/>
            <w:vAlign w:val="center"/>
            <w:shd w:fill="EEF3F8"/>
          </w:tcPr>
          <w:p>
            <w:pPr>
              <w:spacing w:after="0"/>
            </w:pPr>
            <w:r/>
            <w:r>
              <w:rPr>
                <w:b w:val="0"/>
                <w:sz w:val="18"/>
              </w:rPr>
              <w:t>1.5980</w:t>
            </w:r>
          </w:p>
        </w:tc>
        <w:tc>
          <w:tcPr>
            <w:tcW w:type="dxa" w:w="1608"/>
            <w:vAlign w:val="center"/>
            <w:shd w:fill="EEF3F8"/>
          </w:tcPr>
          <w:p>
            <w:pPr>
              <w:spacing w:after="0"/>
            </w:pPr>
            <w:r/>
            <w:r>
              <w:rPr>
                <w:b w:val="0"/>
                <w:sz w:val="18"/>
              </w:rPr>
              <w:t>0.1631</w:t>
            </w:r>
          </w:p>
        </w:tc>
        <w:tc>
          <w:tcPr>
            <w:tcW w:type="dxa" w:w="1608"/>
            <w:vAlign w:val="center"/>
            <w:shd w:fill="EEF3F8"/>
          </w:tcPr>
          <w:p>
            <w:pPr>
              <w:spacing w:after="0"/>
            </w:pPr>
            <w:r/>
            <w:r>
              <w:rPr>
                <w:b w:val="0"/>
                <w:sz w:val="18"/>
              </w:rPr>
              <w:t>1.7611</w:t>
            </w:r>
          </w:p>
        </w:tc>
      </w:tr>
      <w:tr>
        <w:tc>
          <w:tcPr>
            <w:tcW w:type="dxa" w:w="1608"/>
            <w:vAlign w:val="center"/>
          </w:tcPr>
          <w:p>
            <w:pPr>
              <w:spacing w:after="0"/>
            </w:pPr>
            <w:r/>
            <w:r>
              <w:rPr>
                <w:b w:val="0"/>
                <w:sz w:val="18"/>
              </w:rPr>
              <w:t>5</w:t>
            </w:r>
          </w:p>
        </w:tc>
        <w:tc>
          <w:tcPr>
            <w:tcW w:type="dxa" w:w="1608"/>
            <w:vAlign w:val="center"/>
          </w:tcPr>
          <w:p>
            <w:pPr>
              <w:spacing w:after="0"/>
            </w:pPr>
            <w:r/>
            <w:r>
              <w:rPr>
                <w:b w:val="0"/>
                <w:sz w:val="18"/>
              </w:rPr>
              <w:t>Phasing</w:t>
            </w:r>
          </w:p>
        </w:tc>
        <w:tc>
          <w:tcPr>
            <w:tcW w:type="dxa" w:w="1608"/>
            <w:vAlign w:val="center"/>
          </w:tcPr>
          <w:p>
            <w:pPr>
              <w:spacing w:after="0"/>
            </w:pPr>
            <w:r/>
            <w:r>
              <w:rPr>
                <w:b w:val="0"/>
                <w:sz w:val="18"/>
              </w:rPr>
              <w:t>9.4260</w:t>
            </w:r>
          </w:p>
        </w:tc>
        <w:tc>
          <w:tcPr>
            <w:tcW w:type="dxa" w:w="1608"/>
            <w:vAlign w:val="center"/>
          </w:tcPr>
          <w:p>
            <w:pPr>
              <w:spacing w:after="0"/>
            </w:pPr>
            <w:r/>
            <w:r>
              <w:rPr>
                <w:b w:val="0"/>
                <w:sz w:val="18"/>
              </w:rPr>
              <w:t>1.6928</w:t>
            </w:r>
          </w:p>
        </w:tc>
        <w:tc>
          <w:tcPr>
            <w:tcW w:type="dxa" w:w="1608"/>
            <w:vAlign w:val="center"/>
          </w:tcPr>
          <w:p>
            <w:pPr>
              <w:spacing w:after="0"/>
            </w:pPr>
            <w:r/>
            <w:r>
              <w:rPr>
                <w:b w:val="0"/>
                <w:sz w:val="18"/>
              </w:rPr>
              <w:t>0.0595</w:t>
            </w:r>
          </w:p>
        </w:tc>
        <w:tc>
          <w:tcPr>
            <w:tcW w:type="dxa" w:w="1608"/>
            <w:vAlign w:val="center"/>
          </w:tcPr>
          <w:p>
            <w:pPr>
              <w:spacing w:after="0"/>
            </w:pPr>
            <w:r/>
            <w:r>
              <w:rPr>
                <w:b w:val="0"/>
                <w:sz w:val="18"/>
              </w:rPr>
              <w:t>1.7523</w:t>
            </w:r>
          </w:p>
        </w:tc>
      </w:tr>
      <w:tr>
        <w:tc>
          <w:tcPr>
            <w:tcW w:type="dxa" w:w="1608"/>
            <w:vAlign w:val="center"/>
            <w:shd w:fill="EEF3F8"/>
          </w:tcPr>
          <w:p>
            <w:pPr>
              <w:spacing w:after="0"/>
            </w:pPr>
            <w:r/>
            <w:r>
              <w:rPr>
                <w:b w:val="0"/>
                <w:sz w:val="18"/>
              </w:rPr>
              <w:t>6</w:t>
            </w:r>
          </w:p>
        </w:tc>
        <w:tc>
          <w:tcPr>
            <w:tcW w:type="dxa" w:w="1608"/>
            <w:vAlign w:val="center"/>
            <w:shd w:fill="EEF3F8"/>
          </w:tcPr>
          <w:p>
            <w:pPr>
              <w:spacing w:after="0"/>
            </w:pPr>
            <w:r/>
            <w:r>
              <w:rPr>
                <w:b w:val="0"/>
                <w:sz w:val="18"/>
              </w:rPr>
              <w:t>Phasing</w:t>
            </w:r>
          </w:p>
        </w:tc>
        <w:tc>
          <w:tcPr>
            <w:tcW w:type="dxa" w:w="1608"/>
            <w:vAlign w:val="center"/>
            <w:shd w:fill="EEF3F8"/>
          </w:tcPr>
          <w:p>
            <w:pPr>
              <w:spacing w:after="0"/>
            </w:pPr>
            <w:r/>
            <w:r>
              <w:rPr>
                <w:b w:val="0"/>
                <w:sz w:val="18"/>
              </w:rPr>
              <w:t>16.4069</w:t>
            </w:r>
          </w:p>
        </w:tc>
        <w:tc>
          <w:tcPr>
            <w:tcW w:type="dxa" w:w="1608"/>
            <w:vAlign w:val="center"/>
            <w:shd w:fill="EEF3F8"/>
          </w:tcPr>
          <w:p>
            <w:pPr>
              <w:spacing w:after="0"/>
            </w:pPr>
            <w:r/>
            <w:r>
              <w:rPr>
                <w:b w:val="0"/>
                <w:sz w:val="18"/>
              </w:rPr>
              <w:t>1.7161</w:t>
            </w:r>
          </w:p>
        </w:tc>
        <w:tc>
          <w:tcPr>
            <w:tcW w:type="dxa" w:w="1608"/>
            <w:vAlign w:val="center"/>
            <w:shd w:fill="EEF3F8"/>
          </w:tcPr>
          <w:p>
            <w:pPr>
              <w:spacing w:after="0"/>
            </w:pPr>
            <w:r/>
            <w:r>
              <w:rPr>
                <w:b w:val="0"/>
                <w:sz w:val="18"/>
              </w:rPr>
              <w:t>0.0342</w:t>
            </w:r>
          </w:p>
        </w:tc>
        <w:tc>
          <w:tcPr>
            <w:tcW w:type="dxa" w:w="1608"/>
            <w:vAlign w:val="center"/>
            <w:shd w:fill="EEF3F8"/>
          </w:tcPr>
          <w:p>
            <w:pPr>
              <w:spacing w:after="0"/>
            </w:pPr>
            <w:r/>
            <w:r>
              <w:rPr>
                <w:b w:val="0"/>
                <w:sz w:val="18"/>
              </w:rPr>
              <w:t>1.7502</w:t>
            </w:r>
          </w:p>
        </w:tc>
      </w:tr>
      <w:tr>
        <w:tc>
          <w:tcPr>
            <w:tcW w:type="dxa" w:w="1608"/>
            <w:vAlign w:val="center"/>
          </w:tcPr>
          <w:p>
            <w:pPr>
              <w:spacing w:after="0"/>
            </w:pPr>
            <w:r/>
            <w:r>
              <w:rPr>
                <w:b w:val="0"/>
                <w:sz w:val="18"/>
              </w:rPr>
              <w:t>7</w:t>
            </w:r>
          </w:p>
        </w:tc>
        <w:tc>
          <w:tcPr>
            <w:tcW w:type="dxa" w:w="1608"/>
            <w:vAlign w:val="center"/>
          </w:tcPr>
          <w:p>
            <w:pPr>
              <w:spacing w:after="0"/>
            </w:pPr>
            <w:r/>
            <w:r>
              <w:rPr>
                <w:b w:val="0"/>
                <w:sz w:val="18"/>
              </w:rPr>
              <w:t>Phasing</w:t>
            </w:r>
          </w:p>
        </w:tc>
        <w:tc>
          <w:tcPr>
            <w:tcW w:type="dxa" w:w="1608"/>
            <w:vAlign w:val="center"/>
          </w:tcPr>
          <w:p>
            <w:pPr>
              <w:spacing w:after="0"/>
            </w:pPr>
            <w:r/>
            <w:r>
              <w:rPr>
                <w:b w:val="0"/>
                <w:sz w:val="18"/>
              </w:rPr>
              <w:t>22.3905</w:t>
            </w:r>
          </w:p>
        </w:tc>
        <w:tc>
          <w:tcPr>
            <w:tcW w:type="dxa" w:w="1608"/>
            <w:vAlign w:val="center"/>
          </w:tcPr>
          <w:p>
            <w:pPr>
              <w:spacing w:after="0"/>
            </w:pPr>
            <w:r/>
            <w:r>
              <w:rPr>
                <w:b w:val="0"/>
                <w:sz w:val="18"/>
              </w:rPr>
              <w:t>1.7245</w:t>
            </w:r>
          </w:p>
        </w:tc>
        <w:tc>
          <w:tcPr>
            <w:tcW w:type="dxa" w:w="1608"/>
            <w:vAlign w:val="center"/>
          </w:tcPr>
          <w:p>
            <w:pPr>
              <w:spacing w:after="0"/>
            </w:pPr>
            <w:r/>
            <w:r>
              <w:rPr>
                <w:b w:val="0"/>
                <w:sz w:val="18"/>
              </w:rPr>
              <w:t>0.0250</w:t>
            </w:r>
          </w:p>
        </w:tc>
        <w:tc>
          <w:tcPr>
            <w:tcW w:type="dxa" w:w="1608"/>
            <w:vAlign w:val="center"/>
          </w:tcPr>
          <w:p>
            <w:pPr>
              <w:spacing w:after="0"/>
            </w:pPr>
            <w:r/>
            <w:r>
              <w:rPr>
                <w:b w:val="0"/>
                <w:sz w:val="18"/>
              </w:rPr>
              <w:t>1.7495</w:t>
            </w:r>
          </w:p>
        </w:tc>
      </w:tr>
      <w:tr>
        <w:tc>
          <w:tcPr>
            <w:tcW w:type="dxa" w:w="1608"/>
            <w:vAlign w:val="center"/>
            <w:shd w:fill="EEF3F8"/>
          </w:tcPr>
          <w:p>
            <w:pPr>
              <w:spacing w:after="0"/>
            </w:pPr>
            <w:r/>
            <w:r>
              <w:rPr>
                <w:b w:val="0"/>
                <w:sz w:val="18"/>
              </w:rPr>
              <w:t>8</w:t>
            </w:r>
          </w:p>
        </w:tc>
        <w:tc>
          <w:tcPr>
            <w:tcW w:type="dxa" w:w="1608"/>
            <w:vAlign w:val="center"/>
            <w:shd w:fill="EEF3F8"/>
          </w:tcPr>
          <w:p>
            <w:pPr>
              <w:spacing w:after="0"/>
            </w:pPr>
            <w:r/>
            <w:r>
              <w:rPr>
                <w:b w:val="0"/>
                <w:sz w:val="18"/>
              </w:rPr>
              <w:t>Phasing</w:t>
            </w:r>
          </w:p>
        </w:tc>
        <w:tc>
          <w:tcPr>
            <w:tcW w:type="dxa" w:w="1608"/>
            <w:vAlign w:val="center"/>
            <w:shd w:fill="EEF3F8"/>
          </w:tcPr>
          <w:p>
            <w:pPr>
              <w:spacing w:after="0"/>
            </w:pPr>
            <w:r/>
            <w:r>
              <w:rPr>
                <w:b w:val="0"/>
                <w:sz w:val="18"/>
              </w:rPr>
              <w:t>29.3714</w:t>
            </w:r>
          </w:p>
        </w:tc>
        <w:tc>
          <w:tcPr>
            <w:tcW w:type="dxa" w:w="1608"/>
            <w:vAlign w:val="center"/>
            <w:shd w:fill="EEF3F8"/>
          </w:tcPr>
          <w:p>
            <w:pPr>
              <w:spacing w:after="0"/>
            </w:pPr>
            <w:r/>
            <w:r>
              <w:rPr>
                <w:b w:val="0"/>
                <w:sz w:val="18"/>
              </w:rPr>
              <w:t>1.7300</w:t>
            </w:r>
          </w:p>
        </w:tc>
        <w:tc>
          <w:tcPr>
            <w:tcW w:type="dxa" w:w="1608"/>
            <w:vAlign w:val="center"/>
            <w:shd w:fill="EEF3F8"/>
          </w:tcPr>
          <w:p>
            <w:pPr>
              <w:spacing w:after="0"/>
            </w:pPr>
            <w:r/>
            <w:r>
              <w:rPr>
                <w:b w:val="0"/>
                <w:sz w:val="18"/>
              </w:rPr>
              <w:t>0.0191</w:t>
            </w:r>
          </w:p>
        </w:tc>
        <w:tc>
          <w:tcPr>
            <w:tcW w:type="dxa" w:w="1608"/>
            <w:vAlign w:val="center"/>
            <w:shd w:fill="EEF3F8"/>
          </w:tcPr>
          <w:p>
            <w:pPr>
              <w:spacing w:after="0"/>
            </w:pPr>
            <w:r/>
            <w:r>
              <w:rPr>
                <w:b w:val="0"/>
                <w:sz w:val="18"/>
              </w:rPr>
              <w:t>1.7491</w:t>
            </w:r>
          </w:p>
        </w:tc>
      </w:tr>
    </w:tbl>
    <w:p/>
    <w:p>
      <w:pPr>
        <w:spacing w:after="140" w:line="269" w:lineRule="auto"/>
      </w:pPr>
      <w:r>
        <w:t>표에서 볼 수 있듯이, 1일 Lambert 해는 빠르지만 dV가 크고, 29.37일 phasing 해는 가장 작은 dV를 갖지만 시간이 길다. 따라서 어느 하나가 다른 하나를 완전히 지배하지 않는다. 이것이 Pareto front의 의미이다. 실제 임무에서는 연료를 우선할지, 임무 투입 시간을 우선할지에 따라 다른 design point를 선택해야 한다.</w:t>
      </w:r>
    </w:p>
    <w:p>
      <w:pPr>
        <w:spacing w:after="140" w:line="269" w:lineRule="auto"/>
      </w:pPr>
      <w:r>
        <w:t>특히 3.44일 phasing 해는 총 dV가 1.7611 km/s로 크게 낮으면서도 30일 전체를 사용하지 않는다. 29일 해와 비교하면 dV 증가는 약 0.0120 km/s에 불과하지만 전이 시간은 약 25.93일 줄어든다. 따라서 본 보고서의 주 설계점은 3.44일 phasing 해로 두고, 1일 해와 29일 해는 각각 빠른 전이 한계와 최저 dV 한계로 구분하여 제시하였다.</w:t>
      </w:r>
    </w:p>
    <w:p>
      <w:pPr>
        <w:pStyle w:val="Heading1"/>
      </w:pPr>
      <w:r>
        <w:rPr>
          <w:color w:val="1F4E79"/>
        </w:rPr>
        <w:t>9. 최종 선택 궤적과 가시성 분석</w:t>
      </w:r>
    </w:p>
    <w:p>
      <w:pPr>
        <w:jc w:val="center"/>
      </w:pPr>
      <w:r>
        <w:drawing>
          <wp:inline xmlns:a="http://schemas.openxmlformats.org/drawingml/2006/main" xmlns:pic="http://schemas.openxmlformats.org/drawingml/2006/picture">
            <wp:extent cx="5486400" cy="4190920"/>
            <wp:docPr id="2" name="Picture 2"/>
            <wp:cNvGraphicFramePr>
              <a:graphicFrameLocks noChangeAspect="1"/>
            </wp:cNvGraphicFramePr>
            <a:graphic>
              <a:graphicData uri="http://schemas.openxmlformats.org/drawingml/2006/picture">
                <pic:pic>
                  <pic:nvPicPr>
                    <pic:cNvPr id="0" name="Trajectory3D.png"/>
                    <pic:cNvPicPr/>
                  </pic:nvPicPr>
                  <pic:blipFill>
                    <a:blip r:embed="rId11"/>
                    <a:stretch>
                      <a:fillRect/>
                    </a:stretch>
                  </pic:blipFill>
                  <pic:spPr>
                    <a:xfrm>
                      <a:off x="0" y="0"/>
                      <a:ext cx="5486400" cy="4190920"/>
                    </a:xfrm>
                    <a:prstGeom prst="rect"/>
                  </pic:spPr>
                </pic:pic>
              </a:graphicData>
            </a:graphic>
          </wp:inline>
        </w:drawing>
      </w:r>
    </w:p>
    <w:p>
      <w:pPr>
        <w:spacing w:after="160"/>
        <w:jc w:val="center"/>
      </w:pPr>
      <w:r>
        <w:rPr>
          <w:i/>
          <w:color w:val="5B6770"/>
          <w:sz w:val="18"/>
        </w:rPr>
        <w:t>그림 2. 선택한 전이 궤적, 초기 GTO, 이동하는 GEO target.</w:t>
      </w:r>
    </w:p>
    <w:p>
      <w:pPr>
        <w:jc w:val="center"/>
      </w:pPr>
      <w:r>
        <w:drawing>
          <wp:inline xmlns:a="http://schemas.openxmlformats.org/drawingml/2006/main" xmlns:pic="http://schemas.openxmlformats.org/drawingml/2006/picture">
            <wp:extent cx="5303520" cy="3530326"/>
            <wp:docPr id="3" name="Picture 3"/>
            <wp:cNvGraphicFramePr>
              <a:graphicFrameLocks noChangeAspect="1"/>
            </wp:cNvGraphicFramePr>
            <a:graphic>
              <a:graphicData uri="http://schemas.openxmlformats.org/drawingml/2006/picture">
                <pic:pic>
                  <pic:nvPicPr>
                    <pic:cNvPr id="0" name="Radius_vs_Time.png"/>
                    <pic:cNvPicPr/>
                  </pic:nvPicPr>
                  <pic:blipFill>
                    <a:blip r:embed="rId12"/>
                    <a:stretch>
                      <a:fillRect/>
                    </a:stretch>
                  </pic:blipFill>
                  <pic:spPr>
                    <a:xfrm>
                      <a:off x="0" y="0"/>
                      <a:ext cx="5303520" cy="3530326"/>
                    </a:xfrm>
                    <a:prstGeom prst="rect"/>
                  </pic:spPr>
                </pic:pic>
              </a:graphicData>
            </a:graphic>
          </wp:inline>
        </w:drawing>
      </w:r>
    </w:p>
    <w:p>
      <w:pPr>
        <w:spacing w:after="160"/>
        <w:jc w:val="center"/>
      </w:pPr>
      <w:r>
        <w:rPr>
          <w:i/>
          <w:color w:val="5B6770"/>
          <w:sz w:val="18"/>
        </w:rPr>
        <w:t>그림 3. 선택 궤적의 radius history.</w:t>
      </w:r>
    </w:p>
    <w:p>
      <w:pPr>
        <w:jc w:val="center"/>
      </w:pPr>
      <w:r>
        <w:drawing>
          <wp:inline xmlns:a="http://schemas.openxmlformats.org/drawingml/2006/main" xmlns:pic="http://schemas.openxmlformats.org/drawingml/2006/picture">
            <wp:extent cx="4754880" cy="4014881"/>
            <wp:docPr id="4" name="Picture 4"/>
            <wp:cNvGraphicFramePr>
              <a:graphicFrameLocks noChangeAspect="1"/>
            </wp:cNvGraphicFramePr>
            <a:graphic>
              <a:graphicData uri="http://schemas.openxmlformats.org/drawingml/2006/picture">
                <pic:pic>
                  <pic:nvPicPr>
                    <pic:cNvPr id="0" name="DeltaV_Maneuvers.png"/>
                    <pic:cNvPicPr/>
                  </pic:nvPicPr>
                  <pic:blipFill>
                    <a:blip r:embed="rId13"/>
                    <a:stretch>
                      <a:fillRect/>
                    </a:stretch>
                  </pic:blipFill>
                  <pic:spPr>
                    <a:xfrm>
                      <a:off x="0" y="0"/>
                      <a:ext cx="4754880" cy="4014881"/>
                    </a:xfrm>
                    <a:prstGeom prst="rect"/>
                  </pic:spPr>
                </pic:pic>
              </a:graphicData>
            </a:graphic>
          </wp:inline>
        </w:drawing>
      </w:r>
    </w:p>
    <w:p>
      <w:pPr>
        <w:spacing w:after="160"/>
        <w:jc w:val="center"/>
      </w:pPr>
      <w:r>
        <w:rPr>
          <w:i/>
          <w:color w:val="5B6770"/>
          <w:sz w:val="18"/>
        </w:rPr>
        <w:t>그림 4. 초기 burn과 최종 GEO insertion burn.</w:t>
      </w:r>
    </w:p>
    <w:p>
      <w:pPr>
        <w:jc w:val="center"/>
      </w:pPr>
      <w:r>
        <w:drawing>
          <wp:inline xmlns:a="http://schemas.openxmlformats.org/drawingml/2006/main" xmlns:pic="http://schemas.openxmlformats.org/drawingml/2006/picture">
            <wp:extent cx="5303520" cy="3515384"/>
            <wp:docPr id="5" name="Picture 5"/>
            <wp:cNvGraphicFramePr>
              <a:graphicFrameLocks noChangeAspect="1"/>
            </wp:cNvGraphicFramePr>
            <a:graphic>
              <a:graphicData uri="http://schemas.openxmlformats.org/drawingml/2006/picture">
                <pic:pic>
                  <pic:nvPicPr>
                    <pic:cNvPr id="0" name="Position_Error_Final_Window.png"/>
                    <pic:cNvPicPr/>
                  </pic:nvPicPr>
                  <pic:blipFill>
                    <a:blip r:embed="rId14"/>
                    <a:stretch>
                      <a:fillRect/>
                    </a:stretch>
                  </pic:blipFill>
                  <pic:spPr>
                    <a:xfrm>
                      <a:off x="0" y="0"/>
                      <a:ext cx="5303520" cy="3515384"/>
                    </a:xfrm>
                    <a:prstGeom prst="rect"/>
                  </pic:spPr>
                </pic:pic>
              </a:graphicData>
            </a:graphic>
          </wp:inline>
        </w:drawing>
      </w:r>
    </w:p>
    <w:p>
      <w:pPr>
        <w:spacing w:after="160"/>
        <w:jc w:val="center"/>
      </w:pPr>
      <w:r>
        <w:rPr>
          <w:i/>
          <w:color w:val="5B6770"/>
          <w:sz w:val="18"/>
        </w:rPr>
        <w:t>그림 5. 도착 직전 moving target에 대한 position error.</w:t>
      </w:r>
    </w:p>
    <w:p>
      <w:pPr>
        <w:jc w:val="center"/>
      </w:pPr>
      <w:r>
        <w:drawing>
          <wp:inline xmlns:a="http://schemas.openxmlformats.org/drawingml/2006/main" xmlns:pic="http://schemas.openxmlformats.org/drawingml/2006/picture">
            <wp:extent cx="5303520" cy="3374687"/>
            <wp:docPr id="6" name="Picture 6"/>
            <wp:cNvGraphicFramePr>
              <a:graphicFrameLocks noChangeAspect="1"/>
            </wp:cNvGraphicFramePr>
            <a:graphic>
              <a:graphicData uri="http://schemas.openxmlformats.org/drawingml/2006/picture">
                <pic:pic>
                  <pic:nvPicPr>
                    <pic:cNvPr id="0" name="KHU_Visibility.png"/>
                    <pic:cNvPicPr/>
                  </pic:nvPicPr>
                  <pic:blipFill>
                    <a:blip r:embed="rId15"/>
                    <a:stretch>
                      <a:fillRect/>
                    </a:stretch>
                  </pic:blipFill>
                  <pic:spPr>
                    <a:xfrm>
                      <a:off x="0" y="0"/>
                      <a:ext cx="5303520" cy="3374687"/>
                    </a:xfrm>
                    <a:prstGeom prst="rect"/>
                  </pic:spPr>
                </pic:pic>
              </a:graphicData>
            </a:graphic>
          </wp:inline>
        </w:drawing>
      </w:r>
    </w:p>
    <w:p>
      <w:pPr>
        <w:spacing w:after="160"/>
        <w:jc w:val="center"/>
      </w:pPr>
      <w:r>
        <w:rPr>
          <w:i/>
          <w:color w:val="5B6770"/>
          <w:sz w:val="18"/>
        </w:rPr>
        <w:t>그림 6. KHU 기준 elevation 및 visibility interval.</w:t>
      </w:r>
    </w:p>
    <w:p>
      <w:pPr>
        <w:spacing w:after="140" w:line="269" w:lineRule="auto"/>
      </w:pPr>
      <w:r>
        <w:t>최종 그림들은 균형 설계점인 3.44일 phasing 해를 기준으로 작성하였다. 선택한 궤적이 고정된 GEO 점이 아니라 시간에 따라 움직이는 target을 향해 수렴함을 확인하기 위해 작성하였다. 가시성은 KHU 위치에서 ECI 상태를 ECEF로 변환한 뒤 SEZ 좌표계의 elevation이 0도보다 큰 구간으로 정의하였다.</w:t>
      </w:r>
    </w:p>
    <w:p>
      <w:pPr>
        <w:pStyle w:val="Heading1"/>
      </w:pPr>
      <w:r>
        <w:rPr>
          <w:color w:val="1F4E79"/>
        </w:rPr>
        <w:t>10. 결론</w:t>
      </w:r>
    </w:p>
    <w:p>
      <w:pPr>
        <w:spacing w:after="140" w:line="269" w:lineRule="auto"/>
      </w:pPr>
      <w:r>
        <w:t>본 프로젝트에서 가장 중요한 판단은 Lambert 해를 baseline으로 사용하되, 그 결과에 만족하지 않고 초기 조건의 기하학적 의미를 다시 본 것이다. 초기 GTO apogee가 GEO 반경에 있다는 점은 저에너지 phasing transfer를 가능하게 한다. 따라서 최종 Pareto set은 짧은 시간의 Lambert 해와 낮은 dV의 phasing 해를 함께 포함해야 한다.</w:t>
      </w:r>
    </w:p>
    <w:p>
      <w:pPr>
        <w:spacing w:after="140" w:line="269" w:lineRule="auto"/>
      </w:pPr>
      <w:r>
        <w:t>주 설계점으로 추천하는 균형 해는 Delta t = 3.4424 days, dV1 = 1.5980 km/s, dV2 = 0.1631 km/s, dVtotal = 1.7611 km/s이다. 최저 dV 후보는 Delta t = 29.3714 days, dVtotal = 1.7491 km/s이지만, 전이 시간이 지나치게 길기 때문에 mission design point라기보다는 low-energy limit으로 해석하였다. 반대로 빠른 투입이 중요하다면 1~1.3일 Lambert 해를 선택할 수 있다. 이와 같이 본 결과는 과제에서 요구한 dV와 Delta t의 trade space를 직접 보여준다.</w:t>
      </w:r>
    </w:p>
    <w:p>
      <w:pPr>
        <w:pStyle w:val="Heading1"/>
      </w:pPr>
      <w:r>
        <w:rPr>
          <w:color w:val="1F4E79"/>
        </w:rPr>
        <w:t>부록 A. MATLAB 구현 요약</w:t>
      </w:r>
    </w:p>
    <w:p>
      <w:pPr>
        <w:pStyle w:val="ListBullet"/>
        <w:spacing w:after="60"/>
      </w:pPr>
      <w:r>
        <w:t>SPACE312_Final_Project_Main.m은 외부 파일 없이 실행되도록 local function을 포함한다.</w:t>
      </w:r>
    </w:p>
    <w:p>
      <w:pPr>
        <w:pStyle w:val="ListBullet"/>
        <w:spacing w:after="60"/>
      </w:pPr>
      <w:r>
        <w:t>LambertTd 함수는 강의 코드의 universal variable Lambert 구조를 바탕으로 하였다.</w:t>
      </w:r>
    </w:p>
    <w:p>
      <w:pPr>
        <w:pStyle w:val="ListBullet"/>
        <w:spacing w:after="60"/>
      </w:pPr>
      <w:r>
        <w:t>target GEO 상태는 ERA와 longitude로 매 시각 계산한다.</w:t>
      </w:r>
    </w:p>
    <w:p>
      <w:pPr>
        <w:pStyle w:val="ListBullet"/>
        <w:spacing w:after="60"/>
      </w:pPr>
      <w:r>
        <w:t>Lambert 후보와 phasing 후보를 모두 생성한 뒤 Pareto dominance로 필터링한다.</w:t>
      </w:r>
    </w:p>
    <w:p>
      <w:pPr>
        <w:pStyle w:val="ListBullet"/>
        <w:spacing w:after="60"/>
      </w:pPr>
      <w:r>
        <w:t>결과 CSV, 3D trajectory, radius history, dV plot, final error plot, KHU visibility plot, GIF animation을 results 폴더에 저장한다.</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algun Goth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algun Gothic"/>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