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AI工具使用详情</w:t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color w:val="000000"/>
          <w:sz w:val="22"/>
        </w:rPr>
        <w:t>对应论文  药材热湿耦合模型与干燥时间计算</w:t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本队使用 Deepseek Harness 与 Deepseek v4.1 flash 辅助代码语法检查和部分程序调试，使用 Codex 与 GPT6-Astra 辅助题意理解、文献检索、模型与结果检查、公式整理，以及绘图和提交材料整理。AI参与内容及具体处理情况如下。</w:t>
      </w:r>
    </w:p>
    <w:p>
      <w:pPr>
        <w:pStyle w:val="Heading1"/>
        <w:keepNext/>
      </w:pPr>
      <w:r>
        <w:t>一 AI工具清单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115" w:type="dxa"/>
          <w:left w:w="115" w:type="dxa"/>
          <w:bottom w:w="115" w:type="dxa"/>
          <w:right w:w="115" w:type="dxa"/>
        </w:tblCellMar>
      </w:tblPr>
      <w:tblGrid>
        <w:gridCol w:w="2098"/>
        <w:gridCol w:w="2721"/>
        <w:gridCol w:w="4819"/>
      </w:tblGrid>
      <w:tr>
        <w:trPr>
          <w:cantSplit/>
          <w:tblHeader/>
        </w:trPr>
        <w:tc>
          <w:tcPr>
            <w:tcW w:type="dxa" w:w="2098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工具</w:t>
            </w:r>
          </w:p>
        </w:tc>
        <w:tc>
          <w:tcPr>
            <w:tcW w:type="dxa" w:w="2721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模型名称与版本</w:t>
            </w:r>
          </w:p>
        </w:tc>
        <w:tc>
          <w:tcPr>
            <w:tcW w:type="dxa" w:w="4819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主要用途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Deepseek Harness</w:t>
            </w:r>
          </w:p>
        </w:tc>
        <w:tc>
          <w:tcPr>
            <w:tcW w:type="dxa" w:w="272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Deepseek v4.1 flash</w:t>
            </w:r>
          </w:p>
        </w:tc>
        <w:tc>
          <w:tcPr>
            <w:tcW w:type="dxa" w:w="481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对已编写代码进行语法检查，结合报错信息辅助定位和修改部分程序问题。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</w:t>
            </w:r>
          </w:p>
        </w:tc>
        <w:tc>
          <w:tcPr>
            <w:tcW w:type="dxa" w:w="272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GPT6-Astra</w:t>
            </w:r>
          </w:p>
        </w:tc>
        <w:tc>
          <w:tcPr>
            <w:tcW w:type="dxa" w:w="481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梳理题意与模型条件；检索文献；检查公式和数值结果；整理绘图程序、数据及论文支撑材料。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版本登记采用论文第9.3节记载的模型名称。以下典型交互发生于2026年9月13日，均为Codex中的实际文字交互。</w:t>
      </w:r>
    </w:p>
    <w:p>
      <w:pPr>
        <w:pStyle w:val="Heading2"/>
        <w:keepNext/>
      </w:pPr>
      <w:r>
        <w:t>交互方式</w:t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本队通过文字提出任务，并指定论文DOCX、程序、CSV和结果表作为工作对象；AI读取文件、提出检查结论，并按指令修改支撑材料。结果以可编辑文档、源码、数据清单和运行记录交付。</w:t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以下三例来自同一轮提交前补件交互，按绘图、数值检验和附录整理三个任务分别记录。提示词和AI回复按对应主题摘录，保留原文；处理情况和核验结果依据实际文件与运行记录整理。</w:t>
      </w:r>
    </w:p>
    <w:p>
      <w:r>
        <w:br w:type="page"/>
      </w:r>
    </w:p>
    <w:p>
      <w:pPr>
        <w:pStyle w:val="Heading1"/>
        <w:keepNext/>
      </w:pPr>
      <w:r>
        <w:t>二 分环节使用记录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04"/>
        <w:gridCol w:w="1134"/>
        <w:gridCol w:w="7200"/>
      </w:tblGrid>
      <w:tr>
        <w:trPr>
          <w:cantSplit/>
          <w:tblHeader/>
        </w:trPr>
        <w:tc>
          <w:tcPr>
            <w:tcW w:type="dxa" w:w="130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环节</w:t>
            </w:r>
          </w:p>
        </w:tc>
        <w:tc>
          <w:tcPr>
            <w:tcW w:type="dxa" w:w="113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使用情况</w:t>
            </w:r>
          </w:p>
        </w:tc>
        <w:tc>
          <w:tcPr>
            <w:tcW w:type="dxa" w:w="7200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具体工作与采用位置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赛题理解</w:t>
            </w:r>
          </w:p>
        </w:tc>
        <w:tc>
          <w:tcPr>
            <w:tcW w:type="dxa" w:w="113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type="dxa" w:w="7200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Codex辅助梳理四问的输入、输出和递进关系，区分附件1环境观测、附件2半径变化与附件3结果模板。采用位置：问题分析、符号说明和各问模型；支撑01。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模型假设</w:t>
            </w:r>
          </w:p>
        </w:tc>
        <w:tc>
          <w:tcPr>
            <w:tcW w:type="dxa" w:w="113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type="dxa" w:w="7200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Codex辅助检查4小时后的环境平台假设、空气湿度向平衡含水率的映射、同比收缩与固定长度等闭合条件，说明预测结果依赖这些假设。采用位置：模型假设、模型评价。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建模设计</w:t>
            </w:r>
          </w:p>
        </w:tc>
        <w:tc>
          <w:tcPr>
            <w:tcW w:type="dxa" w:w="113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type="dxa" w:w="7200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Codex辅助整理热湿耦合方程、边界条件、Kirchhoff水通量离散及各问模型的联系，检查符号和量纲。采用位置：模型建立与算法说明；03中的dryingCore.py和q1Model.py至q4Model.py。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代码求解</w:t>
            </w:r>
          </w:p>
        </w:tc>
        <w:tc>
          <w:tcPr>
            <w:tcW w:type="dxa" w:w="113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type="dxa" w:w="7200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Deepseek Harness辅助语法检查和部分调试；Codex辅助程序实现、路径与依赖整理、运行入口和复现检查。本次为method_comparison.py修正一行ROOT定位，并补run_checks.py及依赖清单。采用位置：03、05；实例2。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结果检验</w:t>
            </w:r>
          </w:p>
        </w:tc>
        <w:tc>
          <w:tcPr>
            <w:tcW w:type="dxa" w:w="113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type="dxa" w:w="7200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Codex辅助核对冻结结果与论文表格，检查网格收敛、时间误差和方法对照。本次实际运行适量检验并读取内部数值报告。采用位置：04、05；实例2。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论文撰写</w:t>
            </w:r>
          </w:p>
        </w:tc>
        <w:tc>
          <w:tcPr>
            <w:tcW w:type="dxa" w:w="113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type="dxa" w:w="7200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Codex辅助整理公式与符号、检查正文和结果的一致性，编写支撑文件说明、AI使用记录和附录清单。采用位置：论文第9.3节、AI工具使用详情、附录文件列表；实例3。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辅助工作</w:t>
            </w:r>
          </w:p>
        </w:tc>
        <w:tc>
          <w:tcPr>
            <w:tcW w:type="dxa" w:w="113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使用</w:t>
            </w:r>
          </w:p>
        </w:tc>
        <w:tc>
          <w:tcPr>
            <w:tcW w:type="dxa" w:w="7200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Codex辅助文献检索、文件来源与校验值整理、绘图脚本适配、CSV及PNG归档。采用位置：02、06；实例1。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三 典型交互实例</w:t>
      </w:r>
    </w:p>
    <w:p>
      <w:pPr>
        <w:pStyle w:val="Heading2"/>
        <w:keepNext/>
      </w:pPr>
      <w:r>
        <w:t>实例1 绘图程序与数据补件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130" w:type="dxa"/>
          <w:left w:w="130" w:type="dxa"/>
          <w:bottom w:w="130" w:type="dxa"/>
          <w:right w:w="130" w:type="dxa"/>
        </w:tblCellMar>
      </w:tblPr>
      <w:tblGrid>
        <w:gridCol w:w="1701"/>
        <w:gridCol w:w="7937"/>
      </w:tblGrid>
      <w:tr>
        <w:trPr>
          <w:cantSplit/>
          <w:tblHeader/>
        </w:trPr>
        <w:tc>
          <w:tcPr>
            <w:tcW w:type="dxa" w:w="1701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记录项</w:t>
            </w:r>
          </w:p>
        </w:tc>
        <w:tc>
          <w:tcPr>
            <w:tcW w:type="dxa" w:w="7937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实际内容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工具与时间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 与 GPT6-Astra；2026年9月13日；代码求解与辅助工作。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提示词节选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2\. 把绘图程序和CSV加进去，留下PNG格式即可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AI回复节选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绘图程序和数据已加入 `支撑材料/06_绘图程序与数据`：R 程序、14 份 CSV、6 张 PNG及说明、校验文件。图像仅保留 PNG，R 程序已在独立目录实际运行通过。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队伍处理与落地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将原论文六图对应的R程序和输入CSV加入支撑06。脚本按自身位置定位CSV，图像输出保留PNG，并提供可指定的输出目录；交付保留原论文PNG。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核验方式与结果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14份CSV共4627行数据及6张PNG与原图目录逐字节一致。R程序在独立目录实际退出0。当前环境重绘与历史PNG有少量像素差异；原程序与适配程序在同一当前环境重绘结果一致。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采用文件位置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06_绘图程序与数据/draw_figures.R；CSV和PNG子目录；绘图复现说明.txt、数据来源与校验.csv、图像校验.csv。</w:t>
            </w:r>
          </w:p>
        </w:tc>
      </w:tr>
    </w:tbl>
    <w:p>
      <w:pPr>
        <w:spacing w:after="0"/>
      </w:pPr>
      <w:r>
        <w:rPr>
          <w:rFonts w:ascii="Times New Roman" w:hAnsi="Times New Roman" w:eastAsia="宋体"/>
          <w:b w:val="0"/>
          <w:color w:val="000000"/>
          <w:sz w:val="19"/>
        </w:rPr>
        <w:t>记录中的运行、哈希比对和逐页检查由AI调用工具完成；团队人工审查与签认由本队负责。</w:t>
      </w:r>
    </w:p>
    <w:p>
      <w:r>
        <w:br w:type="page"/>
      </w:r>
    </w:p>
    <w:p>
      <w:pPr>
        <w:pStyle w:val="Heading1"/>
        <w:keepNext/>
      </w:pPr>
      <w:r>
        <w:t>三 典型交互实例</w:t>
      </w:r>
    </w:p>
    <w:p>
      <w:pPr>
        <w:pStyle w:val="Heading2"/>
        <w:keepNext/>
      </w:pPr>
      <w:r>
        <w:t>实例2 数值检验的独立复现补件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130" w:type="dxa"/>
          <w:left w:w="130" w:type="dxa"/>
          <w:bottom w:w="130" w:type="dxa"/>
          <w:right w:w="130" w:type="dxa"/>
        </w:tblCellMar>
      </w:tblPr>
      <w:tblGrid>
        <w:gridCol w:w="1701"/>
        <w:gridCol w:w="7937"/>
      </w:tblGrid>
      <w:tr>
        <w:trPr>
          <w:cantSplit/>
          <w:tblHeader/>
        </w:trPr>
        <w:tc>
          <w:tcPr>
            <w:tcW w:type="dxa" w:w="1701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记录项</w:t>
            </w:r>
          </w:p>
        </w:tc>
        <w:tc>
          <w:tcPr>
            <w:tcW w:type="dxa" w:w="7937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实际内容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工具与时间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 与 GPT6-Astra；2026年9月13日；代码求解与结果检验。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提示词节选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你提到的：对论文采用的网格、时间误差、方法对照，至少补齐两份 CSV 的预期位置、实验根路径及 Matplotlib 依赖。这个请你核实，添加。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历史废弃试验继续如实保留失败状态，不需要临交时把所有探索程序改成“通过”。 这个保留不动作。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AI回复节选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数值检验补件已加入：两份 CSV 的预期位置、实验根路径、运行入口和包含 Matplotlib 的依赖清单。网格、时间误差、方法对照均已完成适量重跑并核验通过，具体命令见独立运行说明。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队伍处理与落地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补齐A_environment_observed.csv、A_radius_observed.csv、requirements.txt与run_checks.py。method_comparison.py仅将ROOT改为由脚本位置确定。按本队指令保留其他原检验源码和历史失败状态。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核验方式与结果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新建虚拟环境安装并检查依赖。网格Q1 N20/40、时间误差Q1 N20及方法对照quick N100/200均实际退出0并核查内部报告。两CSV与生产输入一致，方法对照除ROOT赋值外语法树不变。未将小规模检查表述为全部高网格重跑。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采用文件位置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05_数值检验与实验/论文采用检验_独立运行说明.txt、本轮补件与运行核验.txt；Python检验源码下的run_checks.py、requirements.txt及paper_output/data_cleaned。</w:t>
            </w:r>
          </w:p>
        </w:tc>
      </w:tr>
    </w:tbl>
    <w:p>
      <w:pPr>
        <w:spacing w:after="0"/>
      </w:pPr>
      <w:r>
        <w:rPr>
          <w:rFonts w:ascii="Times New Roman" w:hAnsi="Times New Roman" w:eastAsia="宋体"/>
          <w:b w:val="0"/>
          <w:color w:val="000000"/>
          <w:sz w:val="19"/>
        </w:rPr>
        <w:t>记录中的运行、哈希比对和逐页检查由AI调用工具完成；团队人工审查与签认由本队负责。</w:t>
      </w:r>
    </w:p>
    <w:p>
      <w:r>
        <w:br w:type="page"/>
      </w:r>
    </w:p>
    <w:p>
      <w:pPr>
        <w:pStyle w:val="Heading1"/>
        <w:keepNext/>
      </w:pPr>
      <w:r>
        <w:t>三 典型交互实例</w:t>
      </w:r>
    </w:p>
    <w:p>
      <w:pPr>
        <w:pStyle w:val="Heading2"/>
        <w:keepNext/>
      </w:pPr>
      <w:r>
        <w:t>实例3 完整支撑文件清单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130" w:type="dxa"/>
          <w:left w:w="130" w:type="dxa"/>
          <w:bottom w:w="130" w:type="dxa"/>
          <w:right w:w="130" w:type="dxa"/>
        </w:tblCellMar>
      </w:tblPr>
      <w:tblGrid>
        <w:gridCol w:w="1701"/>
        <w:gridCol w:w="7937"/>
      </w:tblGrid>
      <w:tr>
        <w:trPr>
          <w:cantSplit/>
          <w:tblHeader/>
        </w:trPr>
        <w:tc>
          <w:tcPr>
            <w:tcW w:type="dxa" w:w="1701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记录项</w:t>
            </w:r>
          </w:p>
        </w:tc>
        <w:tc>
          <w:tcPr>
            <w:tcW w:type="dxa" w:w="7937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实际内容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工具与时间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 与 GPT6-Astra；2026年9月13日；论文撰写与辅助工作。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提示词节选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4. 在结束之后，我希望你生成所有支撑材料的文件列表，我要放在正文的附录中。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AI回复节选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共 8 页，按目录逐项列出当前全部 137 个文件及用途，已核对无遗漏、无重复，可以放进正文附录。另有 TXT 完整清单。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队伍处理与落地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按现有支撑目录生成逐文件路径和用途说明，提供独立DOCX供正文附录排版，并同步两份TXT清单。将空白模板和正式结果分别说明，保持本队当前目录结构。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核验方式与结果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独立核查逐项重建清单路径，137个文件全部出现且各出现一次；DOCX与两份TXT清单一致。文件列表共8页，渲染后逐页检查。生成清单未改论文正文，四份正式结果表保持冻结版本。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采用文件位置</w:t>
            </w:r>
          </w:p>
        </w:tc>
        <w:tc>
          <w:tcPr>
            <w:tcW w:type="dxa" w:w="7937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支撑材料文件列表_附录用.docx；支撑根目录00_文件清单.txt及00_可用于论文附录的支撑清单.txt。</w:t>
            </w:r>
          </w:p>
        </w:tc>
      </w:tr>
    </w:tbl>
    <w:p>
      <w:pPr>
        <w:spacing w:after="0"/>
      </w:pPr>
      <w:r>
        <w:rPr>
          <w:rFonts w:ascii="Times New Roman" w:hAnsi="Times New Roman" w:eastAsia="宋体"/>
          <w:b w:val="0"/>
          <w:color w:val="000000"/>
          <w:sz w:val="19"/>
        </w:rPr>
        <w:t>记录中的运行、哈希比对和逐页检查由AI调用工具完成；团队人工审查与签认由本队负责。</w:t>
      </w:r>
    </w:p>
    <w:p>
      <w:r>
        <w:br w:type="page"/>
      </w:r>
    </w:p>
    <w:p>
      <w:pPr>
        <w:pStyle w:val="Heading1"/>
        <w:keepNext/>
      </w:pPr>
      <w:r>
        <w:t>四 采纳修改及人工主导确认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134"/>
        <w:gridCol w:w="2835"/>
        <w:gridCol w:w="5669"/>
      </w:tblGrid>
      <w:tr>
        <w:trPr>
          <w:cantSplit/>
          <w:tblHeader/>
        </w:trPr>
        <w:tc>
          <w:tcPr>
            <w:tcW w:type="dxa" w:w="113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2835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AI辅助内容</w:t>
            </w:r>
          </w:p>
        </w:tc>
        <w:tc>
          <w:tcPr>
            <w:tcW w:type="dxa" w:w="5669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采用及修改情况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建模思路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题意整理、假设边界与模型联系检查。</w:t>
            </w:r>
          </w:p>
        </w:tc>
        <w:tc>
          <w:tcPr>
            <w:tcW w:type="dxa" w:w="56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围绕热湿耦合和收缩条件组织四问；结果限定为给定假设下的预测，不将数值检验写成实测验证。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公式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公式、量纲与符号整理。</w:t>
            </w:r>
          </w:p>
        </w:tc>
        <w:tc>
          <w:tcPr>
            <w:tcW w:type="dxa" w:w="56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区分有效体积热容和干骨架密度，区分连续阈值时刻和严格报告时刻；具体表达以论文采用方程及冻结程序为准。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代码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语法调试、依赖与复现入口、绘图适配。</w:t>
            </w:r>
          </w:p>
        </w:tc>
        <w:tc>
          <w:tcPr>
            <w:tcW w:type="dxa" w:w="56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本次采纳相对ROOT定位和新增运行入口；正式03及结果04字节保持，历史废弃检验未修复或改判。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分析与材料</w:t>
            </w:r>
          </w:p>
        </w:tc>
        <w:tc>
          <w:tcPr>
            <w:tcW w:type="dxa" w:w="2835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结果一致性检查、支撑整理和附录清单。</w:t>
            </w:r>
          </w:p>
        </w:tc>
        <w:tc>
          <w:tcPr>
            <w:tcW w:type="dxa" w:w="56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形成三项适量检验记录、绘图补件和137文件清单；保留检验范围、图像重绘差异及模型适用边界。</w:t>
            </w:r>
          </w:p>
        </w:tc>
      </w:tr>
    </w:tbl>
    <w:p>
      <w:pPr>
        <w:pStyle w:val="Heading2"/>
        <w:keepNext/>
      </w:pPr>
      <w:r>
        <w:t>人工主导事项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核心环节</w:t>
            </w:r>
          </w:p>
        </w:tc>
        <w:tc>
          <w:tcPr>
            <w:tcW w:type="dxa" w:w="765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>本队承担的工作与责任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模型选型与创新</w:t>
            </w:r>
          </w:p>
        </w:tc>
        <w:tc>
          <w:tcPr>
            <w:tcW w:type="dxa" w:w="765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负责模型路线、假设及创新内容的最终选择，判断AI建议是否适用。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公式推导</w:t>
            </w:r>
          </w:p>
        </w:tc>
        <w:tc>
          <w:tcPr>
            <w:tcW w:type="dxa" w:w="765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负责理解和审查所采用方程、条件、推导及量纲，决定最终表达。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代码逻辑</w:t>
            </w:r>
          </w:p>
        </w:tc>
        <w:tc>
          <w:tcPr>
            <w:tcW w:type="dxa" w:w="765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负责掌握核心程序逻辑并进行人工审查；区分程序运行记录和人工审核结论。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核心论证</w:t>
            </w:r>
          </w:p>
        </w:tc>
        <w:tc>
          <w:tcPr>
            <w:tcW w:type="dxa" w:w="765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负责审查结果解释、适用范围与局限性，决定论文最终结论。</w:t>
            </w:r>
          </w:p>
        </w:tc>
      </w:tr>
    </w:tbl>
    <w:p>
      <w:pPr>
        <w:pStyle w:val="Heading2"/>
        <w:keepNext/>
      </w:pPr>
      <w:r>
        <w:t>真实性声明</w:t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0"/>
        </w:rPr>
        <w:t>本队签认本文件时，确认所登记的AI工具、使用环节和采纳情况与实际过程一致，交互节选来自真实对话，并承担论文与支撑材料的真实性、准确性及完整性责任。程序运行和自动检查记录不替代本队对模型、公式、代码及核心论证的人工审查。</w:t>
      </w:r>
    </w:p>
    <w:p>
      <w:pPr>
        <w:spacing w:after="0"/>
      </w:pPr>
      <w:r>
        <w:rPr>
          <w:rFonts w:ascii="Times New Roman" w:hAnsi="Times New Roman" w:eastAsia="宋体"/>
          <w:b w:val="0"/>
          <w:color w:val="000000"/>
          <w:sz w:val="20"/>
        </w:rPr>
        <w:t>本队确认签名：________________    日期：________________</w:t>
      </w: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48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t xml:space="preserve">第 </w:t>
    </w:r>
    <w:fldSimple w:instr="PAGE">
      <w:r>
        <w:t>1</w:t>
      </w:r>
    </w:fldSimple>
    <w:r>
      <w:rPr>
        <w:rFonts w:ascii="Times New Roman" w:hAnsi="Times New Roman" w:eastAsia="宋体"/>
        <w:b w:val="0"/>
        <w:color w:val="000000"/>
        <w:sz w:val="18"/>
      </w:rPr>
      <w:t xml:space="preserve"> 页  共 </w:t>
    </w:r>
    <w:fldSimple w:instr="NUMPAGES">
      <w:r>
        <w:t>6</w:t>
      </w:r>
    </w:fldSimple>
    <w:r>
      <w:rPr>
        <w:rFonts w:ascii="Times New Roman" w:hAnsi="Times New Roman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Times New Roman" w:hAnsi="Times New Roman" w:eastAsia="宋体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76" w:lineRule="auto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76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AI工具使用详情</dc:title>
  <dc:subject>药材热湿耦合模型与干燥时间计算 AI工具使用记录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