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问题重述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1.1问题背景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中药材干燥是产地初加工的关键环节，直接决定成品品质与用药安全。热风烘干是目前应用最广的干燥方式之一，通常包含预热平衡与恒温干燥两个阶段</w:t>
      </w:r>
      <w:r>
        <w:rPr>
          <w:rFonts w:hint="eastAsia" w:ascii="Times New Roman" w:hAnsi="Times New Roman" w:eastAsia="宋体" w:cs="宋体"/>
          <w:sz w:val="24"/>
          <w:szCs w:val="24"/>
          <w:vertAlign w:val="superscript"/>
          <w:lang w:val="en-US" w:eastAsia="zh-CN"/>
        </w:rPr>
        <w:t>[1]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。然而，烘房温湿度调控多凭经验，参数不当易导致效率低、能耗高、有效成分损失等问题。已有研究表明，通过建立热风干燥的传热传质模型，可以用计算机模拟不同工艺下水分和温度的变化，从而减少试错成本</w:t>
      </w:r>
      <w:r>
        <w:rPr>
          <w:rFonts w:hint="eastAsia" w:ascii="Times New Roman" w:hAnsi="Times New Roman" w:eastAsia="宋体" w:cs="宋体"/>
          <w:sz w:val="24"/>
          <w:szCs w:val="24"/>
          <w:vertAlign w:val="superscript"/>
          <w:lang w:val="en-US" w:eastAsia="zh-CN"/>
        </w:rPr>
        <w:t>[2]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。因此，用数学建模与仿真研究热风烘干规律具有实际意义。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.2问题提出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基于上述背景，要求建立数学模型解决以下问题：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本文以圆柱形中药材的热风烘干过程为研究对象，该药材长为2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5cm、半径为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2cm，初始温度为28℃，初始水分浓度（即干基含水率）为2.5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5kg/kg。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问题一：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  <w:szCs w:val="24"/>
          <w:lang w:val="en-US" w:eastAsia="zh-CN"/>
        </w:rPr>
        <w:t>根据烘房的温度以及水分浓度变化情况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，建立预热平衡阶段药材温度和水分浓度变化规律的数学模型，据此计算出180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0s内每隔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1s、到药材中心距离每隔0.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1cm的药材温度以及水分浓度。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问题二：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在问题一的基础下，将时间范围扩展至整个烘干过程（2至3天），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  <w:szCs w:val="24"/>
          <w:lang w:val="en-US" w:eastAsia="zh-CN"/>
        </w:rPr>
        <w:t>根据预热平衡阶段与恒温干燥阶段参数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，建立整个烘干过程药材温度和水分浓度变化规律的数学模型，据此计算出在烘干过程中，每隔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1s、到药材中心距离每隔0.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1cm的药材温度以及水分浓度的。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问题三：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在问题二的基础上反求问题，约束烘干要求药材各处水分浓度均低于0.1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5kg/kg。要求依据已建立的水分浓度模型，模拟药材内部水分随时间的变化，计算出药材内部水分浓度每隔6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0s、到药材中心距离每隔0.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1cm的药材水分浓度以及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  <w:szCs w:val="24"/>
          <w:lang w:val="en-US" w:eastAsia="zh-CN"/>
        </w:rPr>
        <w:t>烘干结束时间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Times New Roman" w:hAnsi="Times New Roman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问题四：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在实际烘干过程中，药材由于水分流失引起的尺寸变化会影响到烘干的最终效果，需要建立含尺寸变化的温度和水分浓度模型，重新确定烘干时长，据此计算出药材内部水分浓度每隔6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0s时间、0.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1cm距离的水分浓度以及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  <w:szCs w:val="24"/>
          <w:lang w:val="en-US" w:eastAsia="zh-CN"/>
        </w:rPr>
        <w:t>烘干结束时间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问题分析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2.1问题一分析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已知圆柱形药材的几何尺寸（长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2cm、半径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2cm）、均匀初始状态（28°C、2.5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5kg/kg干基）、烘房温湿度序列（附件1）与常物性参数（附录2），要求得到180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0s内药材内部温度与水分浓度的时空分布。首先由傅里叶导热定律与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Fick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扩散定律，在轴对称假设下建立一维径向控制方程，并给定中心零通量与表面Robin边界条件。求解顺序上，由于本问热物性为常数，温度方程为常系数线性抛物型，可独立求解，故先求温度；该简化下温度场存在圆柱Bessel级数解析解，本文的数值求解器即以此为基准作对照校验。对于水分浓度场，热物性虽为常数，但扩散系数仍随含水率变化D1(C)，方程自身非线性，故改用守恒型有限体积离散配隐式时间推进求解，并以离散质量守恒恒等式校核(残差量级10-14);注意到扩散系数经验式中的温度项为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Arhenius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形式，计算中温度一律以开尔文代入。</w:t>
      </w:r>
    </w:p>
    <w:p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2.2问题二分析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问题二区别于上一问，将时间拉长至整个烘焙过程，已知烘干过程持续数天，预热平衡与恒温干燥两个阶段的参数不同，附录给出了密度、比热容、导热系数和扩散系数随含水率或温度变化的经验关系，要求得到整个烘干过程的温度与水分浓度时空分布。与问题一相比，本问物性同时依赖含水率与温度，温度方程和水分方程不再解耦，必须联立求解。由于两问采用的物性体系不同，本问从初始时刻重新开始计算，不以问题一的末状态作为初值。环境驱动方面，前一段时间按附件数据分段线性插值，之后取平台温湿度延拓，该延拓作为假设在论文中明确说明。求解方法上仍采用守恒型有限体积离散，时间推进需处理方程刚性与非线性耦合，因此配了解析Jacobian并采用隐式BDF格式。非线性系数不能移出散度，热容量项不能改写成特定微分形式。</w:t>
      </w:r>
    </w:p>
    <w:p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2.3问题三分析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问题三继续沿用问题二的变物性耦合模型，几何依旧保持固定半径，计算时间拉长至数天。本题不再是给定时间求内部分布，而是反向求解烘干结束时刻；烘干达标条件是药材全部位置的水分浓度均低于0.15 kg/kg。由于药材中心水分散失最慢，全场最大值一般出现在中心位置，但求解时不能只监控中心点，必须遍历全部径向位置，取全域最大水分浓度作为判断依据，寻找它第一次低于阈值的时刻作为烘干总时长。为了精确捕捉这一时刻，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选择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利用数值解进行插值搜索，并严格控制时间步长以确保穿越时刻的精度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4问题四分析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问题四的解决关键在于处理半径随时间减小带来的移动边界。直接使用原坐标会面对网格随边界变形的问题，因此采用坐标变换，把实际收缩域映射到固定区间这样，移动边界问题转化为固定域问题，问题二、三中的有限体积离散和隐式时间推进可以继续使用。半径由附件2插值得到，密度、比热、导热系数和扩散系数改用附录4的经验公式，并在每个时间步按当前含水率和温度更新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求解时，先将控制方程在变换后的坐标下重新离散，保留由坐标变换产生的网格速度相关项，具体形式按干物质骨架随动或空间固定的假设确定，避免漏项或重复加项。随后分别计算固定半径和变化半径两种情形，以便隔离收缩本身的影响：收缩缩短了水分迁移路径，但附录4扩散系数整体小于附录3，两种作用方向相反，净效应通过数值结果比较得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模型假设</w:t>
      </w:r>
    </w:p>
    <w:p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假设药材长径比较大，忽略药材两个端面的传热与水分散失，将三维传热传质过程简化为一维径向模型。</w:t>
      </w:r>
    </w:p>
    <w:p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假设烘房内热风充分混合，同一时刻药材表面外侧温湿度均匀，对流换热系数、对流传质系数取恒定值。</w:t>
      </w:r>
    </w:p>
    <w:p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假设初始时刻药材内部温度与干基含水率均匀分布，不存在初始梯度。</w:t>
      </w:r>
    </w:p>
    <w:p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假设药材干物质骨架不发生迁移；问题一至三骨架尺寸固定，问题四只发生均匀径向收缩，轴向长度不变。</w:t>
      </w:r>
    </w:p>
    <w:p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假设不考虑药材内部生化反应，仅研究热传导与水分扩散物理过程。</w:t>
      </w:r>
    </w:p>
    <w:p>
      <w:pPr>
        <w:widowControl w:val="0"/>
        <w:numPr>
          <w:numId w:val="0"/>
        </w:numPr>
        <w:bidi w:val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bidi w:val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符号说明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6"/>
        <w:gridCol w:w="3576"/>
        <w:gridCol w:w="2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bCs w:val="0"/>
                <w:sz w:val="24"/>
                <w:szCs w:val="24"/>
                <w:lang w:val="en-US" w:eastAsia="zh-CN"/>
              </w:rPr>
              <w:t>符号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lang w:val="en-US" w:eastAsia="zh-CN"/>
              </w:rPr>
              <w:t>说明</w:t>
            </w:r>
          </w:p>
        </w:tc>
        <w:tc>
          <w:tcPr>
            <w:tcW w:w="226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bCs w:val="0"/>
                <w:sz w:val="24"/>
                <w:szCs w:val="24"/>
                <w:lang w:val="en-US" w:eastAsia="zh-CN"/>
              </w:rPr>
              <w:t>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26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到药材中心的径向距离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x=r/R(t)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材料归一化径向坐标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药材温度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干基含水率=m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/m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干物质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w=C/(1+C)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湿基质量分数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R(t)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药材当前半径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 w:val="0"/>
                <w:color w:val="auto"/>
                <w:sz w:val="24"/>
                <w:szCs w:val="24"/>
                <w:lang w:val="en-US" w:eastAsia="zh-CN"/>
              </w:rPr>
              <w:t>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eff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有效密度（用于热容量）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 w:val="0"/>
                <w:sz w:val="24"/>
                <w:szCs w:val="24"/>
                <w:lang w:val="en-US" w:eastAsia="zh-CN"/>
              </w:rPr>
              <w:t>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守恒干物质密度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比热容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J/(kg·K)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导热系数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W/(m·K)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有效水分扩散系数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m²/s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对流换热系数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W/(m²·K)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color w:val="auto"/>
                <w:sz w:val="24"/>
                <w:szCs w:val="24"/>
                <w:lang w:val="en-US" w:eastAsia="zh-CN"/>
              </w:rPr>
              <w:t>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对流传质系数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B=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 w:val="0"/>
                <w:color w:val="auto"/>
                <w:sz w:val="24"/>
                <w:szCs w:val="24"/>
                <w:lang w:val="en-US" w:eastAsia="zh-CN"/>
              </w:rPr>
              <w:t>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eff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·c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有效体积显热容量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J/(m³·K)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q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径向导热热流密度（向外为正）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W/m²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j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径向水分质量通量（向外为正）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kg/(m²·s)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ℓ(t)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每单位初始干物质的累计失水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vertAlign w:val="subscript"/>
                <w:lang w:val="en-US" w:eastAsia="zh-CN"/>
              </w:rPr>
              <w:t>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环境对应的等效平衡含水率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T∞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烘房温度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t*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全域达标时刻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i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Cs/>
                <w:sz w:val="24"/>
                <w:szCs w:val="24"/>
                <w:lang w:val="en-US" w:eastAsia="zh-CN"/>
              </w:rPr>
              <w:t>s</w:t>
            </w:r>
          </w:p>
        </w:tc>
      </w:tr>
    </w:tbl>
    <w:p>
      <w:pPr>
        <w:widowControl w:val="0"/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模型的建立与求解</w:t>
      </w: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模型的评价</w:t>
      </w:r>
    </w:p>
    <w:p>
      <w:pPr>
        <w:widowControl w:val="0"/>
        <w:numPr>
          <w:numId w:val="0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6.1模型的优点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模型结构统一：四个问题的解决用同一套守恒框架，只是物性、几何与判据的切换，逻辑一致、便于对比。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数值方法针对问题特性设计：Kirchhoff变换精确处理D(C)的强非线性面通量；材料坐标把移动域化为固定域；解析稀疏Jacobian配合BD处理刚性，使N达到3200/6400仍可在分钟量级完成。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检验分层且可追溯：解析基准、离散守恒、空间/时间收敛、跨语言交叉核验四类证据分开报告，且明确各自的适用范围。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6.2模型的不足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缺少物理闭合：未显式计入相变潜热，C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vertAlign w:val="subscript"/>
          <w:lang w:val="en-US" w:eastAsia="zh-CN"/>
        </w:rPr>
        <w:t>eq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用等效映射，密度与收缩相容性未完全解决。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6.3模型的推广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走向工艺优化：将模型作为约束条件接入优化框架，在品质约束下以能耗或时长为目标，利用参数扫描或启发式算法寻优。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维度扩展：针对长径比较小、端面影响不可忽略的物料，可将一维径向扩展为二维轴对称模型，显式处理端面传热传质。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</w:p>
    <w:p>
      <w:pPr>
        <w:widowControl w:val="0"/>
        <w:numPr>
          <w:ilvl w:val="0"/>
          <w:numId w:val="5"/>
        </w:numPr>
        <w:ind w:left="425" w:leftChars="0" w:hanging="425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王乐毅,李长河,刘明政.中药材干燥技术与装备研究现状[J].农业工程学报,2024,40(4):1-15.</w:t>
      </w:r>
    </w:p>
    <w:p>
      <w:pPr>
        <w:widowControl w:val="0"/>
        <w:numPr>
          <w:numId w:val="0"/>
        </w:numPr>
        <w:ind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425" w:leftChars="0" w:hanging="425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王晓辉,王学成,唐培渝.数值模拟仿真研究现状及其在中药干燥领域应用展望[J].中国中药杂志,2023,48(13):3440-3447.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4ABEE6"/>
    <w:multiLevelType w:val="singleLevel"/>
    <w:tmpl w:val="BA4ABE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333EA6B"/>
    <w:multiLevelType w:val="singleLevel"/>
    <w:tmpl w:val="E333EA6B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">
    <w:nsid w:val="EBD86F52"/>
    <w:multiLevelType w:val="singleLevel"/>
    <w:tmpl w:val="EBD86F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C3167E1"/>
    <w:multiLevelType w:val="singleLevel"/>
    <w:tmpl w:val="1C3167E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56CE9391"/>
    <w:multiLevelType w:val="singleLevel"/>
    <w:tmpl w:val="56CE939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72B5C80"/>
    <w:rsid w:val="500A2F50"/>
    <w:rsid w:val="69B4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2026-09-12T02:18:42Z</dcterms:created>
  <dc:creator>admin</dc:creator>
  <cp:lastModifiedBy>℡</cp:lastModifiedBy>
  <dcterms:modified xsi:type="dcterms:W3CDTF">2026-09-12T10:00:40Z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