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7C76F3">
      <w:pPr>
        <w:pStyle w:val="6"/>
        <w:snapToGrid w:val="0"/>
        <w:ind w:firstLine="0"/>
        <w:jc w:val="center"/>
      </w:pPr>
      <w:r>
        <w:rPr>
          <w:rFonts w:ascii="Times New Roman" w:hAnsi="Times New Roman" w:cs="Times New Roman" w:eastAsia="宋体"/>
        </w:rPr>
        <w:t xml:space="preserve">考虑物性变化与径向收缩的药材热湿耦合模型及数值验证</w:t>
      </w:r>
    </w:p>
    <w:p w14:paraId="1B242AFD">
      <w:pPr>
        <w:pStyle w:val="8"/>
        <w:snapToGrid w:val="0"/>
        <w:ind w:firstLine="0"/>
        <w:jc w:val="center"/>
      </w:pPr>
      <w:r>
        <w:rPr>
          <w:rFonts w:ascii="Times New Roman" w:hAnsi="Times New Roman" w:cs="Times New Roman" w:eastAsia="宋体"/>
        </w:rPr>
        <w:t xml:space="preserve">摘要</w:t>
      </w:r>
    </w:p>
    <w:p w14:paraId="4B63DB88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药材热风烘干同时涉及温度传递、水分迁移及尺寸变化，表面状态难以直接代表内部干燥程度。针对圆柱形药材的四个问题，本文基于题给环境观测和物性关系，建立一维径向有效热湿耦合模型，并以全域最大干基含水率确定烘干结束时间。模型区分有效显热容量与守恒干物质密度，将气固含水率映射、观测窗后环境平台和同比径向收缩作为明确闭合；在环形控制体上采用Kirchhoff浓度势处理非线性扩散，配合解析稀疏Jacobian与隐式BDF求解。</w:t>
      </w:r>
    </w:p>
    <w:p w14:paraId="5E5C2454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针对问题一，采用常热物性与含水率依赖扩散系数建立预热模型，计算0—1800 s内温度和水分的径向分布。1800 s时中心、表面温度分别为33.5753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°C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和36.7856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°C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，干基含水率分别显示2.5500和1.5102 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kg/kg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，反映表层先响应及内部水分迁移滞后。温度场另与包含时变边界卷积的圆柱解析级数对照，验证简化条件下的数值实现。</w:t>
      </w:r>
    </w:p>
    <w:p w14:paraId="74441259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针对问题二，从初始状态统一采用附录3的变物性，联立计算温度对扩散及水分对热物性的反馈。附件观测区间内进行分段线性插值，4 h后按50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°C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与等效平衡含水率0.05延拓。3 h时中心、表面温度为49.8495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°C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和49.9664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°C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，而含水率仍为1.7662和1.0081 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kg/kg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，说明升温接近完成早于全域脱水完成。</w:t>
      </w:r>
    </w:p>
    <w:p w14:paraId="7974326A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针对问题三，复用全过程轨迹，以全域最大含水率下降穿越0.15 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kg/kg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定位临界根，并区别临界等号与严格可行的报告时刻，得到烘干时长57.4724 h。针对问题四，在干物质守恒下取材料坐标，将给定半径变化转化为固定区间上的时变几何因子；采用整组附录4物性，得到时长51.0906 h、结束半径约1.2000 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cm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，输出中将域外位置与真实表面分别处理。</w:t>
      </w:r>
    </w:p>
    <w:p w14:paraId="560AA0D8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网格与时间设置检验、独立MATLAB实现及BDF/Radau对照支持结果在所列范围内的数值一致性。同物性几何对照显示缩短迁移路径的作用，经验边界阻力情景进一步说明气固闭合对时长的影响。由于没有内部温湿实测及药材等温线，本文不将数值一致性解释为实测准确率；所得时长适用于给定物性、环境延拓和收缩假设。</w:t>
      </w:r>
    </w:p>
    <w:p w14:paraId="11A84AFA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关键词：热湿耦合；有限体积法；Kirchhoff变换；径向收缩；干燥时间</w:t>
      </w:r>
    </w:p>
    <w:p w14:paraId="266A7A39">
      <w:pPr>
        <w:pStyle w:val="7"/>
        <w:pageBreakBefore/>
        <w:snapToGrid w:val="0"/>
        <w:ind w:firstLine="0"/>
      </w:pPr>
      <w:r>
        <w:rPr>
          <w:rFonts w:ascii="Times New Roman" w:hAnsi="Times New Roman" w:cs="Times New Roman" w:eastAsia="宋体"/>
        </w:rPr>
        <w:t xml:space="preserve">1 问题重述</w:t>
      </w:r>
    </w:p>
    <w:p w14:paraId="33846D9A">
      <w:pPr>
        <w:pStyle w:val="8"/>
        <w:snapToGrid w:val="0"/>
        <w:ind w:firstLine="0"/>
      </w:pPr>
      <w:r>
        <w:rPr>
          <w:rFonts w:ascii="Times New Roman" w:hAnsi="Times New Roman" w:cs="Times New Roman" w:eastAsia="宋体"/>
        </w:rPr>
        <w:t xml:space="preserve">1.1问题背景</w:t>
      </w:r>
    </w:p>
    <w:p w14:paraId="08923578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中药材干燥是产地初加工的关键环节，直接决定成品品质与用药安全。热风烘干是目前应用最广的干燥方式之一，通常包含预热平衡与恒温干燥两个阶段[1]。然而，烘房温湿度调控多凭经验，参数不当易导致效率低、能耗高、有效成分损失等问题。已有研究表明，通过建立热风干燥的传热传质模型，可以用计算机模拟不同工艺下水分和温度的变化，从而减少试错成本[2]。因此，用数学建模与仿真研究热风烘干规律具有实际意义。</w:t>
      </w:r>
    </w:p>
    <w:p w14:paraId="18F3753A">
      <w:pPr>
        <w:pStyle w:val="8"/>
        <w:snapToGrid w:val="0"/>
        <w:ind w:firstLine="0"/>
      </w:pPr>
      <w:r>
        <w:rPr>
          <w:rFonts w:ascii="Times New Roman" w:hAnsi="Times New Roman" w:cs="Times New Roman" w:eastAsia="宋体"/>
        </w:rPr>
        <w:t xml:space="preserve">1.2问题提出</w:t>
      </w:r>
    </w:p>
    <w:p w14:paraId="1970E8D4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基于上述背景，要求建立数学模型解决以下问题：</w:t>
      </w:r>
    </w:p>
    <w:p w14:paraId="06DAF670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本文以圆柱形中药材的热风烘干过程为研究对象，该药材长为25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cm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、半径为2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cm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，初始温度为28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℃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，初始水分浓度（即干基含水率）为2.55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kg/kg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。</w:t>
      </w:r>
    </w:p>
    <w:p w14:paraId="744C887A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问题一：根据烘房的温度以及水分浓度变化情况，建立预热平衡阶段药材温度和水分浓度变化规律的数学模型，据此计算出1800s内每隔1s、到药材中心距离每隔0.1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cm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的药材温度以及水分浓度。</w:t>
      </w:r>
    </w:p>
    <w:p w14:paraId="43152FA4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问题二：在问题一的基础下，将时间范围扩展至整个烘干过程（2至3天），根据预热平衡阶段与恒温干燥阶段参数，建立整个烘干过程药材温度和水分浓度变化规律的数学模型，据此计算出在烘干过程中，每隔1s、到药材中心距离每隔0.1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cm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的药材温度以及水分浓度的。</w:t>
      </w:r>
    </w:p>
    <w:p w14:paraId="2C134F66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问题三：在问题二的基础上反求问题，约束烘干要求药材各处水分浓度均低于0.15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kg/kg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。要求依据已建立的水分浓度模型，模拟药材内部水分随时间的变化，计算出药材内部水分浓度每隔60s、到药材中心距离每隔0.1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cm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的药材水分浓度以及烘干结束时间。</w:t>
      </w:r>
    </w:p>
    <w:p w14:paraId="7326150D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问题四：在实际烘干过程中，药材由于水分流失引起的尺寸变化会影响到烘干的最终效果，需要建立含尺寸变化的温度和水分浓度模型，重新确定烘干时长，据此计算出药材内部水分浓度每隔60s时间、0.1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cm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距离的水分浓度以及烘干结束时间。</w:t>
      </w:r>
    </w:p>
    <w:p w14:paraId="741ABCE4">
      <w:pPr>
        <w:pStyle w:val="7"/>
        <w:snapToGrid w:val="0"/>
        <w:ind w:firstLine="0"/>
      </w:pPr>
      <w:r>
        <w:rPr>
          <w:rFonts w:ascii="Times New Roman" w:hAnsi="Times New Roman" w:cs="Times New Roman" w:eastAsia="宋体"/>
        </w:rPr>
        <w:t xml:space="preserve">2 问题分析</w:t>
      </w:r>
    </w:p>
    <w:p w14:paraId="2EA60862">
      <w:pPr>
        <w:pStyle w:val="8"/>
        <w:snapToGrid w:val="0"/>
        <w:ind w:firstLine="0"/>
      </w:pPr>
      <w:r>
        <w:rPr>
          <w:rFonts w:ascii="Times New Roman" w:hAnsi="Times New Roman" w:cs="Times New Roman" w:eastAsia="宋体"/>
        </w:rPr>
        <w:t xml:space="preserve">2.1问题一分析</w:t>
      </w:r>
    </w:p>
    <w:p w14:paraId="514619F7">
      <w:pPr>
        <w:snapToGrid w:val="0"/>
        <w:spacing w:line="300" w:lineRule="auto"/>
        <w:ind w:firstLine="482"/>
        <w:jc w:val="both"/>
      </w:pPr>
      <w:commentRangeStart w:id="0"/>
      <w:commentRangeStart w:id="1"/>
      <w:r>
        <w:rPr>
          <w:rFonts w:ascii="Times New Roman" w:hAnsi="Times New Roman" w:eastAsia="宋体" w:cs="Times New Roman"/>
          <w:color w:val="000000"/>
          <w:sz w:val="24"/>
        </w:rPr>
        <w:t xml:space="preserve">已知圆柱形药材的几何尺寸（长2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5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cm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、半径2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cm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）、均匀初始状态（28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°C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、2.55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kg/kg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干基）、烘房温湿度序列（附件1）与常物性参数（附录2），要求得到1800s内药材内部温度与水分浓度的时空分布。首先由傅里叶导热定律与Fick扩散定律，在轴对称假设下建立一维径向控制方程，并给定中心零通量与表面Robin边界条件。求解顺序上，由于本问热物性为常数，温度方程为常系数线性抛物型，可独立求解，故先求温度；该简化下温度场存在圆柱Bessel级数解析解，本文的数值求解器即以此为基准作对照校验。对于水分浓度场，热物性虽为常数，但扩散系数仍随含水率变化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D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1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(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)，方程自身非线性，故改用守恒型有限体积离散配隐式时间推进求解，并以离散质量守恒恒等式校核(残差量级10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perscript"/>
        </w:rPr>
        <w:t xml:space="preserve">-14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);注意到扩散系数经验式中的温度项为Arhenius形式，计算中温度一律以开尔文代入。</w:t>
      </w:r>
      <w:commentRangeEnd w:id="0"/>
      <w:r>
        <w:commentReference w:id="0"/>
      </w:r>
      <w:commentRangeEnd w:id="1"/>
      <w:r>
        <w:commentReference w:id="1"/>
      </w:r>
    </w:p>
    <w:p w14:paraId="27EB268B">
      <w:pPr>
        <w:pStyle w:val="8"/>
        <w:snapToGrid w:val="0"/>
        <w:ind w:firstLine="0"/>
      </w:pPr>
      <w:r>
        <w:rPr>
          <w:rFonts w:ascii="Times New Roman" w:hAnsi="Times New Roman" w:cs="Times New Roman" w:eastAsia="宋体"/>
        </w:rPr>
        <w:t xml:space="preserve">2.2问题二分析</w:t>
      </w:r>
    </w:p>
    <w:p w14:paraId="5604CD8B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问题二区别于上一问，将时间拉长至整个烘焙过程，已知烘干过程持续数天，预热平衡与恒温干燥两个阶段的参数不同，附录给出了密度、比热容、导热系数和扩散系数随含水率或温度变化的经验关系，要求得到整个烘干过程的温度与水分浓度时空分布。与问题一相比，本问物性同时依赖含水率与温度，温度方程和水分方程不再解耦，必须联立求解。由于两问采用的物性体系不同，本问从初始时刻重新开始计算，不以问题一的末状态作为初值。环境驱动方面，前一段时间按附件数据分段线性插值，之后取平台温湿度延拓，该延拓作为假设在论文中明确说明。求解方法上仍采用守恒型有限体积离散，时间推进需处理方程刚性与非线性耦合，因此配了解析Jacobian并采用隐式BDF格式。非线性系数不能移出散度，热容量项不能改写成特定微分形式。</w:t>
      </w:r>
    </w:p>
    <w:p w14:paraId="55358E72">
      <w:pPr>
        <w:pStyle w:val="8"/>
        <w:snapToGrid w:val="0"/>
        <w:ind w:firstLine="0"/>
      </w:pPr>
      <w:r>
        <w:rPr>
          <w:rFonts w:ascii="Times New Roman" w:hAnsi="Times New Roman" w:cs="Times New Roman" w:eastAsia="宋体"/>
        </w:rPr>
        <w:t xml:space="preserve">2.3问题三分析</w:t>
      </w:r>
    </w:p>
    <w:p w14:paraId="64052252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问题三继续沿用问题二的变物性耦合模型，几何依旧保持固定半径，计算时间拉长至数天。本题不再是给定时间求内部分布，而是反向求解烘干结束时刻；烘干达标条件是药材全部位置的水分浓度均低于0.15 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kg/kg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。由于药材中心水分散失最慢，全场最大值一般出现在中心位置，但求解时不能只监控中心点，必须遍历全部径向位置，取全域最大水分浓度作为判断依据，寻找它第一次低于阈值的时刻作为烘干总时长。为了精确捕捉这一时刻，选择利用数值解进行插值搜索，并严格控制时间步长以确保穿越时刻的精度。</w:t>
      </w:r>
    </w:p>
    <w:p w14:paraId="4726AAD8">
      <w:pPr>
        <w:pStyle w:val="8"/>
        <w:snapToGrid w:val="0"/>
        <w:ind w:firstLine="0"/>
      </w:pPr>
      <w:r>
        <w:rPr>
          <w:rFonts w:ascii="Times New Roman" w:hAnsi="Times New Roman" w:cs="Times New Roman" w:eastAsia="宋体"/>
        </w:rPr>
        <w:t xml:space="preserve">2.4问题四分析</w:t>
      </w:r>
    </w:p>
    <w:p w14:paraId="3ADCBEDF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问题四的解决关键在于处理半径随时间减小带来的移动边界。直接使用原坐标会面对网格随边界变形的问题，因此采用坐标变换，把实际收缩域映射到固定区间这样，移动边界问题转化为固定域问题，问题二、三中的有限体积离散和隐式时间推进可以继续使用。半径由附件2插值得到，密度、比热、导热系数和扩散系数改用附录4的经验公式，并在每个时间步按当前含水率和温度更新。</w:t>
      </w:r>
    </w:p>
    <w:p w14:paraId="0C19F7E3">
      <w:pPr>
        <w:snapToGrid w:val="0"/>
        <w:spacing w:line="300" w:lineRule="auto"/>
        <w:ind w:firstLine="482"/>
        <w:jc w:val="both"/>
      </w:pPr>
      <w:commentRangeStart w:id="2"/>
      <w:commentRangeStart w:id="3"/>
      <w:r>
        <w:rPr>
          <w:rFonts w:ascii="Times New Roman" w:hAnsi="Times New Roman" w:eastAsia="宋体" w:cs="Times New Roman"/>
          <w:color w:val="000000"/>
          <w:sz w:val="24"/>
        </w:rPr>
        <w:t xml:space="preserve">求解时，先将控制方程在变换后的坐标下重新离散，保留由坐标变换产生的网格速度相关项，具体形式按干物质骨架随动或空间固定的假设确定，避免漏项或重复加项。随后分别计算固定半径和变化半径两种情形，以便隔离收缩本身的影响：收缩缩短了水分迁移路径，但附录4扩散系数整体小于附录3，两种作用方向相反，净效应通过数值结果比较得出。</w:t>
      </w:r>
      <w:commentRangeEnd w:id="2"/>
      <w:r>
        <w:commentReference w:id="2"/>
      </w:r>
      <w:commentRangeEnd w:id="3"/>
      <w:r>
        <w:commentReference w:id="3"/>
      </w:r>
    </w:p>
    <w:p w14:paraId="4D07BE68">
      <w:pPr>
        <w:pStyle w:val="7"/>
        <w:snapToGrid w:val="0"/>
        <w:ind w:firstLine="0"/>
      </w:pPr>
      <w:r>
        <w:rPr>
          <w:rFonts w:ascii="Times New Roman" w:hAnsi="Times New Roman" w:cs="Times New Roman" w:eastAsia="宋体"/>
        </w:rPr>
        <w:t xml:space="preserve">3 模型假设</w:t>
      </w:r>
    </w:p>
    <w:p w14:paraId="7990A2B9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假设药材长径比较大，忽略药材两个端面的传热与水分散失，将三维传热传质过程简化为一维径向模型。</w:t>
      </w:r>
    </w:p>
    <w:p w14:paraId="7666F345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假设烘房内热风充分混合，同一时刻药材表面外侧温湿度均匀，对流换热系数、对流传质系数取恒定值。</w:t>
      </w:r>
    </w:p>
    <w:p w14:paraId="01774E02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假设初始时刻药材内部温度与干基含水率均匀分布，不存在初始梯度。</w:t>
      </w:r>
    </w:p>
    <w:p w14:paraId="7831AE32">
      <w:pPr>
        <w:snapToGrid w:val="0"/>
        <w:spacing w:line="300" w:lineRule="auto"/>
        <w:ind w:firstLine="482"/>
        <w:jc w:val="both"/>
      </w:pPr>
      <w:commentRangeStart w:id="4"/>
      <w:r>
        <w:rPr>
          <w:rFonts w:ascii="Times New Roman" w:hAnsi="Times New Roman" w:eastAsia="宋体" w:cs="Times New Roman"/>
          <w:color w:val="000000"/>
          <w:sz w:val="24"/>
        </w:rPr>
        <w:t xml:space="preserve">假设药材干物质骨架不发生迁移；问题一至三骨架尺寸固定，问题四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在</w:t>
      </w:r>
      <w:r>
        <w:rPr>
          <w:rFonts w:ascii="Times New Roman" w:hAnsi="Times New Roman" w:cs="Times New Roman" w:eastAsia="宋体"/>
        </w:rPr>
        <w:t xml:space="preserve">干物质没有生成、损失或相对骨架迁移</w:t>
      </w:r>
      <w:r>
        <w:rPr>
          <w:rFonts w:hint="eastAsia" w:ascii="Times New Roman" w:hAnsi="Times New Roman" w:cs="Times New Roman" w:eastAsia="宋体"/>
          <w:lang w:val="en-US" w:eastAsia="zh-CN"/>
        </w:rPr>
        <w:t xml:space="preserve">时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只发生均匀径向收缩，轴向长度不变。</w:t>
      </w:r>
      <w:commentRangeEnd w:id="4"/>
      <w:r>
        <w:commentReference w:id="4"/>
      </w:r>
    </w:p>
    <w:p w14:paraId="2701FE94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假设不考虑药材内部生化反应，仅研究热传导与水分扩散物理过程。</w:t>
      </w:r>
    </w:p>
    <w:p w14:paraId="23A60965">
      <w:pPr>
        <w:pStyle w:val="7"/>
        <w:snapToGrid w:val="0"/>
        <w:ind w:firstLine="0"/>
      </w:pPr>
      <w:r>
        <w:rPr>
          <w:rFonts w:ascii="Times New Roman" w:hAnsi="Times New Roman" w:cs="Times New Roman" w:eastAsia="宋体"/>
        </w:rPr>
        <w:t xml:space="preserve">4 符号说明</w:t>
      </w:r>
    </w:p>
    <w:tbl>
      <w:tblPr>
        <w:tblStyle w:val="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2B1925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024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8E8B7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符号</w:t>
            </w:r>
          </w:p>
        </w:tc>
        <w:tc>
          <w:tcPr>
            <w:tcW w:w="3024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3A398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说明</w:t>
            </w:r>
          </w:p>
        </w:tc>
        <w:tc>
          <w:tcPr>
            <w:tcW w:w="3024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B8E95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0"/>
                <w:iCs w:val="0"/>
              </w:rPr>
              <w:t xml:space="preserve">单位</w:t>
            </w:r>
          </w:p>
        </w:tc>
      </w:tr>
      <w:tr w14:paraId="64828B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8157F3">
            <w:pPr>
              <w:snapToGrid w:val="0"/>
              <w:spacing w:before="60" w:after="60" w:line="264" w:lineRule="auto"/>
              <w:ind w:left="0" w:right="0" w:firstLine="0"/>
              <w:jc w:val="center"/>
              <w:rPr>
                <w:i/>
                <w:iCs/>
              </w:rPr>
            </w:pPr>
            <w:r>
              <w:rPr>
                <w:rFonts w:ascii="Times New Roman" w:hAnsi="Times New Roman" w:eastAsia="宋体" w:cs="Times New Roman"/>
                <w:b w:val="0"/>
                <w:i w:val="1"/>
                <w:iCs w:val="1"/>
                <w:color w:val="000000"/>
                <w:sz w:val="21"/>
                <w:vertAlign w:val="baseline"/>
              </w:rPr>
              <w:t xml:space="preserve">t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3B7CA7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时间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4F9C27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i w:val="0"/>
                <w:iCs w:val="0"/>
              </w:rPr>
              <w:t xml:space="preserve">s</w:t>
            </w:r>
          </w:p>
        </w:tc>
      </w:tr>
      <w:tr w14:paraId="4E264B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3DA9B4">
            <w:pPr>
              <w:snapToGrid w:val="0"/>
              <w:spacing w:before="60" w:after="60" w:line="264" w:lineRule="auto"/>
              <w:ind w:left="0" w:right="0" w:firstLine="0"/>
              <w:jc w:val="center"/>
              <w:rPr>
                <w:i/>
                <w:iCs/>
              </w:rPr>
            </w:pPr>
            <w:r>
              <w:rPr>
                <w:rFonts w:ascii="Times New Roman" w:hAnsi="Times New Roman" w:eastAsia="宋体" w:cs="Times New Roman"/>
                <w:b w:val="0"/>
                <w:i w:val="1"/>
                <w:iCs w:val="1"/>
                <w:color w:val="000000"/>
                <w:sz w:val="21"/>
                <w:vertAlign w:val="baseline"/>
              </w:rPr>
              <w:t xml:space="preserve">r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8868E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到药材中心的径向距离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EE9FB0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i w:val="0"/>
                <w:iCs w:val="0"/>
              </w:rPr>
              <w:t xml:space="preserve">m</w:t>
            </w:r>
          </w:p>
        </w:tc>
      </w:tr>
      <w:tr w14:paraId="469672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3CD9F4">
            <w:pPr>
              <w:snapToGrid w:val="0"/>
              <w:spacing w:before="60" w:after="60" w:line="264" w:lineRule="auto"/>
              <w:ind w:left="0" w:right="0" w:firstLine="0"/>
              <w:jc w:val="center"/>
              <w:rPr>
                <w:i/>
                <w:iCs/>
              </w:rPr>
            </w:pPr>
            <w:r>
              <w:rPr>
                <w:rFonts w:ascii="Times New Roman" w:hAnsi="Times New Roman" w:eastAsia="宋体" w:cs="Times New Roman"/>
                <w:b w:val="0"/>
                <w:i w:val="1"/>
                <w:iCs w:val="1"/>
                <w:color w:val="000000"/>
                <w:sz w:val="21"/>
                <w:vertAlign w:val="baseline"/>
              </w:rPr>
              <w:t xml:space="preserve">x</w:t>
            </w:r>
            <w:r>
              <w:rPr>
                <w:rFonts w:ascii="Times New Roman" w:hAnsi="Times New Roman" w:eastAsia="宋体" w:cs="Times New Roman"/>
                <w:b w:val="0"/>
                <w:i/>
                <w:iCs/>
                <w:color w:val="000000"/>
                <w:sz w:val="21"/>
              </w:rPr>
              <w:t xml:space="preserve">=</w:t>
            </w:r>
            <w:r>
              <w:rPr>
                <w:rFonts w:ascii="Times New Roman" w:hAnsi="Times New Roman" w:eastAsia="宋体" w:cs="Times New Roman"/>
                <w:b w:val="0"/>
                <w:i w:val="1"/>
                <w:iCs w:val="1"/>
                <w:color w:val="000000"/>
                <w:sz w:val="21"/>
                <w:vertAlign w:val="baseline"/>
              </w:rPr>
              <w:t xml:space="preserve">r</w:t>
            </w:r>
            <w:r>
              <w:rPr>
                <w:rFonts w:ascii="Times New Roman" w:hAnsi="Times New Roman" w:eastAsia="宋体" w:cs="Times New Roman"/>
                <w:b w:val="0"/>
                <w:i/>
                <w:iCs/>
                <w:color w:val="000000"/>
                <w:sz w:val="21"/>
              </w:rPr>
              <w:t xml:space="preserve">/</w:t>
            </w:r>
            <w:r>
              <w:rPr>
                <w:rFonts w:ascii="Times New Roman" w:hAnsi="Times New Roman" w:eastAsia="宋体" w:cs="Times New Roman"/>
                <w:b w:val="0"/>
                <w:i w:val="1"/>
                <w:iCs w:val="1"/>
                <w:color w:val="000000"/>
                <w:sz w:val="21"/>
                <w:vertAlign w:val="baseline"/>
              </w:rPr>
              <w:t xml:space="preserve">R</w:t>
            </w:r>
            <w:r>
              <w:rPr>
                <w:rFonts w:ascii="Times New Roman" w:hAnsi="Times New Roman" w:eastAsia="宋体" w:cs="Times New Roman"/>
                <w:b w:val="0"/>
                <w:i/>
                <w:iCs/>
                <w:color w:val="000000"/>
                <w:sz w:val="21"/>
              </w:rPr>
              <w:t xml:space="preserve">(</w:t>
            </w:r>
            <w:r>
              <w:rPr>
                <w:rFonts w:ascii="Times New Roman" w:hAnsi="Times New Roman" w:eastAsia="宋体" w:cs="Times New Roman"/>
                <w:b w:val="0"/>
                <w:i w:val="1"/>
                <w:iCs w:val="1"/>
                <w:color w:val="000000"/>
                <w:sz w:val="21"/>
                <w:vertAlign w:val="baseline"/>
              </w:rPr>
              <w:t xml:space="preserve">t</w:t>
            </w:r>
            <w:r>
              <w:rPr>
                <w:rFonts w:ascii="Times New Roman" w:hAnsi="Times New Roman" w:eastAsia="宋体" w:cs="Times New Roman"/>
                <w:b w:val="0"/>
                <w:i/>
                <w:iCs/>
                <w:color w:val="000000"/>
                <w:sz w:val="21"/>
              </w:rPr>
              <w:t xml:space="preserve">)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6CFBF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材料归一化径向坐标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F908D7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i w:val="0"/>
                <w:iCs w:val="0"/>
              </w:rPr>
              <w:t xml:space="preserve">1</w:t>
            </w:r>
          </w:p>
        </w:tc>
      </w:tr>
      <w:tr w14:paraId="751390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65EF5E">
            <w:pPr>
              <w:snapToGrid w:val="0"/>
              <w:spacing w:before="60" w:after="60" w:line="264" w:lineRule="auto"/>
              <w:ind w:left="0" w:right="0" w:firstLine="0"/>
              <w:jc w:val="center"/>
              <w:rPr>
                <w:i/>
                <w:iCs/>
              </w:rPr>
            </w:pPr>
            <w:r>
              <w:rPr>
                <w:rFonts w:ascii="Times New Roman" w:hAnsi="Times New Roman" w:eastAsia="宋体" w:cs="Times New Roman"/>
                <w:b w:val="0"/>
                <w:i w:val="1"/>
                <w:iCs w:val="1"/>
                <w:color w:val="000000"/>
                <w:sz w:val="21"/>
                <w:vertAlign w:val="baseline"/>
              </w:rPr>
              <w:t xml:space="preserve">T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D0159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药材温度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99B64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i w:val="0"/>
                <w:iCs w:val="0"/>
              </w:rPr>
              <w:t xml:space="preserve">K</w:t>
            </w:r>
          </w:p>
        </w:tc>
      </w:tr>
      <w:tr w14:paraId="77D9D4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9B7263">
            <w:pPr>
              <w:snapToGrid w:val="0"/>
              <w:spacing w:before="60" w:after="60" w:line="264" w:lineRule="auto"/>
              <w:ind w:left="0" w:right="0" w:firstLine="0"/>
              <w:jc w:val="center"/>
              <w:rPr>
                <w:i/>
                <w:iCs/>
              </w:rPr>
            </w:pPr>
            <w:r>
              <w:rPr>
                <w:rFonts w:ascii="Times New Roman" w:hAnsi="Times New Roman" w:eastAsia="宋体" w:cs="Times New Roman"/>
                <w:b w:val="0"/>
                <w:i w:val="1"/>
                <w:iCs w:val="1"/>
                <w:color w:val="000000"/>
                <w:sz w:val="21"/>
                <w:vertAlign w:val="baseline"/>
              </w:rPr>
              <w:t xml:space="preserve">C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E13CB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干基含水率=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i w:val="1"/>
                <w:iCs w:val="1"/>
                <w:vertAlign w:val="baseline"/>
              </w:rPr>
              <w:t xml:space="preserve">m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水/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i w:val="1"/>
                <w:iCs w:val="1"/>
                <w:vertAlign w:val="baseline"/>
              </w:rPr>
              <w:t xml:space="preserve">m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干物质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807D5F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i w:val="0"/>
                <w:iCs w:val="0"/>
              </w:rPr>
              <w:t xml:space="preserve">kg/kg</w:t>
            </w:r>
          </w:p>
        </w:tc>
      </w:tr>
      <w:tr w14:paraId="3ACEFC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D0C9C7">
            <w:pPr>
              <w:snapToGrid w:val="0"/>
              <w:spacing w:before="60" w:after="60" w:line="264" w:lineRule="auto"/>
              <w:ind w:left="0" w:right="0" w:firstLine="0"/>
              <w:jc w:val="center"/>
              <w:rPr>
                <w:i/>
                <w:iCs/>
              </w:rPr>
            </w:pPr>
            <w:r>
              <w:rPr>
                <w:rFonts w:ascii="Times New Roman" w:hAnsi="Times New Roman" w:eastAsia="宋体" w:cs="Times New Roman"/>
                <w:b w:val="0"/>
                <w:i w:val="1"/>
                <w:iCs w:val="1"/>
                <w:color w:val="000000"/>
                <w:sz w:val="21"/>
                <w:vertAlign w:val="baseline"/>
              </w:rPr>
              <w:t xml:space="preserve">w</w:t>
            </w:r>
            <w:r>
              <w:rPr>
                <w:rFonts w:ascii="Times New Roman" w:hAnsi="Times New Roman" w:eastAsia="宋体" w:cs="Times New Roman"/>
                <w:b w:val="0"/>
                <w:i/>
                <w:iCs/>
                <w:color w:val="000000"/>
                <w:sz w:val="21"/>
              </w:rPr>
              <w:t xml:space="preserve">=</w:t>
            </w:r>
            <w:r>
              <w:rPr>
                <w:rFonts w:ascii="Times New Roman" w:hAnsi="Times New Roman" w:eastAsia="宋体" w:cs="Times New Roman"/>
                <w:b w:val="0"/>
                <w:i w:val="1"/>
                <w:iCs w:val="1"/>
                <w:color w:val="000000"/>
                <w:sz w:val="21"/>
                <w:vertAlign w:val="baseline"/>
              </w:rPr>
              <w:t xml:space="preserve">C</w:t>
            </w:r>
            <w:r>
              <w:rPr>
                <w:rFonts w:ascii="Times New Roman" w:hAnsi="Times New Roman" w:eastAsia="宋体" w:cs="Times New Roman"/>
                <w:b w:val="0"/>
                <w:i/>
                <w:iCs/>
                <w:color w:val="000000"/>
                <w:sz w:val="21"/>
              </w:rPr>
              <w:t xml:space="preserve">/(1+</w:t>
            </w:r>
            <w:r>
              <w:rPr>
                <w:rFonts w:ascii="Times New Roman" w:hAnsi="Times New Roman" w:eastAsia="宋体" w:cs="Times New Roman"/>
                <w:b w:val="0"/>
                <w:i w:val="1"/>
                <w:iCs w:val="1"/>
                <w:color w:val="000000"/>
                <w:sz w:val="21"/>
                <w:vertAlign w:val="baseline"/>
              </w:rPr>
              <w:t xml:space="preserve">C</w:t>
            </w:r>
            <w:r>
              <w:rPr>
                <w:rFonts w:ascii="Times New Roman" w:hAnsi="Times New Roman" w:eastAsia="宋体" w:cs="Times New Roman"/>
                <w:b w:val="0"/>
                <w:i/>
                <w:iCs/>
                <w:color w:val="000000"/>
                <w:sz w:val="21"/>
              </w:rPr>
              <w:t xml:space="preserve">)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8FBC39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湿基质量分数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AC1C0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i w:val="0"/>
                <w:iCs w:val="0"/>
              </w:rPr>
              <w:t xml:space="preserve">1</w:t>
            </w:r>
          </w:p>
        </w:tc>
      </w:tr>
      <w:tr w14:paraId="7C7C06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FA9009">
            <w:pPr>
              <w:snapToGrid w:val="0"/>
              <w:spacing w:before="60" w:after="60" w:line="264" w:lineRule="auto"/>
              <w:ind w:left="0" w:right="0" w:firstLine="0"/>
              <w:jc w:val="center"/>
              <w:rPr>
                <w:i/>
                <w:iCs/>
              </w:rPr>
            </w:pPr>
            <w:r>
              <w:rPr>
                <w:rFonts w:ascii="Times New Roman" w:hAnsi="Times New Roman" w:eastAsia="宋体" w:cs="Times New Roman"/>
                <w:b w:val="0"/>
                <w:i w:val="1"/>
                <w:iCs w:val="1"/>
                <w:color w:val="000000"/>
                <w:sz w:val="21"/>
                <w:vertAlign w:val="baseline"/>
              </w:rPr>
              <w:t xml:space="preserve">R</w:t>
            </w:r>
            <w:r>
              <w:rPr>
                <w:rFonts w:ascii="Times New Roman" w:hAnsi="Times New Roman" w:eastAsia="宋体" w:cs="Times New Roman"/>
                <w:b w:val="0"/>
                <w:i/>
                <w:iCs/>
                <w:color w:val="000000"/>
                <w:sz w:val="21"/>
              </w:rPr>
              <w:t xml:space="preserve">(</w:t>
            </w:r>
            <w:r>
              <w:rPr>
                <w:rFonts w:ascii="Times New Roman" w:hAnsi="Times New Roman" w:eastAsia="宋体" w:cs="Times New Roman"/>
                <w:b w:val="0"/>
                <w:i w:val="1"/>
                <w:iCs w:val="1"/>
                <w:color w:val="000000"/>
                <w:sz w:val="21"/>
                <w:vertAlign w:val="baseline"/>
              </w:rPr>
              <w:t xml:space="preserve">t</w:t>
            </w:r>
            <w:r>
              <w:rPr>
                <w:rFonts w:ascii="Times New Roman" w:hAnsi="Times New Roman" w:eastAsia="宋体" w:cs="Times New Roman"/>
                <w:b w:val="0"/>
                <w:i/>
                <w:iCs/>
                <w:color w:val="000000"/>
                <w:sz w:val="21"/>
              </w:rPr>
              <w:t xml:space="preserve">)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BF0C89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药材当前半径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3D607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i w:val="0"/>
                <w:iCs w:val="0"/>
              </w:rPr>
              <w:t xml:space="preserve">m</w:t>
            </w:r>
          </w:p>
        </w:tc>
      </w:tr>
      <w:tr w14:paraId="5BBA93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C90822">
            <w:pPr>
              <w:snapToGrid w:val="0"/>
              <w:spacing w:before="60" w:after="60" w:line="264" w:lineRule="auto"/>
              <w:ind w:left="0" w:right="0" w:firstLine="0"/>
              <w:jc w:val="center"/>
              <w:rPr>
                <w:i/>
                <w:iCs/>
              </w:rPr>
            </w:pPr>
            <w:r>
              <w:rPr>
                <w:rFonts w:ascii="Times New Roman" w:hAnsi="Times New Roman" w:eastAsia="宋体" w:cs="Times New Roman"/>
                <w:b w:val="0"/>
                <w:i w:val="1"/>
                <w:iCs w:val="1"/>
                <w:color w:val="000000"/>
                <w:sz w:val="21"/>
                <w:vertAlign w:val="baseline"/>
              </w:rPr>
              <w:t xml:space="preserve">ρ</w:t>
            </w:r>
            <w:r>
              <w:rPr>
                <w:rFonts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vertAlign w:val="subscript"/>
              </w:rPr>
              <w:t xml:space="preserve">eff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3B690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有效密度（用于热容量）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7ACFD1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i w:val="0"/>
                <w:iCs w:val="0"/>
              </w:rPr>
              <w:t xml:space="preserve">kg/m³</w:t>
            </w:r>
          </w:p>
        </w:tc>
      </w:tr>
      <w:tr w14:paraId="6EA5AA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6AC42A">
            <w:pPr>
              <w:snapToGrid w:val="0"/>
              <w:spacing w:before="60" w:after="60" w:line="264" w:lineRule="auto"/>
              <w:ind w:left="0" w:right="0" w:firstLine="0"/>
              <w:jc w:val="center"/>
              <w:rPr>
                <w:i/>
                <w:iCs/>
              </w:rPr>
            </w:pPr>
            <w:r>
              <w:rPr>
                <w:rFonts w:ascii="Times New Roman" w:hAnsi="Times New Roman" w:eastAsia="宋体" w:cs="Times New Roman"/>
                <w:b w:val="0"/>
                <w:i w:val="1"/>
                <w:iCs w:val="1"/>
                <w:color w:val="000000"/>
                <w:sz w:val="21"/>
                <w:vertAlign w:val="baseline"/>
              </w:rPr>
              <w:t xml:space="preserve">ρ</w:t>
            </w:r>
            <w:r>
              <w:rPr>
                <w:rFonts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vertAlign w:val="subscript"/>
              </w:rPr>
              <w:t xml:space="preserve">d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1F3D1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守恒干物质密度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6BFD9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i w:val="0"/>
                <w:iCs w:val="0"/>
              </w:rPr>
              <w:t xml:space="preserve">kg/m³</w:t>
            </w:r>
          </w:p>
        </w:tc>
      </w:tr>
      <w:tr w14:paraId="68190E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42449C">
            <w:pPr>
              <w:snapToGrid w:val="0"/>
              <w:spacing w:before="60" w:after="60" w:line="264" w:lineRule="auto"/>
              <w:ind w:left="0" w:right="0" w:firstLine="0"/>
              <w:jc w:val="center"/>
              <w:rPr>
                <w:i/>
                <w:iCs/>
              </w:rPr>
            </w:pPr>
            <w:r>
              <w:rPr>
                <w:rFonts w:ascii="Times New Roman" w:hAnsi="Times New Roman" w:eastAsia="宋体" w:cs="Times New Roman"/>
                <w:b w:val="0"/>
                <w:i w:val="1"/>
                <w:iCs w:val="1"/>
                <w:color w:val="000000"/>
                <w:sz w:val="21"/>
                <w:vertAlign w:val="baseline"/>
              </w:rPr>
              <w:t xml:space="preserve">c</w:t>
            </w:r>
            <w:r>
              <w:rPr>
                <w:rFonts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vertAlign w:val="subscript"/>
              </w:rPr>
              <w:t xml:space="preserve">p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8B2DB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比热容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8CBC5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i w:val="0"/>
                <w:iCs w:val="0"/>
              </w:rPr>
              <w:t xml:space="preserve">J/(kg·K)</w:t>
            </w:r>
          </w:p>
        </w:tc>
      </w:tr>
      <w:tr w14:paraId="0BD038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D184CA">
            <w:pPr>
              <w:snapToGrid w:val="0"/>
              <w:spacing w:before="60" w:after="60" w:line="264" w:lineRule="auto"/>
              <w:ind w:left="0" w:right="0" w:firstLine="0"/>
              <w:jc w:val="center"/>
              <w:rPr>
                <w:i/>
                <w:iCs/>
              </w:rPr>
            </w:pPr>
            <w:r>
              <w:rPr>
                <w:rFonts w:ascii="Times New Roman" w:hAnsi="Times New Roman" w:eastAsia="宋体" w:cs="Times New Roman"/>
                <w:b w:val="0"/>
                <w:i w:val="1"/>
                <w:iCs w:val="1"/>
                <w:color w:val="000000"/>
                <w:sz w:val="21"/>
                <w:vertAlign w:val="baseline"/>
              </w:rPr>
              <w:t xml:space="preserve">k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B55839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导热系数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8BDAA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i w:val="0"/>
                <w:iCs w:val="0"/>
              </w:rPr>
              <w:t xml:space="preserve">W/(m·K)</w:t>
            </w:r>
          </w:p>
        </w:tc>
      </w:tr>
      <w:tr w14:paraId="121B2B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CB73F5">
            <w:pPr>
              <w:snapToGrid w:val="0"/>
              <w:spacing w:before="60" w:after="60" w:line="264" w:lineRule="auto"/>
              <w:ind w:left="0" w:right="0" w:firstLine="0"/>
              <w:jc w:val="center"/>
              <w:rPr>
                <w:i/>
                <w:iCs/>
              </w:rPr>
            </w:pPr>
            <w:r>
              <w:rPr>
                <w:rFonts w:ascii="Times New Roman" w:hAnsi="Times New Roman" w:eastAsia="宋体" w:cs="Times New Roman"/>
                <w:b w:val="0"/>
                <w:i w:val="1"/>
                <w:iCs w:val="1"/>
                <w:color w:val="000000"/>
                <w:sz w:val="21"/>
                <w:vertAlign w:val="baseline"/>
              </w:rPr>
              <w:t xml:space="preserve">D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142A7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有效水分扩散系数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769AB5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i w:val="0"/>
                <w:iCs w:val="0"/>
              </w:rPr>
              <w:t xml:space="preserve">m²/s</w:t>
            </w:r>
          </w:p>
        </w:tc>
      </w:tr>
      <w:tr w14:paraId="44CF31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DBDA58">
            <w:pPr>
              <w:snapToGrid w:val="0"/>
              <w:spacing w:before="60" w:after="60" w:line="264" w:lineRule="auto"/>
              <w:ind w:left="0" w:right="0" w:firstLine="0"/>
              <w:jc w:val="center"/>
              <w:rPr>
                <w:i/>
                <w:iCs/>
              </w:rPr>
            </w:pPr>
            <w:r>
              <w:rPr>
                <w:rFonts w:ascii="Times New Roman" w:hAnsi="Times New Roman" w:eastAsia="宋体" w:cs="Times New Roman"/>
                <w:b w:val="0"/>
                <w:i w:val="1"/>
                <w:iCs w:val="1"/>
                <w:color w:val="000000"/>
                <w:sz w:val="21"/>
                <w:vertAlign w:val="baseline"/>
              </w:rPr>
              <w:t xml:space="preserve">h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386F68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对流换热系数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B20BE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i w:val="0"/>
                <w:iCs w:val="0"/>
              </w:rPr>
              <w:t xml:space="preserve">W/(m²·K)</w:t>
            </w:r>
          </w:p>
        </w:tc>
      </w:tr>
      <w:tr w14:paraId="602AED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CF487C">
            <w:pPr>
              <w:snapToGrid w:val="0"/>
              <w:spacing w:before="60" w:after="60" w:line="264" w:lineRule="auto"/>
              <w:ind w:left="0" w:right="0" w:firstLine="0"/>
              <w:jc w:val="center"/>
              <w:rPr>
                <w:i/>
                <w:iCs/>
              </w:rPr>
            </w:pPr>
            <w:r>
              <w:rPr>
                <w:rFonts w:ascii="Times New Roman" w:hAnsi="Times New Roman" w:eastAsia="宋体" w:cs="Times New Roman"/>
                <w:b w:val="0"/>
                <w:i w:val="1"/>
                <w:iCs w:val="1"/>
                <w:color w:val="000000"/>
                <w:sz w:val="21"/>
                <w:vertAlign w:val="baseline"/>
              </w:rPr>
              <w:t xml:space="preserve">β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45EF7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对流传质系数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B389C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i w:val="0"/>
                <w:iCs w:val="0"/>
              </w:rPr>
              <w:t xml:space="preserve">m/s</w:t>
            </w:r>
          </w:p>
        </w:tc>
      </w:tr>
      <w:tr w14:paraId="4A40EF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352437">
            <w:pPr>
              <w:snapToGrid w:val="0"/>
              <w:spacing w:before="60" w:after="60" w:line="264" w:lineRule="auto"/>
              <w:ind w:left="0" w:right="0" w:firstLine="0"/>
              <w:jc w:val="center"/>
              <w:rPr>
                <w:i/>
                <w:iCs/>
              </w:rPr>
            </w:pPr>
            <w:r>
              <w:rPr>
                <w:rFonts w:ascii="Times New Roman" w:hAnsi="Times New Roman" w:eastAsia="宋体" w:cs="Times New Roman"/>
                <w:b w:val="0"/>
                <w:i w:val="1"/>
                <w:iCs w:val="1"/>
                <w:color w:val="000000"/>
                <w:sz w:val="21"/>
                <w:vertAlign w:val="baseline"/>
              </w:rPr>
              <w:t xml:space="preserve">B</w:t>
            </w:r>
            <w:r>
              <w:rPr>
                <w:rFonts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</w:rPr>
              <w:t xml:space="preserve">=</w:t>
            </w:r>
            <w:r>
              <w:rPr>
                <w:rFonts w:ascii="Times New Roman" w:hAnsi="Times New Roman" w:eastAsia="宋体" w:cs="Times New Roman"/>
                <w:b w:val="0"/>
                <w:i w:val="1"/>
                <w:iCs w:val="1"/>
                <w:color w:val="000000"/>
                <w:sz w:val="21"/>
                <w:vertAlign w:val="baseline"/>
              </w:rPr>
              <w:t xml:space="preserve">ρ</w:t>
            </w:r>
            <w:r>
              <w:rPr>
                <w:rFonts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vertAlign w:val="subscript"/>
              </w:rPr>
              <w:t xml:space="preserve">eff</w:t>
            </w:r>
            <w:r>
              <w:rPr>
                <w:rFonts w:hint="eastAsia" w:ascii="Times New Roman" w:hAnsi="Times New Roman" w:eastAsia="宋体" w:cs="Times New Roman"/>
                <w:b w:val="0"/>
                <w:i/>
                <w:iCs/>
                <w:color w:val="000000"/>
                <w:sz w:val="21"/>
                <w:vertAlign w:val="subscript"/>
                <w:lang w:val="en-US" w:eastAsia="zh-CN"/>
              </w:rPr>
              <w:t xml:space="preserve">·</w:t>
            </w:r>
            <w:r>
              <w:rPr>
                <w:rFonts w:ascii="Times New Roman" w:hAnsi="Times New Roman" w:eastAsia="宋体" w:cs="Times New Roman"/>
                <w:b w:val="0"/>
                <w:i w:val="1"/>
                <w:iCs w:val="1"/>
                <w:color w:val="000000"/>
                <w:sz w:val="21"/>
                <w:vertAlign w:val="baseline"/>
              </w:rPr>
              <w:t xml:space="preserve">c</w:t>
            </w:r>
            <w:r>
              <w:rPr>
                <w:rFonts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vertAlign w:val="subscript"/>
              </w:rPr>
              <w:t xml:space="preserve">p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44347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有效体积显热容量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6680B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i w:val="0"/>
                <w:iCs w:val="0"/>
              </w:rPr>
              <w:t xml:space="preserve">J/(m³·K)</w:t>
            </w:r>
          </w:p>
        </w:tc>
      </w:tr>
      <w:tr w14:paraId="7F4E76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5D54A1">
            <w:pPr>
              <w:snapToGrid w:val="0"/>
              <w:spacing w:before="60" w:after="60" w:line="264" w:lineRule="auto"/>
              <w:ind w:left="0" w:right="0" w:firstLine="0"/>
              <w:jc w:val="center"/>
              <w:rPr>
                <w:i/>
                <w:iCs/>
              </w:rPr>
            </w:pPr>
            <w:r>
              <w:rPr>
                <w:rFonts w:ascii="Times New Roman" w:hAnsi="Times New Roman" w:eastAsia="宋体" w:cs="Times New Roman"/>
                <w:b w:val="0"/>
                <w:i w:val="1"/>
                <w:iCs w:val="1"/>
                <w:color w:val="000000"/>
                <w:sz w:val="21"/>
                <w:vertAlign w:val="baseline"/>
              </w:rPr>
              <w:t xml:space="preserve">q</w:t>
            </w:r>
            <w:r>
              <w:rPr>
                <w:rFonts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vertAlign w:val="subscript"/>
              </w:rPr>
              <w:t xml:space="preserve">r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CD234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径向导热热流密度（向外为正）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2CBF5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i w:val="0"/>
                <w:iCs w:val="0"/>
              </w:rPr>
              <w:t xml:space="preserve">W/m²</w:t>
            </w:r>
          </w:p>
        </w:tc>
      </w:tr>
      <w:tr w14:paraId="0F2136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2A7BFE">
            <w:pPr>
              <w:snapToGrid w:val="0"/>
              <w:spacing w:before="60" w:after="60" w:line="264" w:lineRule="auto"/>
              <w:ind w:left="0" w:right="0" w:firstLine="0"/>
              <w:jc w:val="center"/>
              <w:rPr>
                <w:i/>
                <w:iCs/>
              </w:rPr>
            </w:pPr>
            <w:r>
              <w:rPr>
                <w:rFonts w:ascii="Times New Roman" w:hAnsi="Times New Roman" w:eastAsia="宋体" w:cs="Times New Roman"/>
                <w:b w:val="0"/>
                <w:i w:val="1"/>
                <w:iCs w:val="1"/>
                <w:color w:val="000000"/>
                <w:sz w:val="21"/>
                <w:vertAlign w:val="baseline"/>
              </w:rPr>
              <w:t xml:space="preserve">j</w:t>
            </w:r>
            <w:r>
              <w:rPr>
                <w:rFonts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vertAlign w:val="subscript"/>
              </w:rPr>
              <w:t xml:space="preserve">w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6B817D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径向水分质量通量（向外为正）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446DC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i w:val="0"/>
                <w:iCs w:val="0"/>
              </w:rPr>
              <w:t xml:space="preserve">kg/(m²·s)</w:t>
            </w:r>
          </w:p>
        </w:tc>
      </w:tr>
      <w:tr w14:paraId="01F6E8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65179B">
            <w:pPr>
              <w:snapToGrid w:val="0"/>
              <w:spacing w:before="60" w:after="60" w:line="264" w:lineRule="auto"/>
              <w:ind w:left="0" w:right="0" w:firstLine="0"/>
              <w:jc w:val="center"/>
              <w:rPr>
                <w:i/>
                <w:iCs/>
              </w:rPr>
            </w:pPr>
            <w:r>
              <w:rPr>
                <w:rFonts w:ascii="Times New Roman" w:hAnsi="Times New Roman" w:eastAsia="宋体" w:cs="Times New Roman"/>
                <w:b w:val="0"/>
                <w:i w:val="1"/>
                <w:iCs w:val="1"/>
                <w:color w:val="000000"/>
                <w:sz w:val="21"/>
                <w:vertAlign w:val="baseline"/>
              </w:rPr>
              <w:t xml:space="preserve">ℓ</w:t>
            </w:r>
            <w:r>
              <w:rPr>
                <w:rFonts w:ascii="Times New Roman" w:hAnsi="Times New Roman" w:eastAsia="宋体" w:cs="Times New Roman"/>
                <w:b w:val="0"/>
                <w:i/>
                <w:iCs/>
                <w:color w:val="000000"/>
                <w:sz w:val="21"/>
              </w:rPr>
              <w:t xml:space="preserve">(</w:t>
            </w:r>
            <w:r>
              <w:rPr>
                <w:rFonts w:ascii="Times New Roman" w:hAnsi="Times New Roman" w:eastAsia="宋体" w:cs="Times New Roman"/>
                <w:b w:val="0"/>
                <w:i w:val="1"/>
                <w:iCs w:val="1"/>
                <w:color w:val="000000"/>
                <w:sz w:val="21"/>
                <w:vertAlign w:val="baseline"/>
              </w:rPr>
              <w:t xml:space="preserve">t</w:t>
            </w:r>
            <w:r>
              <w:rPr>
                <w:rFonts w:ascii="Times New Roman" w:hAnsi="Times New Roman" w:eastAsia="宋体" w:cs="Times New Roman"/>
                <w:b w:val="0"/>
                <w:i/>
                <w:iCs/>
                <w:color w:val="000000"/>
                <w:sz w:val="21"/>
              </w:rPr>
              <w:t xml:space="preserve">)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536BF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每单位初始干物质的累计失水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5E76D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i w:val="0"/>
                <w:iCs w:val="0"/>
              </w:rPr>
              <w:t xml:space="preserve">kg/kg</w:t>
            </w:r>
          </w:p>
        </w:tc>
      </w:tr>
      <w:tr w14:paraId="1884FA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4BE66F">
            <w:pPr>
              <w:snapToGrid w:val="0"/>
              <w:spacing w:before="60" w:after="60" w:line="264" w:lineRule="auto"/>
              <w:ind w:left="0" w:right="0" w:firstLine="0"/>
              <w:jc w:val="center"/>
              <w:rPr>
                <w:i/>
                <w:iCs/>
              </w:rPr>
            </w:pPr>
            <w:r>
              <w:rPr>
                <w:rFonts w:ascii="Times New Roman" w:hAnsi="Times New Roman" w:eastAsia="宋体" w:cs="Times New Roman"/>
                <w:b w:val="0"/>
                <w:i w:val="1"/>
                <w:iCs w:val="1"/>
                <w:color w:val="000000"/>
                <w:sz w:val="21"/>
                <w:vertAlign w:val="baseline"/>
              </w:rPr>
              <w:t xml:space="preserve">C</w:t>
            </w:r>
            <w:r>
              <w:rPr>
                <w:rFonts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vertAlign w:val="subscript"/>
              </w:rPr>
              <w:t xml:space="preserve">eq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430420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环境对应的等效平衡含水率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68869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i w:val="0"/>
                <w:iCs w:val="0"/>
              </w:rPr>
              <w:t xml:space="preserve">kg/kg</w:t>
            </w:r>
          </w:p>
        </w:tc>
      </w:tr>
      <w:tr w14:paraId="2B3696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AA8683">
            <w:pPr>
              <w:snapToGrid w:val="0"/>
              <w:spacing w:before="60" w:after="60" w:line="264" w:lineRule="auto"/>
              <w:ind w:left="0" w:right="0" w:firstLine="0"/>
              <w:jc w:val="center"/>
              <w:rPr>
                <w:i/>
                <w:iCs/>
              </w:rPr>
            </w:pPr>
            <w:r>
              <w:rPr>
                <w:rFonts w:ascii="Times New Roman" w:hAnsi="Times New Roman" w:eastAsia="宋体" w:cs="Times New Roman"/>
                <w:b w:val="0"/>
                <w:i w:val="1"/>
                <w:iCs w:val="1"/>
                <w:color w:val="000000"/>
                <w:sz w:val="21"/>
                <w:vertAlign w:val="baseline"/>
              </w:rPr>
              <w:t xml:space="preserve">T</w:t>
            </w:r>
            <w:r>
              <w:rPr>
                <w:rFonts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vertAlign w:val="subscript"/>
              </w:rPr>
              <w:t xml:space="preserve">∞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A9802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烘房温度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E0FC48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i w:val="0"/>
                <w:iCs w:val="0"/>
              </w:rPr>
              <w:t xml:space="preserve">K</w:t>
            </w:r>
          </w:p>
        </w:tc>
      </w:tr>
      <w:tr w14:paraId="3BC124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E567BD">
            <w:pPr>
              <w:snapToGrid w:val="0"/>
              <w:spacing w:before="60" w:after="60" w:line="264" w:lineRule="auto"/>
              <w:ind w:left="0" w:right="0" w:firstLine="0"/>
              <w:jc w:val="center"/>
              <w:rPr>
                <w:i/>
                <w:iCs/>
              </w:rPr>
            </w:pPr>
            <w:r>
              <w:rPr>
                <w:rFonts w:ascii="Times New Roman" w:hAnsi="Times New Roman" w:eastAsia="宋体" w:cs="Times New Roman"/>
                <w:b w:val="0"/>
                <w:i w:val="1"/>
                <w:iCs w:val="1"/>
                <w:color w:val="000000"/>
                <w:sz w:val="21"/>
                <w:vertAlign w:val="baseline"/>
              </w:rPr>
              <w:t xml:space="preserve">t</w:t>
            </w:r>
            <w:r>
              <w:rPr>
                <w:rFonts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vertAlign w:val="superscript"/>
              </w:rPr>
              <w:t xml:space="preserve">*</w:t>
            </w:r>
          </w:p>
        </w:tc>
        <w:tc>
          <w:tcPr>
            <w:tcW w:w="3024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AA1D7B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全域达标时刻</w:t>
            </w:r>
          </w:p>
        </w:tc>
        <w:tc>
          <w:tcPr>
            <w:tcW w:w="3024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0E5A4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i w:val="0"/>
                <w:iCs w:val="0"/>
              </w:rPr>
              <w:t xml:space="preserve">s</w:t>
            </w:r>
          </w:p>
        </w:tc>
      </w:tr>
    </w:tbl>
    <w:p w14:paraId="49BF6586">
      <w:pPr>
        <w:snapToGrid w:val="0"/>
      </w:pPr>
    </w:p>
    <w:p w14:paraId="15BF1BEA">
      <w:pPr>
        <w:pStyle w:val="7"/>
        <w:snapToGrid w:val="0"/>
        <w:ind w:firstLine="0"/>
      </w:pPr>
      <w:r>
        <w:rPr>
          <w:rFonts w:ascii="Times New Roman" w:hAnsi="Times New Roman" w:cs="Times New Roman" w:eastAsia="宋体"/>
        </w:rPr>
        <w:t xml:space="preserve">5 模型的建立与求解</w:t>
      </w:r>
    </w:p>
    <w:p w14:paraId="62AB899A">
      <w:pPr>
        <w:pStyle w:val="8"/>
        <w:snapToGrid w:val="0"/>
        <w:ind w:firstLine="0"/>
      </w:pPr>
      <w:r>
        <w:rPr>
          <w:rFonts w:ascii="Times New Roman" w:hAnsi="Times New Roman" w:cs="Times New Roman" w:eastAsia="宋体"/>
        </w:rPr>
        <w:t xml:space="preserve">5.1 问题一模型的建立与求解</w:t>
      </w:r>
    </w:p>
    <w:p w14:paraId="5832C22F">
      <w:pPr>
        <w:pStyle w:val="9"/>
        <w:snapToGrid w:val="0"/>
        <w:ind w:firstLine="0"/>
      </w:pPr>
      <w:r>
        <w:rPr>
          <w:rFonts w:ascii="Times New Roman" w:hAnsi="Times New Roman" w:cs="Times New Roman" w:eastAsia="宋体"/>
        </w:rPr>
        <w:t xml:space="preserve">5.1.1 建模思路与统一口径</w:t>
      </w:r>
    </w:p>
    <w:p w14:paraId="1417E7BD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本文采用圆柱径向热湿传递框架研究药材内部状态。计算几何按题面取长度0.25 m、初始半径0.02 m；温度方程以开尔文为单位，结果表换算为摄氏度。含水率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表示单位药材干物质所含的水质量，其与湿基质量分数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w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的关系为</w:t>
      </w:r>
    </w:p>
    <w:p w14:paraId="1D545D02">
      <w:pPr>
        <w:tabs>
          <w:tab w:val="center" w:pos="4535"/>
          <w:tab w:val="right" w:pos="9071"/>
        </w:tabs>
        <w:snapToGrid w:val="0"/>
        <w:spacing w:before="80" w:after="120"/>
        <w:ind w:firstLine="0"/>
        <w:jc w:val="left"/>
      </w:pPr>
      <w:r>
        <w:tab/>
      </w:r>
      <m:oMath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f>
          <m:fPr/>
          <m:num>
            <m:sSub>
              <m:sSubPr/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m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w</m:t>
                </m:r>
              </m:sub>
            </m:sSub>
          </m:num>
          <m:den>
            <m:sSub>
              <m:sSubPr/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m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d</m:t>
                </m:r>
              </m:sub>
            </m:sSub>
          </m:den>
        </m:f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 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w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f>
          <m:fPr/>
          <m:num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1+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den>
        </m:f>
      </m:oMath>
      <w:r>
        <w:rPr>
          <w:rFonts w:ascii="Times New Roman" w:hAnsi="Times New Roman" w:eastAsia="宋体"/>
          <w:color w:val="000000"/>
          <w:sz w:val="24"/>
        </w:rPr>
        <w:tab/>
      </w:r>
      <w:r>
        <w:rPr>
          <w:rFonts w:ascii="Times New Roman" w:hAnsi="Times New Roman" w:eastAsia="宋体" w:cs="Times New Roman"/>
          <w:color w:val="000000"/>
          <w:sz w:val="24"/>
        </w:rPr>
        <w:t xml:space="preserve">(1)</w:t>
      </w:r>
    </w:p>
    <w:p w14:paraId="1FCD4949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干基比值并非单位体积内的水质量。为保持水量计算的量纲一致，引入单位当前体积内的干物质质量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ρ</w:t>
      </w:r>
      <w:r>
        <w:rPr>
          <w:rFonts w:ascii="Times New Roman" w:hAnsi="Times New Roman" w:eastAsia="宋体" w:cs="Times New Roman"/>
          <w:color w:val="000000"/>
          <w:sz w:val="24"/>
          <w:vertAlign w:val="subscript"/>
          <w:i w:val="0"/>
          <w:iCs w:val="0"/>
        </w:rPr>
        <w:t xml:space="preserve">d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，水质量密度为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ρ</w:t>
      </w:r>
      <w:r>
        <w:rPr>
          <w:rFonts w:ascii="Times New Roman" w:hAnsi="Times New Roman" w:eastAsia="宋体" w:cs="Times New Roman"/>
          <w:color w:val="000000"/>
          <w:sz w:val="24"/>
          <w:vertAlign w:val="subscript"/>
          <w:i w:val="0"/>
          <w:iCs w:val="0"/>
        </w:rPr>
        <w:t xml:space="preserve">d</w:t>
      </w:r>
      <w:r>
        <w:rPr>
          <w:rFonts w:ascii="Times New Roman" w:hAnsi="Times New Roman" w:eastAsia="宋体" w:cs="Times New Roman"/>
          <w:color w:val="000000"/>
          <w:sz w:val="24"/>
          <w:vertAlign w:val="subscript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。问题一至三采用固定且空间均匀的干物质骨架，问题四采用随材料运动的骨架，干物质本身不发生生成、消耗或相对骨架的扩散。因而问题四的“骨架无迁移”应理解为不存在额外组分迁移，不能理解为材料点在空间中静止。下文所有移动域方程均按材料随动解释建立。</w:t>
      </w:r>
    </w:p>
    <w:p w14:paraId="7A7B5F90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热学和质量方程需要分别说明密度的用途。题给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ρ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与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p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的乘积记为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B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，用来描述单位体积温升的有效显热需求；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ρ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d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则用于计算随材料守恒的干物质和水质量。若把题给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ρ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同时解释为真实湿密度，再强行令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ρ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d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=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ρ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/(1+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)，会对固定长度和给定半径施加额外约束。附录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A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.2表明，该约束与所给后期收缩数据不能同时满足。因此本文采用有效容量与独立干骨架的闭合，使两套方程的定义一致；这一处理也限定了结果的物理解释，不能视为对真实组分密度的验证。</w:t>
      </w:r>
    </w:p>
    <w:p w14:paraId="1841C019">
      <w:pPr>
        <w:snapToGrid w:val="0"/>
        <w:spacing w:line="300" w:lineRule="auto"/>
        <w:ind w:firstLine="482"/>
        <w:jc w:val="both"/>
      </w:pPr>
      <w:commentRangeStart w:id="8"/>
      <w:r>
        <w:rPr>
          <w:rFonts w:ascii="Times New Roman" w:hAnsi="Times New Roman" w:eastAsia="宋体" w:cs="Times New Roman"/>
          <w:color w:val="000000"/>
          <w:sz w:val="24"/>
        </w:rPr>
        <w:t xml:space="preserve">附件1的烘房水分指标只标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kg/kg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，未给出与药材干基含水率之间的吸附等温线。记该观测数值为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Y</w:t>
      </w:r>
      <w:r>
        <w:rPr>
          <w:rFonts w:ascii="Times New Roman" w:hAnsi="Times New Roman" w:eastAsia="宋体" w:cs="Times New Roman"/>
          <w:color w:val="000000"/>
          <w:sz w:val="24"/>
          <w:vertAlign w:val="subscript"/>
          <w:i w:val="0"/>
          <w:iCs w:val="0"/>
        </w:rPr>
        <w:t xml:space="preserve">∞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，基线约定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  <w:vertAlign w:val="subscript"/>
          <w:i w:val="0"/>
          <w:iCs w:val="0"/>
        </w:rPr>
        <w:t xml:space="preserve">eq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=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Y</w:t>
      </w:r>
      <w:r>
        <w:rPr>
          <w:rFonts w:ascii="Times New Roman" w:hAnsi="Times New Roman" w:eastAsia="宋体" w:cs="Times New Roman"/>
          <w:color w:val="000000"/>
          <w:sz w:val="24"/>
          <w:vertAlign w:val="subscript"/>
          <w:i w:val="0"/>
          <w:iCs w:val="0"/>
        </w:rPr>
        <w:t xml:space="preserve">∞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，作为表面传质的等效平衡值。这是气固边界的简化映射，不是由单位相同推得两者物理相等；如果进一步把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Y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∞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解释为空气湿度比，其干空气参考质量也须另作假设。上述解释不改变附件数值，但明确了预测结果成立的条件。</w:t>
      </w:r>
      <w:commentRangeEnd w:id="8"/>
      <w:r>
        <w:rPr>
          <w:rStyle w:val="CommentReference"/>
        </w:rPr>
        <w:commentReference w:id="8"/>
      </w:r>
    </w:p>
    <w:p w14:paraId="5E85EB80">
      <w:pPr>
        <w:pStyle w:val="9"/>
        <w:snapToGrid w:val="0"/>
        <w:ind w:firstLine="0"/>
      </w:pPr>
      <w:r>
        <w:rPr>
          <w:rFonts w:ascii="Times New Roman" w:hAnsi="Times New Roman" w:cs="Times New Roman" w:eastAsia="宋体"/>
        </w:rPr>
        <w:t xml:space="preserve">5.1.2 变量定义与公式推导</w:t>
      </w:r>
    </w:p>
    <w:p w14:paraId="70E7989F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在半径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r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至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r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+dr的圆柱薄壳内，对向外为正的热流和水分通量采用</w:t>
      </w:r>
      <w:r>
        <w:rPr>
          <w:rFonts w:ascii="Times New Roman" w:hAnsi="Times New Roman" w:eastAsia="宋体" w:cs="Times New Roman"/>
          <w:i/>
          <w:iCs/>
          <w:color w:val="000000"/>
          <w:sz w:val="24"/>
        </w:rPr>
        <w:t xml:space="preserve">Fourier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与</w:t>
      </w:r>
      <w:r>
        <w:rPr>
          <w:rFonts w:ascii="Times New Roman" w:hAnsi="Times New Roman" w:eastAsia="宋体" w:cs="Times New Roman"/>
          <w:i/>
          <w:iCs/>
          <w:color w:val="000000"/>
          <w:sz w:val="24"/>
        </w:rPr>
        <w:t xml:space="preserve">Fick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本构。薄壳内外表面积不同，积分守恒后须保留径向几何因子。得到</w:t>
      </w:r>
    </w:p>
    <w:p w14:paraId="4F19939D">
      <w:pPr>
        <w:tabs>
          <w:tab w:val="center" w:pos="4535"/>
          <w:tab w:val="right" w:pos="9071"/>
        </w:tabs>
        <w:snapToGrid w:val="0"/>
        <w:spacing w:before="80" w:after="120"/>
        <w:ind w:firstLine="0"/>
        <w:jc w:val="left"/>
      </w:pPr>
      <w:r>
        <w:tab/>
      </w:r>
      <m:oMath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B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  <m:f>
          <m:fPr/>
          <m:num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∂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∂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den>
        </m:f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f>
          <m:fPr/>
          <m:num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</m:t>
            </m:r>
          </m:num>
          <m:den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r</m:t>
            </m:r>
          </m:den>
        </m:f>
        <m:f>
          <m:fPr/>
          <m:num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∂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∂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r</m:t>
            </m:r>
          </m:den>
        </m:f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r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k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  <m:f>
          <m:fPr/>
          <m:num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∂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∂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r</m:t>
            </m:r>
          </m:den>
        </m:f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 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0&lt;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r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&lt;</m:t>
        </m:r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0</m:t>
            </m:r>
          </m:sub>
        </m:sSub>
      </m:oMath>
      <w:r>
        <w:rPr>
          <w:rFonts w:ascii="Times New Roman" w:hAnsi="Times New Roman" w:eastAsia="宋体"/>
          <w:color w:val="000000"/>
          <w:sz w:val="24"/>
        </w:rPr>
        <w:tab/>
      </w:r>
      <w:r>
        <w:rPr>
          <w:rFonts w:ascii="Times New Roman" w:hAnsi="Times New Roman" w:eastAsia="宋体" w:cs="Times New Roman"/>
          <w:color w:val="000000"/>
          <w:sz w:val="24"/>
        </w:rPr>
        <w:t xml:space="preserve">(2)</w:t>
      </w:r>
    </w:p>
    <w:p w14:paraId="6E251968">
      <w:pPr>
        <w:tabs>
          <w:tab w:val="center" w:pos="4535"/>
          <w:tab w:val="right" w:pos="9071"/>
        </w:tabs>
        <w:snapToGrid w:val="0"/>
        <w:spacing w:before="80" w:after="120"/>
        <w:ind w:firstLine="0"/>
        <w:jc w:val="left"/>
      </w:pPr>
      <w:r>
        <w:tab/>
      </w:r>
      <m:oMath>
        <m:f>
          <m:fPr/>
          <m:num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∂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∂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den>
        </m:f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f>
          <m:fPr/>
          <m:num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</m:t>
            </m:r>
          </m:num>
          <m:den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r</m:t>
            </m:r>
          </m:den>
        </m:f>
        <m:f>
          <m:fPr/>
          <m:num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∂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∂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r</m:t>
            </m:r>
          </m:den>
        </m:f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r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D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  <m:f>
          <m:fPr/>
          <m:num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∂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∂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r</m:t>
            </m:r>
          </m:den>
        </m:f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</m:oMath>
      <w:r>
        <w:rPr>
          <w:rFonts w:ascii="Times New Roman" w:hAnsi="Times New Roman" w:eastAsia="宋体"/>
          <w:color w:val="000000"/>
          <w:sz w:val="24"/>
        </w:rPr>
        <w:tab/>
      </w:r>
      <w:r>
        <w:rPr>
          <w:rFonts w:ascii="Times New Roman" w:hAnsi="Times New Roman" w:eastAsia="宋体" w:cs="Times New Roman"/>
          <w:color w:val="000000"/>
          <w:sz w:val="24"/>
        </w:rPr>
        <w:t xml:space="preserve">(3)</w:t>
      </w:r>
    </w:p>
    <w:p w14:paraId="051B557B">
      <w:pPr>
        <w:snapToGrid w:val="0"/>
        <w:spacing w:line="300" w:lineRule="auto"/>
        <w:ind w:firstLine="482"/>
        <w:jc w:val="both"/>
      </w:pPr>
      <w:commentRangeStart w:id="9"/>
      <w:r>
        <w:rPr>
          <w:rFonts w:ascii="Times New Roman" w:hAnsi="Times New Roman" w:eastAsia="宋体" w:cs="Times New Roman"/>
          <w:color w:val="000000"/>
          <w:sz w:val="24"/>
        </w:rPr>
        <w:t xml:space="preserve">式(2)表示有效显热的局部变化由净导热供给，式(3)由水质量守恒除以均匀且固定的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ρ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d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得到。变导热系数、变扩散系数均保留在散度内；将它们直接移至导数外，会漏掉由状态变化引起的通量梯度。经典扩散理论提供了上述构造及圆柱基准解的依据。</w:t>
      </w:r>
      <w:commentRangeEnd w:id="9"/>
      <w:r>
        <w:rPr>
          <w:rStyle w:val="CommentReference"/>
        </w:rPr>
        <w:commentReference w:id="9"/>
      </w:r>
    </w:p>
    <w:p w14:paraId="5B99C070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中心由于轴对称不存在跨轴通量，表面与烘房发生对流换热和有效传质。初始条件与边界条件分别为</w:t>
      </w:r>
    </w:p>
    <w:p w14:paraId="1C64B684">
      <w:pPr>
        <w:tabs>
          <w:tab w:val="center" w:pos="4535"/>
          <w:tab w:val="right" w:pos="9071"/>
        </w:tabs>
        <w:snapToGrid w:val="0"/>
        <w:spacing w:before="80" w:after="120"/>
        <w:ind w:firstLine="0"/>
        <w:jc w:val="left"/>
      </w:pPr>
      <w:r>
        <w:tab/>
      </w:r>
      <m:oMath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r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,0)=301.15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 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K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 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r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,0)=2.55,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 </m:t>
        </m:r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r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(0,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)=</m:t>
        </m:r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r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(0,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)=0</m:t>
        </m:r>
      </m:oMath>
      <w:r>
        <w:rPr>
          <w:rFonts w:ascii="Times New Roman" w:hAnsi="Times New Roman" w:eastAsia="宋体"/>
          <w:color w:val="000000"/>
          <w:sz w:val="24"/>
        </w:rPr>
        <w:tab/>
      </w:r>
      <w:r>
        <w:rPr>
          <w:rFonts w:ascii="Times New Roman" w:hAnsi="Times New Roman" w:eastAsia="宋体" w:cs="Times New Roman"/>
          <w:color w:val="000000"/>
          <w:sz w:val="24"/>
        </w:rPr>
        <w:t xml:space="preserve">(4)</w:t>
      </w:r>
    </w:p>
    <w:p w14:paraId="7CBE45C6">
      <w:pPr>
        <w:tabs>
          <w:tab w:val="center" w:pos="4535"/>
          <w:tab w:val="right" w:pos="9071"/>
        </w:tabs>
        <w:snapToGrid w:val="0"/>
        <w:spacing w:before="80" w:after="120"/>
        <w:ind w:firstLine="0"/>
        <w:jc w:val="left"/>
      </w:pPr>
      <w:r>
        <w:tab/>
      </w:r>
      <m:oMath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−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k</m:t>
        </m:r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r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0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)=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h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s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−</m:t>
        </m:r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∞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 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−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D</m:t>
        </m:r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r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0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)=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β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s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−</m:t>
        </m:r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eq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</m:oMath>
      <w:r>
        <w:rPr>
          <w:rFonts w:ascii="Times New Roman" w:hAnsi="Times New Roman" w:eastAsia="宋体"/>
          <w:color w:val="000000"/>
          <w:sz w:val="24"/>
        </w:rPr>
        <w:tab/>
      </w:r>
      <w:r>
        <w:rPr>
          <w:rFonts w:ascii="Times New Roman" w:hAnsi="Times New Roman" w:eastAsia="宋体" w:cs="Times New Roman"/>
          <w:color w:val="000000"/>
          <w:sz w:val="24"/>
        </w:rPr>
        <w:t xml:space="preserve">(5)</w:t>
      </w:r>
    </w:p>
    <w:p w14:paraId="2329F357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这里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s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与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s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是药材真实表面的状态，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h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=25 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W/(m²·K)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，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β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=8×10⁻⁷ 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m/s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。初始场与表面边界在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=0处可能不完全相容，意味着启动阶段形成边界层，不应人为修改初始温湿度来消除该现象。采用较小的早期步长处理快速响应，并在后续检查非负性与通量方向。</w:t>
      </w:r>
    </w:p>
    <w:p w14:paraId="31B4FDF9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问题一采用附录2：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ρ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=820 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kg/m³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，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p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=2600 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J/(kg·K)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，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k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=0.36 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W/(m·K)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，水分扩散系数为</w:t>
      </w:r>
    </w:p>
    <w:p w14:paraId="10B43F0F">
      <w:pPr>
        <w:tabs>
          <w:tab w:val="center" w:pos="4535"/>
          <w:tab w:val="right" w:pos="9071"/>
        </w:tabs>
        <w:snapToGrid w:val="0"/>
        <w:spacing w:before="80" w:after="120"/>
        <w:ind w:firstLine="0"/>
        <w:jc w:val="left"/>
      </w:pPr>
      <w:r>
        <w:tab/>
      </w:r>
      <m:oMath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D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)=7×</m:t>
        </m:r>
        <m:sSup>
          <m:sSupPr/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−9</m:t>
            </m:r>
          </m:sup>
        </m:sSup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exp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(−</m:t>
        </m:r>
        <m:f>
          <m:fPr/>
          <m:num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0.89</m:t>
            </m:r>
          </m:num>
          <m:den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den>
        </m:f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 </m:t>
        </m:r>
        <m:sSup>
          <m:sSupPr/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m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2</m:t>
            </m:r>
          </m:sup>
        </m:sSup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/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s</m:t>
        </m:r>
      </m:oMath>
      <w:r>
        <w:rPr>
          <w:rFonts w:ascii="Times New Roman" w:hAnsi="Times New Roman" w:eastAsia="宋体"/>
          <w:color w:val="000000"/>
          <w:sz w:val="24"/>
        </w:rPr>
        <w:tab/>
      </w:r>
      <w:r>
        <w:rPr>
          <w:rFonts w:ascii="Times New Roman" w:hAnsi="Times New Roman" w:eastAsia="宋体" w:cs="Times New Roman"/>
          <w:color w:val="000000"/>
          <w:sz w:val="24"/>
        </w:rPr>
        <w:t xml:space="preserve">(6)</w:t>
      </w:r>
    </w:p>
    <w:p w14:paraId="1483170F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因此本问温度方程是可独立求解的线性热方程，水方程仍因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D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1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(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)而非线性。式(6)没有温度项；Arrhenius温度因子只在问题二至四的物性关系中出现。不能把“常热物性”扩大解释为“全部物性均为常数”，也不应给问题一另外加入温度活化项。</w:t>
      </w:r>
    </w:p>
    <w:p w14:paraId="37050FB3">
      <w:pPr>
        <w:pStyle w:val="9"/>
        <w:snapToGrid w:val="0"/>
        <w:ind w:firstLine="0"/>
      </w:pPr>
      <w:r>
        <w:rPr>
          <w:rFonts w:ascii="Times New Roman" w:hAnsi="Times New Roman" w:cs="Times New Roman" w:eastAsia="宋体"/>
        </w:rPr>
        <w:t xml:space="preserve">5.1.3 求解算法</w:t>
      </w:r>
    </w:p>
    <w:p w14:paraId="72E33E34">
      <w:pPr>
        <w:snapToGrid w:val="0"/>
        <w:spacing w:line="300" w:lineRule="auto"/>
        <w:ind w:firstLine="482"/>
        <w:jc w:val="both"/>
      </w:pPr>
      <w:commentRangeStart w:id="10"/>
      <w:r>
        <w:rPr>
          <w:rFonts w:ascii="Times New Roman" w:hAnsi="Times New Roman" w:eastAsia="宋体" w:cs="Times New Roman"/>
          <w:color w:val="000000"/>
          <w:sz w:val="24"/>
        </w:rPr>
        <w:t xml:space="preserve">设材料归一化坐标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x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=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r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/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R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0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，在0≤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x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≤1上取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N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个等长区间，节点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x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subscript"/>
        </w:rPr>
        <w:t xml:space="preserve">i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=i/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N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包含中心和表面。对每个节点分配相邻半节点之间的环形控制体。令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w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subscript"/>
        </w:rPr>
        <w:t xml:space="preserve">i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为其无量纲体积权重，中心与表面分别采用半控制体。有限体积法先计算相邻控制体共用的面通量，再作净通量差，因而内部面在全域求和时严格相消。这一性质比直接在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r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=0代入含1/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r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的差分式更适合处理轴心。</w:t>
      </w:r>
      <w:commentRangeEnd w:id="10"/>
      <w:r>
        <w:rPr>
          <w:rStyle w:val="CommentReference"/>
        </w:rPr>
        <w:commentReference w:id="10"/>
      </w:r>
    </w:p>
    <w:p w14:paraId="7B4DB49D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对于浓度依赖显著的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D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，引入浓度Kirchhoff势。若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D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=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D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0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A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(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)exp(−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a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/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)，则取</w:t>
      </w:r>
    </w:p>
    <w:p w14:paraId="4DCC7C73">
      <w:pPr>
        <w:tabs>
          <w:tab w:val="center" w:pos="4535"/>
          <w:tab w:val="right" w:pos="9071"/>
        </w:tabs>
        <w:snapToGrid w:val="0"/>
        <w:spacing w:before="80" w:after="120"/>
        <w:ind w:firstLine="0"/>
        <w:jc w:val="left"/>
      </w:pPr>
      <w:r>
        <w:tab/>
      </w:r>
      <m:oMath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Φ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a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)=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exp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(−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a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/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)+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a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Ei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(−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a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/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 </m:t>
        </m:r>
        <m:sSubSup>
          <m:sSubSup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Φ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a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′</m:t>
            </m:r>
          </m:sup>
        </m:sSubSup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)=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exp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(−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a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/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</m:oMath>
      <w:r>
        <w:rPr>
          <w:rFonts w:ascii="Times New Roman" w:hAnsi="Times New Roman" w:eastAsia="宋体"/>
          <w:color w:val="000000"/>
          <w:sz w:val="24"/>
        </w:rPr>
        <w:tab/>
      </w:r>
      <w:r>
        <w:rPr>
          <w:rFonts w:ascii="Times New Roman" w:hAnsi="Times New Roman" w:eastAsia="宋体" w:cs="Times New Roman"/>
          <w:color w:val="000000"/>
          <w:sz w:val="24"/>
        </w:rPr>
        <w:t xml:space="preserve">(7)</w:t>
      </w:r>
    </w:p>
    <w:p w14:paraId="682BA11C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相邻节点之间的水分通量通过势差计算，温度因子在该面单独取值。不能把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A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(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)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Φ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(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)整体作差，否则会产生原Fick闭合中不存在的温度梯度通量。浓度相近时采用局部展开避免两项接近的势值相减损失有效数字。式(7)使浓度方向的积分得到解析处理，但温度面值、有限网格与时间推进仍有离散误差；它不是对整个偏微分方程的精确求解。</w:t>
      </w:r>
    </w:p>
    <w:p w14:paraId="608814B6">
      <w:pPr>
        <w:snapToGrid w:val="0"/>
        <w:spacing w:line="300" w:lineRule="auto"/>
        <w:ind w:firstLine="482"/>
        <w:jc w:val="both"/>
      </w:pPr>
      <w:commentRangeStart w:id="11"/>
      <w:r>
        <w:rPr>
          <w:rFonts w:ascii="Times New Roman" w:hAnsi="Times New Roman" w:eastAsia="宋体" w:cs="Times New Roman"/>
          <w:color w:val="000000"/>
          <w:sz w:val="24"/>
        </w:rPr>
        <w:t xml:space="preserve">细网格缩短了局部扩散时间尺度，显式推进会受到较严的步长限制。本文将温度和含水率交错排列，利用相邻节点耦合构造稀疏Jacobian，再由隐式BDF联立求解。状态末项只累计失水，不反馈改变温湿方程，可用来核对全域水量收支。附录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B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展开残量、矩阵及边界导数。求解器在误差控制下选择积分步长，正文和工作簿则查询其连续输出，两者分开处理，保证1 s输出并非由稀疏表格重新拼接。</w:t>
      </w:r>
      <w:commentRangeEnd w:id="11"/>
      <w:r>
        <w:rPr>
          <w:rStyle w:val="CommentReference"/>
        </w:rPr>
        <w:commentReference w:id="11"/>
      </w:r>
    </w:p>
    <w:p w14:paraId="0C7705F8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Step 1：读取附件观测，统一长度和温度单位，核对初始场与附录2参数。Step 2：生成环形控制体、初值和相邻面通量。Step 3：采用隐式变步长推进，检查求解成功、有限数值及物性正性。Step 4：从同一数值轨迹查询指定时刻及物理半径。Step 5：导出结果表，并检查累计失水与全域水量变化是否一致。</w:t>
      </w:r>
    </w:p>
    <w:p w14:paraId="548253B5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问题一采用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N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=3200，积分至1800 s；相对容差为10⁻¹⁰，温度与水分绝对容差分别为10⁻¹⁰ K和10⁻¹² 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kg/kg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。严格容差用于控制时间积分，不能解释为最终物理预测具备相同精度。网格选择依据及时间设置对照见附录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。</w:t>
      </w:r>
    </w:p>
    <w:p w14:paraId="4B974F59">
      <w:pPr>
        <w:pStyle w:val="9"/>
        <w:snapToGrid w:val="0"/>
        <w:ind w:firstLine="0"/>
      </w:pPr>
      <w:r>
        <w:rPr>
          <w:rFonts w:ascii="Times New Roman" w:hAnsi="Times New Roman" w:cs="Times New Roman" w:eastAsia="宋体"/>
        </w:rPr>
        <w:t xml:space="preserve">5.1.4 结果分析</w:t>
      </w:r>
    </w:p>
    <w:p w14:paraId="60729756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表1、表2列出题目要求的7个时刻和5个半径位置；完整逐秒、0.1 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cm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结果由同一轨迹生成。温度和浓度分别保留四位小数，表头中的半径以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cm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表示。</w:t>
      </w:r>
    </w:p>
    <w:p w14:paraId="721642F0">
      <w:pPr>
        <w:keepNext/>
        <w:snapToGrid w:val="0"/>
        <w:spacing w:line="300" w:lineRule="auto"/>
        <w:ind w:firstLine="0"/>
        <w:jc w:val="center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表1 问题一的径向温度（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°C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）</w:t>
      </w:r>
    </w:p>
    <w:tbl>
      <w:tblPr>
        <w:tblStyle w:val="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1512"/>
        <w:gridCol w:w="1512"/>
        <w:gridCol w:w="1512"/>
        <w:gridCol w:w="1512"/>
        <w:gridCol w:w="1512"/>
      </w:tblGrid>
      <w:tr w14:paraId="61650C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698A0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时间/s</w:t>
            </w:r>
          </w:p>
        </w:tc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2036AB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1"/>
                <w:iCs w:val="1"/>
                <w:vertAlign w:val="baseline"/>
              </w:rPr>
              <w:t xml:space="preserve">r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=0 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0"/>
                <w:iCs w:val="0"/>
                <w:vertAlign w:val="baseline"/>
              </w:rPr>
              <w:t xml:space="preserve">cm</w:t>
            </w:r>
          </w:p>
        </w:tc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1403CC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1"/>
                <w:iCs w:val="1"/>
                <w:vertAlign w:val="baseline"/>
              </w:rPr>
              <w:t xml:space="preserve">r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=0.5 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0"/>
                <w:iCs w:val="0"/>
                <w:vertAlign w:val="baseline"/>
              </w:rPr>
              <w:t xml:space="preserve">cm</w:t>
            </w:r>
          </w:p>
        </w:tc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E62867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1"/>
                <w:iCs w:val="1"/>
                <w:vertAlign w:val="baseline"/>
              </w:rPr>
              <w:t xml:space="preserve">r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=1 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0"/>
                <w:iCs w:val="0"/>
                <w:vertAlign w:val="baseline"/>
              </w:rPr>
              <w:t xml:space="preserve">cm</w:t>
            </w:r>
          </w:p>
        </w:tc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BE8A7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1"/>
                <w:iCs w:val="1"/>
                <w:vertAlign w:val="baseline"/>
              </w:rPr>
              <w:t xml:space="preserve">r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=1.5 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0"/>
                <w:iCs w:val="0"/>
                <w:vertAlign w:val="baseline"/>
              </w:rPr>
              <w:t xml:space="preserve">cm</w:t>
            </w:r>
          </w:p>
        </w:tc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FC524C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1"/>
                <w:iCs w:val="1"/>
                <w:vertAlign w:val="baseline"/>
              </w:rPr>
              <w:t xml:space="preserve">r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=2 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0"/>
                <w:iCs w:val="0"/>
                <w:vertAlign w:val="baseline"/>
              </w:rPr>
              <w:t xml:space="preserve">cm</w:t>
            </w:r>
          </w:p>
        </w:tc>
      </w:tr>
      <w:tr w14:paraId="55E44E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6F07CF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100.0000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24DAE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28.0001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6200CC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28.0003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D93B0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28.0040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EEF71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28.0327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967EA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28.1801</w:t>
            </w:r>
          </w:p>
        </w:tc>
      </w:tr>
      <w:tr w14:paraId="06C427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E30DC9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300.0000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91215B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28.0408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586EBF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28.0635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CE75F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28.1514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3AF45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28.3681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CD30F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28.8489</w:t>
            </w:r>
          </w:p>
        </w:tc>
      </w:tr>
      <w:tr w14:paraId="1334E3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B1C54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600.0000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AAF5E0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28.4533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9457EB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28.5360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0FCEA1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28.8039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01CA08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29.3159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C26F50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30.1652</w:t>
            </w:r>
          </w:p>
        </w:tc>
      </w:tr>
      <w:tr w14:paraId="23E984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AD7218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900.0000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66A6B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29.3243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A610B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29.4583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2A073D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29.8755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ADFA37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30.6161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3FBB0F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31.7304</w:t>
            </w:r>
          </w:p>
        </w:tc>
      </w:tr>
      <w:tr w14:paraId="535BDC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3AF74D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1200.0000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D68F1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30.5427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3324A5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30.7098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1CC365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31.2223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FF0A6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32.1126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07A8F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33.4276</w:t>
            </w:r>
          </w:p>
        </w:tc>
      </w:tr>
      <w:tr w14:paraId="04AF75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AF7C7B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1500.0000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193190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31.9957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BEDCC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32.1867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BAF2D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32.7660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32A0A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33.7463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E34738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35.1203</w:t>
            </w:r>
          </w:p>
        </w:tc>
      </w:tr>
      <w:tr w14:paraId="04CA70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3854E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1800.0000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826189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33.5753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34E53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33.7720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2DBDD1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34.3642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F99C2C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35.3621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E47E0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36.7856</w:t>
            </w:r>
          </w:p>
        </w:tc>
      </w:tr>
    </w:tbl>
    <w:p w14:paraId="09BEE17F">
      <w:pPr>
        <w:snapToGrid w:val="0"/>
      </w:pPr>
    </w:p>
    <w:p w14:paraId="3E418095">
      <w:pPr>
        <w:keepNext/>
        <w:snapToGrid w:val="0"/>
        <w:spacing w:line="300" w:lineRule="auto"/>
        <w:ind w:firstLine="0"/>
        <w:jc w:val="center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表2 问题一的径向干基含水率（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kg/kg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）</w:t>
      </w:r>
    </w:p>
    <w:tbl>
      <w:tblPr>
        <w:tblStyle w:val="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1512"/>
        <w:gridCol w:w="1512"/>
        <w:gridCol w:w="1512"/>
        <w:gridCol w:w="1512"/>
        <w:gridCol w:w="1512"/>
      </w:tblGrid>
      <w:tr w14:paraId="3E3B54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6BB5E8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时间/s</w:t>
            </w:r>
          </w:p>
        </w:tc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666EB1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1"/>
                <w:iCs w:val="1"/>
                <w:vertAlign w:val="baseline"/>
              </w:rPr>
              <w:t xml:space="preserve">r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=0 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0"/>
                <w:iCs w:val="0"/>
                <w:vertAlign w:val="baseline"/>
              </w:rPr>
              <w:t xml:space="preserve">cm</w:t>
            </w:r>
          </w:p>
        </w:tc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F30BB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1"/>
                <w:iCs w:val="1"/>
                <w:vertAlign w:val="baseline"/>
              </w:rPr>
              <w:t xml:space="preserve">r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=0.5 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0"/>
                <w:iCs w:val="0"/>
                <w:vertAlign w:val="baseline"/>
              </w:rPr>
              <w:t xml:space="preserve">cm</w:t>
            </w:r>
          </w:p>
        </w:tc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83BF4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1"/>
                <w:iCs w:val="1"/>
                <w:vertAlign w:val="baseline"/>
              </w:rPr>
              <w:t xml:space="preserve">r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=1 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0"/>
                <w:iCs w:val="0"/>
                <w:vertAlign w:val="baseline"/>
              </w:rPr>
              <w:t xml:space="preserve">cm</w:t>
            </w:r>
          </w:p>
        </w:tc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B3985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1"/>
                <w:iCs w:val="1"/>
                <w:vertAlign w:val="baseline"/>
              </w:rPr>
              <w:t xml:space="preserve">r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=1.5 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0"/>
                <w:iCs w:val="0"/>
                <w:vertAlign w:val="baseline"/>
              </w:rPr>
              <w:t xml:space="preserve">cm</w:t>
            </w:r>
          </w:p>
        </w:tc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23B007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1"/>
                <w:iCs w:val="1"/>
                <w:vertAlign w:val="baseline"/>
              </w:rPr>
              <w:t xml:space="preserve">r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=2 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0"/>
                <w:iCs w:val="0"/>
                <w:vertAlign w:val="baseline"/>
              </w:rPr>
              <w:t xml:space="preserve">cm</w:t>
            </w:r>
          </w:p>
        </w:tc>
      </w:tr>
      <w:tr w14:paraId="5C4610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CAE51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100.0000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E41267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2.5500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264C10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2.5500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D1547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2.5500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83600D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2.5500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CC8F3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2.2470</w:t>
            </w:r>
          </w:p>
        </w:tc>
      </w:tr>
      <w:tr w14:paraId="4FF2D4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1CB85D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300.0000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4314F5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2.5500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D5727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2.5500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93FBC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2.5500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40A28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2.5492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17F88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2.0508</w:t>
            </w:r>
          </w:p>
        </w:tc>
      </w:tr>
      <w:tr w14:paraId="6B4B2B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C190A5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600.0000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0B7718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2.5500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338AD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2.5500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2B8710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2.5500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9FE7E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2.5353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7E6C6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1.8770</w:t>
            </w:r>
          </w:p>
        </w:tc>
      </w:tr>
      <w:tr w14:paraId="59815B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EEF5A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900.0000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888289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2.5500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B540A1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2.5500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AC75A9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2.5497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83B6ED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2.5045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906C30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1.7547</w:t>
            </w:r>
          </w:p>
        </w:tc>
      </w:tr>
      <w:tr w14:paraId="10FDD5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220E0C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1200.0000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FC5B0B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2.5500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F24A91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2.5500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A9FBFD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2.5482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E95F5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2.4646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DA40DB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1.6586</w:t>
            </w:r>
          </w:p>
        </w:tc>
      </w:tr>
      <w:tr w14:paraId="70F07C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B617D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1500.0000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1550C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2.5500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4E46C8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2.5499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F4333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2.5445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EF05E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2.4206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B8B62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1.5787</w:t>
            </w:r>
          </w:p>
        </w:tc>
      </w:tr>
      <w:tr w14:paraId="5C0C78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3D0207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1800.0000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FAC507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2.5500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E4F5C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2.5497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B0028F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2.5383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E236AD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2.3755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8907D5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1.5102</w:t>
            </w:r>
          </w:p>
        </w:tc>
      </w:tr>
    </w:tbl>
    <w:p w14:paraId="32CFF179">
      <w:pPr>
        <w:snapToGrid w:val="0"/>
      </w:pPr>
    </w:p>
    <w:p w14:paraId="35021804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至1800 s，中心温度为33.5753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°C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，表面温度为36.7856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°C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，差约3.2102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°C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。表层直接受到热风影响，温度上升先于中心，随后导热使内部逐渐升温。含水率的空间响应更不均匀：表面已下降到1.5102 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kg/kg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，中心显示2.5500 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kg/kg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。原精度中心值约2.5499924，说明其发生了很小的变化；四位表格中的相同数字不意味着水分完全静止。</w:t>
      </w:r>
    </w:p>
    <w:p w14:paraId="2319A87D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表层含水率降低后，式(6)中的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D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随之减小，形成较强的干燥阻力。因而即使表面与外界存在传质驱动力，内部水分也不会立刻均匀释放。只用一个全体平均含水率描述此阶段，会掩盖径向差异，无法回答题目要求的各位置浓度。</w:t>
      </w:r>
    </w:p>
    <w:p w14:paraId="447BFA3E">
      <w:pPr>
        <w:keepLines/>
        <w:snapToGrid w:val="0"/>
        <w:spacing w:before="140" w:after="140" w:line="300" w:lineRule="auto"/>
        <w:ind w:firstLine="0"/>
        <w:jc w:val="left"/>
      </w:pPr>
      <w:r>
        <w:rPr>
          <w:rFonts w:ascii="Times New Roman" w:hAnsi="Times New Roman" w:eastAsia="宋体" w:cs="Times New Roman"/>
          <w:b/>
          <w:color w:val="000000"/>
          <w:sz w:val="24"/>
          <w:highlight w:val="yellow"/>
        </w:rPr>
        <w:t xml:space="preserve">【绘图位置1】图1：问题一7个指定时刻的径向温度与含水率双面板曲线。横轴为距中心距离0—2 </w:t>
      </w:r>
      <w:r>
        <w:rPr>
          <w:rFonts w:ascii="Times New Roman" w:hAnsi="Times New Roman" w:eastAsia="宋体" w:cs="Times New Roman"/>
          <w:b/>
          <w:color w:val="000000"/>
          <w:sz w:val="24"/>
          <w:highlight w:val="yellow"/>
          <w:i w:val="0"/>
          <w:iCs w:val="0"/>
          <w:vertAlign w:val="baseline"/>
        </w:rPr>
        <w:t xml:space="preserve">cm</w:t>
      </w:r>
      <w:r>
        <w:rPr>
          <w:rFonts w:ascii="Times New Roman" w:hAnsi="Times New Roman" w:eastAsia="宋体" w:cs="Times New Roman"/>
          <w:b/>
          <w:color w:val="000000"/>
          <w:sz w:val="24"/>
          <w:highlight w:val="yellow"/>
        </w:rPr>
        <w:t xml:space="preserve">；左图纵轴为温度</w:t>
      </w:r>
      <w:r>
        <w:rPr>
          <w:rFonts w:ascii="Times New Roman" w:hAnsi="Times New Roman" w:eastAsia="宋体" w:cs="Times New Roman"/>
          <w:b/>
          <w:color w:val="000000"/>
          <w:sz w:val="24"/>
          <w:highlight w:val="yellow"/>
          <w:i w:val="0"/>
          <w:iCs w:val="0"/>
          <w:vertAlign w:val="baseline"/>
        </w:rPr>
        <w:t xml:space="preserve">°C</w:t>
      </w:r>
      <w:r>
        <w:rPr>
          <w:rFonts w:ascii="Times New Roman" w:hAnsi="Times New Roman" w:eastAsia="宋体" w:cs="Times New Roman"/>
          <w:b/>
          <w:color w:val="000000"/>
          <w:sz w:val="24"/>
          <w:highlight w:val="yellow"/>
        </w:rPr>
        <w:t xml:space="preserve">，右图为干基含水率</w:t>
      </w:r>
      <w:r>
        <w:rPr>
          <w:rFonts w:ascii="Times New Roman" w:hAnsi="Times New Roman" w:eastAsia="宋体" w:cs="Times New Roman"/>
          <w:b/>
          <w:color w:val="000000"/>
          <w:sz w:val="24"/>
          <w:highlight w:val="yellow"/>
          <w:i w:val="0"/>
          <w:iCs w:val="0"/>
          <w:vertAlign w:val="baseline"/>
        </w:rPr>
        <w:t xml:space="preserve">kg/kg</w:t>
      </w:r>
      <w:r>
        <w:rPr>
          <w:rFonts w:ascii="Times New Roman" w:hAnsi="Times New Roman" w:eastAsia="宋体" w:cs="Times New Roman"/>
          <w:b/>
          <w:color w:val="000000"/>
          <w:sz w:val="24"/>
          <w:highlight w:val="yellow"/>
        </w:rPr>
        <w:t xml:space="preserve">；每条曲线对应一个时刻，突出表面先响应及中心水分滞后。该图与表1、表2对应，绘制时保持时间颜色一致。</w:t>
      </w:r>
    </w:p>
    <w:p w14:paraId="7DB2EF5E">
      <w:pPr>
        <w:pStyle w:val="9"/>
        <w:snapToGrid w:val="0"/>
        <w:ind w:firstLine="0"/>
      </w:pPr>
      <w:r>
        <w:rPr>
          <w:rFonts w:ascii="Times New Roman" w:hAnsi="Times New Roman" w:cs="Times New Roman" w:eastAsia="宋体"/>
        </w:rPr>
        <w:t xml:space="preserve">5.1.5 模型检验或灵敏度分析</w:t>
      </w:r>
    </w:p>
    <w:p w14:paraId="185FFC3D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在本问常热物性条件下，将变温边界写入圆柱Robin特征函数展开及时间卷积，得到热场解析基准。它与数值结果在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N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3200、1801个整数秒和21个半径点上最大相差约1.80×10⁻⁶ K。非线性水方程另用守恒检查与面格式对照核验，不由热场的一致性替代。基准公式与取样范围在附录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交代，正文不逐项展开误差矩阵。</w:t>
      </w:r>
    </w:p>
    <w:p w14:paraId="2C0681E1">
      <w:pPr>
        <w:pStyle w:val="8"/>
        <w:snapToGrid w:val="0"/>
        <w:ind w:firstLine="0"/>
      </w:pPr>
      <w:r>
        <w:rPr>
          <w:rFonts w:ascii="Times New Roman" w:hAnsi="Times New Roman" w:cs="Times New Roman" w:eastAsia="宋体"/>
        </w:rPr>
        <w:t xml:space="preserve">5.2 问题二模型的建立与求解</w:t>
      </w:r>
    </w:p>
    <w:p w14:paraId="33D496E3">
      <w:pPr>
        <w:pStyle w:val="9"/>
        <w:snapToGrid w:val="0"/>
        <w:ind w:firstLine="0"/>
      </w:pPr>
      <w:r>
        <w:rPr>
          <w:rFonts w:ascii="Times New Roman" w:hAnsi="Times New Roman" w:cs="Times New Roman" w:eastAsia="宋体"/>
        </w:rPr>
        <w:t xml:space="preserve">5.2.1 建模思路</w:t>
      </w:r>
    </w:p>
    <w:p w14:paraId="7321EC5F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问题二沿用式(2)—(5)的几何与边界框架，重新从均匀初始场开始。按附录3在整个求解区间使用同一套变物性，不在1800 s将附录2解拼接到附录3，也不把问题一末状态用作新的初始条件。这样才能区分两问的物性设定，避免在中途人为改变材料参数。</w:t>
      </w:r>
    </w:p>
    <w:p w14:paraId="2171A784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附录3使两个状态之间出现双向反馈：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进入扩散系数，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同时进入热容量和导热系数。在一次时间推进中，新的温度会影响水通量，新的含水率又改变温升速度和热通量。因此即使外部环境完全相同，问题二也不能沿用问题一的温度轨迹。联立算法在同一时刻更新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、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与全部物性，使耦合关系进入隐式残量；先独立计算全程热场再求水分，会改变这里采用的模型。</w:t>
      </w:r>
    </w:p>
    <w:p w14:paraId="60D13A5A">
      <w:pPr>
        <w:pStyle w:val="9"/>
        <w:snapToGrid w:val="0"/>
        <w:ind w:firstLine="0"/>
      </w:pPr>
      <w:r>
        <w:rPr>
          <w:rFonts w:ascii="Times New Roman" w:hAnsi="Times New Roman" w:cs="Times New Roman" w:eastAsia="宋体"/>
        </w:rPr>
        <w:t xml:space="preserve">5.2.2 变量定义与公式推导</w:t>
      </w:r>
    </w:p>
    <w:p w14:paraId="67C3485F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令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w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=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/(1+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)，附录3规定</w:t>
      </w:r>
    </w:p>
    <w:p w14:paraId="71945BFB">
      <w:pPr>
        <w:tabs>
          <w:tab w:val="center" w:pos="4535"/>
          <w:tab w:val="right" w:pos="9071"/>
        </w:tabs>
        <w:snapToGrid w:val="0"/>
        <w:spacing w:before="80" w:after="120"/>
        <w:ind w:firstLine="0"/>
        <w:jc w:val="left"/>
      </w:pPr>
      <w:r>
        <w:tab/>
      </w:r>
      <m:oMath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ρ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eff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=650+128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 </m:t>
        </m:r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p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=1450+2736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w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 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k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=0.21+0.38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w</m:t>
        </m:r>
      </m:oMath>
      <w:r>
        <w:rPr>
          <w:rFonts w:ascii="Times New Roman" w:hAnsi="Times New Roman" w:eastAsia="宋体"/>
          <w:color w:val="000000"/>
          <w:sz w:val="24"/>
        </w:rPr>
        <w:tab/>
      </w:r>
      <w:r>
        <w:rPr>
          <w:rFonts w:ascii="Times New Roman" w:hAnsi="Times New Roman" w:eastAsia="宋体" w:cs="Times New Roman"/>
          <w:color w:val="000000"/>
          <w:sz w:val="24"/>
        </w:rPr>
        <w:t xml:space="preserve">(8)</w:t>
      </w:r>
    </w:p>
    <w:p w14:paraId="5C5DA988">
      <w:pPr>
        <w:tabs>
          <w:tab w:val="center" w:pos="4535"/>
          <w:tab w:val="right" w:pos="9071"/>
        </w:tabs>
        <w:snapToGrid w:val="0"/>
        <w:spacing w:before="80" w:after="120"/>
        <w:ind w:firstLine="0"/>
        <w:jc w:val="left"/>
      </w:pPr>
      <w:r>
        <w:tab/>
      </w:r>
      <m:oMath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D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3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)=2.4×</m:t>
        </m:r>
        <m:sSup>
          <m:sSupPr/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−3</m:t>
            </m:r>
          </m:sup>
        </m:sSup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exp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(−</m:t>
        </m:r>
        <m:f>
          <m:fPr/>
          <m:num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0.45</m:t>
            </m:r>
          </m:num>
          <m:den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den>
        </m:f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−</m:t>
        </m:r>
        <m:f>
          <m:fPr/>
          <m:num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3850</m:t>
            </m:r>
          </m:num>
          <m:den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den>
        </m:f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</m:oMath>
      <w:r>
        <w:rPr>
          <w:rFonts w:ascii="Times New Roman" w:hAnsi="Times New Roman" w:eastAsia="宋体"/>
          <w:color w:val="000000"/>
          <w:sz w:val="24"/>
        </w:rPr>
        <w:tab/>
      </w:r>
      <w:r>
        <w:rPr>
          <w:rFonts w:ascii="Times New Roman" w:hAnsi="Times New Roman" w:eastAsia="宋体" w:cs="Times New Roman"/>
          <w:color w:val="000000"/>
          <w:sz w:val="24"/>
        </w:rPr>
        <w:t xml:space="preserve">(9)</w:t>
      </w:r>
    </w:p>
    <w:p w14:paraId="2F6F6B00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式(8)的密度、比热容、导热系数依次采用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kg/m³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、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J/(kg·K)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、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W/(m·K)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，式(9)的单位为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m²/s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，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必须是绝对温度。指数中的0.45/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和3850/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均为无量纲经验组合，系数按题目给定取值，不从当前附件重新拟合。后续采用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B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(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)=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ρ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eff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(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)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p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(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)，仍是有效显热解释。</w:t>
      </w:r>
    </w:p>
    <w:p w14:paraId="199E5B4E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附件1包含0—4 h共241组观测，观测间隔60 s。为了向连续时间求解器提供边界，观测区间内作分段线性插值。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&gt;4 h后取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∞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=50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°C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、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eq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=0.05。这一延拓利用题目恒温干燥的工况描述及末段平台特征，但平台尾段并非持续数天的实测记录。相应的分段表达为</w:t>
      </w:r>
    </w:p>
    <w:p w14:paraId="2E078F26">
      <w:pPr>
        <w:tabs>
          <w:tab w:val="center" w:pos="4535"/>
          <w:tab w:val="right" w:pos="9071"/>
        </w:tabs>
        <w:snapToGrid w:val="0"/>
        <w:spacing w:before="80" w:after="120"/>
        <w:ind w:firstLine="0"/>
        <w:jc w:val="left"/>
      </w:pPr>
      <w:r>
        <w:tab/>
      </w:r>
      <m:oMath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∞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eq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)={</m:t>
        </m:r>
        <m:m>
          <m:mPr>
            <m:mcs>
              <m:mc>
                <m:mcPr>
                  <m:count m:val="2"/>
                  <m:mcJc m:val="center"/>
                </m:mcPr>
              </m:mc>
            </m:mcs>
          </m:mPr>
          <m:mr>
            <m:e>
              <m:r>
                <m:rPr>
                  <m:sty m:val="p"/>
                </m:rPr>
                <w:rPr>
                  <w:rFonts w:ascii="Times New Roman" w:hAnsi="Times New Roman" w:cs="Times New Roman" w:eastAsia="宋体"/>
                  <w:i w:val="0"/>
                  <w:iCs w:val="0"/>
                </w:rPr>
                <m:t xml:space="preserve">(</m:t>
              </m:r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hAnsi="Times New Roman" w:cs="Times New Roman" w:eastAsia="宋体"/>
                      <w:i w:val="1"/>
                      <w:iCs w:val="1"/>
                    </w:rPr>
                    <m:t xml:space="preserve">I</m:t>
                  </m:r>
                </m:e>
                <m:sub>
                  <m:r>
                    <m:rPr>
                      <m:sty m:val="i"/>
                    </m:rPr>
                    <w:rPr>
                      <w:rFonts w:ascii="Times New Roman" w:hAnsi="Times New Roman" w:cs="Times New Roman" w:eastAsia="宋体"/>
                      <w:i w:val="1"/>
                      <w:iCs w:val="1"/>
                    </w:rPr>
                    <m:t xml:space="preserve">T</m:t>
                  </m:r>
                </m:sub>
              </m:sSub>
              <m:r>
                <m:rPr>
                  <m:sty m:val="p"/>
                </m:rPr>
                <w:rPr>
                  <w:rFonts w:ascii="Times New Roman" w:hAnsi="Times New Roman" w:cs="Times New Roman" w:eastAsia="宋体"/>
                  <w:i w:val="0"/>
                  <w:iCs w:val="0"/>
                </w:rPr>
                <m:t xml:space="preserve">(</m:t>
              </m:r>
              <m:r>
                <m:rPr>
                  <m:sty m:val="i"/>
                </m:rPr>
                <w:rPr>
                  <w:rFonts w:ascii="Times New Roman" w:hAnsi="Times New Roman" w:cs="Times New Roman" w:eastAsia="宋体"/>
                  <w:i w:val="1"/>
                  <w:iCs w:val="1"/>
                </w:rPr>
                <m:t xml:space="preserve">t</m:t>
              </m:r>
              <m:r>
                <m:rPr>
                  <m:sty m:val="p"/>
                </m:rPr>
                <w:rPr>
                  <w:rFonts w:ascii="Times New Roman" w:hAnsi="Times New Roman" w:cs="Times New Roman" w:eastAsia="宋体"/>
                  <w:i w:val="0"/>
                  <w:iCs w:val="0"/>
                </w:rPr>
                <m:t xml:space="preserve">),</m:t>
              </m:r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hAnsi="Times New Roman" w:cs="Times New Roman" w:eastAsia="宋体"/>
                      <w:i w:val="1"/>
                      <w:iCs w:val="1"/>
                    </w:rPr>
                    <m:t xml:space="preserve">I</m:t>
                  </m:r>
                </m:e>
                <m:sub>
                  <m:r>
                    <m:rPr>
                      <m:sty m:val="i"/>
                    </m:rPr>
                    <w:rPr>
                      <w:rFonts w:ascii="Times New Roman" w:hAnsi="Times New Roman" w:cs="Times New Roman" w:eastAsia="宋体"/>
                      <w:i w:val="1"/>
                      <w:iCs w:val="1"/>
                    </w:rPr>
                    <m:t xml:space="preserve">Y</m:t>
                  </m:r>
                </m:sub>
              </m:sSub>
              <m:r>
                <m:rPr>
                  <m:sty m:val="p"/>
                </m:rPr>
                <w:rPr>
                  <w:rFonts w:ascii="Times New Roman" w:hAnsi="Times New Roman" w:cs="Times New Roman" w:eastAsia="宋体"/>
                  <w:i w:val="0"/>
                  <w:iCs w:val="0"/>
                </w:rPr>
                <m:t xml:space="preserve">(</m:t>
              </m:r>
              <m:r>
                <m:rPr>
                  <m:sty m:val="i"/>
                </m:rPr>
                <w:rPr>
                  <w:rFonts w:ascii="Times New Roman" w:hAnsi="Times New Roman" w:cs="Times New Roman" w:eastAsia="宋体"/>
                  <w:i w:val="1"/>
                  <w:iCs w:val="1"/>
                </w:rPr>
                <m:t xml:space="preserve">t</m:t>
              </m:r>
              <m:r>
                <m:rPr>
                  <m:sty m:val="p"/>
                </m:rPr>
                <w:rPr>
                  <w:rFonts w:ascii="Times New Roman" w:hAnsi="Times New Roman" w:cs="Times New Roman" w:eastAsia="宋体"/>
                  <w:i w:val="0"/>
                  <w:iCs w:val="0"/>
                </w:rPr>
                <m:t xml:space="preserve">)),</m:t>
              </m:r>
            </m:e>
            <m:e>
              <m:r>
                <m:rPr>
                  <m:sty m:val="p"/>
                </m:rPr>
                <w:rPr>
                  <w:rFonts w:ascii="Times New Roman" w:hAnsi="Times New Roman" w:cs="Times New Roman" w:eastAsia="宋体"/>
                  <w:i w:val="0"/>
                  <w:iCs w:val="0"/>
                </w:rPr>
                <m:t xml:space="preserve">0≤</m:t>
              </m:r>
              <m:r>
                <m:rPr>
                  <m:sty m:val="i"/>
                </m:rPr>
                <w:rPr>
                  <w:rFonts w:ascii="Times New Roman" w:hAnsi="Times New Roman" w:cs="Times New Roman" w:eastAsia="宋体"/>
                  <w:i w:val="1"/>
                  <w:iCs w:val="1"/>
                </w:rPr>
                <m:t xml:space="preserve">t</m:t>
              </m:r>
              <m:r>
                <m:rPr>
                  <m:sty m:val="p"/>
                </m:rPr>
                <w:rPr>
                  <w:rFonts w:ascii="Times New Roman" w:hAnsi="Times New Roman" w:cs="Times New Roman" w:eastAsia="宋体"/>
                  <w:i w:val="0"/>
                  <w:iCs w:val="0"/>
                </w:rPr>
                <m:t xml:space="preserve">≤14400</m:t>
              </m:r>
              <m:r>
                <m:rPr>
                  <m:sty m:val="p"/>
                </m:rPr>
                <w:rPr>
                  <w:rFonts w:ascii="Times New Roman" w:hAnsi="Times New Roman" w:cs="Times New Roman" w:eastAsia="宋体"/>
                  <w:i w:val="0"/>
                  <w:iCs w:val="0"/>
                </w:rPr>
                <m:t xml:space="preserve"> </m:t>
              </m:r>
              <m:r>
                <m:rPr>
                  <m:sty m:val="p"/>
                </m:rPr>
                <w:rPr>
                  <w:rFonts w:ascii="Times New Roman" w:hAnsi="Times New Roman" w:cs="Times New Roman" w:eastAsia="宋体"/>
                  <w:i w:val="0"/>
                  <w:iCs w:val="0"/>
                </w:rPr>
                <m:t xml:space="preserve">s</m:t>
              </m:r>
              <m:r>
                <m:rPr>
                  <m:sty m:val="p"/>
                </m:rPr>
                <w:rPr>
                  <w:rFonts w:ascii="Times New Roman" w:hAnsi="Times New Roman" w:cs="Times New Roman" w:eastAsia="宋体"/>
                  <w:i w:val="0"/>
                  <w:iCs w:val="0"/>
                </w:rPr>
                <m:t xml:space="preserve">,</m:t>
              </m:r>
            </m:e>
          </m:mr>
          <m:mr>
            <m:e>
              <m:r>
                <m:rPr>
                  <m:sty m:val="p"/>
                </m:rPr>
                <w:rPr>
                  <w:rFonts w:ascii="Times New Roman" w:hAnsi="Times New Roman" w:cs="Times New Roman" w:eastAsia="宋体"/>
                  <w:i w:val="0"/>
                  <w:iCs w:val="0"/>
                </w:rPr>
                <m:t xml:space="preserve">(323.15,0.05),</m:t>
              </m:r>
            </m:e>
            <m:e>
              <m:r>
                <m:rPr>
                  <m:sty m:val="i"/>
                </m:rPr>
                <w:rPr>
                  <w:rFonts w:ascii="Times New Roman" w:hAnsi="Times New Roman" w:cs="Times New Roman" w:eastAsia="宋体"/>
                  <w:i w:val="1"/>
                  <w:iCs w:val="1"/>
                </w:rPr>
                <m:t xml:space="preserve">t</m:t>
              </m:r>
              <m:r>
                <m:rPr>
                  <m:sty m:val="p"/>
                </m:rPr>
                <w:rPr>
                  <w:rFonts w:ascii="Times New Roman" w:hAnsi="Times New Roman" w:cs="Times New Roman" w:eastAsia="宋体"/>
                  <w:i w:val="0"/>
                  <w:iCs w:val="0"/>
                </w:rPr>
                <m:t xml:space="preserve">&gt;14400</m:t>
              </m:r>
              <m:r>
                <m:rPr>
                  <m:sty m:val="p"/>
                </m:rPr>
                <w:rPr>
                  <w:rFonts w:ascii="Times New Roman" w:hAnsi="Times New Roman" w:cs="Times New Roman" w:eastAsia="宋体"/>
                  <w:i w:val="0"/>
                  <w:iCs w:val="0"/>
                </w:rPr>
                <m:t xml:space="preserve"> </m:t>
              </m:r>
              <m:r>
                <m:rPr>
                  <m:sty m:val="p"/>
                </m:rPr>
                <w:rPr>
                  <w:rFonts w:ascii="Times New Roman" w:hAnsi="Times New Roman" w:cs="Times New Roman" w:eastAsia="宋体"/>
                  <w:i w:val="0"/>
                  <w:iCs w:val="0"/>
                </w:rPr>
                <m:t xml:space="preserve">s</m:t>
              </m:r>
              <m:r>
                <m:rPr>
                  <m:sty m:val="p"/>
                </m:rPr>
                <w:rPr>
                  <w:rFonts w:ascii="Times New Roman" w:hAnsi="Times New Roman" w:cs="Times New Roman" w:eastAsia="宋体"/>
                  <w:i w:val="0"/>
                  <w:iCs w:val="0"/>
                </w:rPr>
                <m:t xml:space="preserve">.</m:t>
              </m:r>
            </m:e>
          </m:mr>
        </m:m>
      </m:oMath>
      <w:r>
        <w:rPr>
          <w:rFonts w:ascii="Times New Roman" w:hAnsi="Times New Roman" w:eastAsia="宋体"/>
          <w:color w:val="000000"/>
          <w:sz w:val="24"/>
        </w:rPr>
        <w:tab/>
      </w:r>
      <w:r>
        <w:rPr>
          <w:rFonts w:ascii="Times New Roman" w:hAnsi="Times New Roman" w:eastAsia="宋体" w:cs="Times New Roman"/>
          <w:color w:val="000000"/>
          <w:sz w:val="24"/>
        </w:rPr>
        <w:t xml:space="preserve">(10)</w:t>
      </w:r>
    </w:p>
    <w:p w14:paraId="24FA6872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其中两种插值算子直接连接相邻观测点，不额外平滑或外推趋势。超过观测窗后的输出是指定工况下的条件预测。附录3未重给表面换热和传质系数，本文明确沿用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h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和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β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；这也属于全过程边界设置，而不是对不同风速或设备的普遍结论。</w:t>
      </w:r>
    </w:p>
    <w:p w14:paraId="1CF1FE76">
      <w:pPr>
        <w:keepLines/>
        <w:snapToGrid w:val="0"/>
        <w:spacing w:before="140" w:after="140" w:line="300" w:lineRule="auto"/>
        <w:ind w:firstLine="0"/>
        <w:jc w:val="left"/>
      </w:pPr>
      <w:r>
        <w:rPr>
          <w:rFonts w:ascii="Times New Roman" w:hAnsi="Times New Roman" w:eastAsia="宋体" w:cs="Times New Roman"/>
          <w:b/>
          <w:color w:val="000000"/>
          <w:sz w:val="24"/>
          <w:highlight w:val="yellow"/>
        </w:rPr>
        <w:t xml:space="preserve">【绘图位置2】图2：烘房边界条件及延拓。上图为0—4 h温度原始点与插值，下图为环境水分指标；另用较长时间轴展示4 h后的50</w:t>
      </w:r>
      <w:r>
        <w:rPr>
          <w:rFonts w:ascii="Times New Roman" w:hAnsi="Times New Roman" w:eastAsia="宋体" w:cs="Times New Roman"/>
          <w:b/>
          <w:color w:val="000000"/>
          <w:sz w:val="24"/>
          <w:highlight w:val="yellow"/>
          <w:i w:val="0"/>
          <w:iCs w:val="0"/>
          <w:vertAlign w:val="baseline"/>
        </w:rPr>
        <w:t xml:space="preserve">°C</w:t>
      </w:r>
      <w:r>
        <w:rPr>
          <w:rFonts w:ascii="Times New Roman" w:hAnsi="Times New Roman" w:eastAsia="宋体" w:cs="Times New Roman"/>
          <w:b/>
          <w:color w:val="000000"/>
          <w:sz w:val="24"/>
          <w:highlight w:val="yellow"/>
        </w:rPr>
        <w:t xml:space="preserve">和0.05平台，用竖线标出观测与延拓边界。不能把延拓段画成实测点。</w:t>
      </w:r>
    </w:p>
    <w:p w14:paraId="4E2459C1">
      <w:pPr>
        <w:pStyle w:val="9"/>
        <w:snapToGrid w:val="0"/>
        <w:ind w:firstLine="0"/>
      </w:pPr>
      <w:r>
        <w:rPr>
          <w:rFonts w:ascii="Times New Roman" w:hAnsi="Times New Roman" w:cs="Times New Roman" w:eastAsia="宋体"/>
        </w:rPr>
        <w:t xml:space="preserve">5.2.3 求解算法</w:t>
      </w:r>
    </w:p>
    <w:p w14:paraId="2CC184C6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沿用问题一的有限体积网格，同时更新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B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(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)、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k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(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)与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D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(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,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)。温度面通量采用导热系数调和平均，水分面通量用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a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=0.45的Kirchhoff势及面温度因子。解析Jacobian保留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对水通量、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对热容量和热通量的导数。中心无通量与表面换热传质直接写入控制体余额，从而保证两类边界与内部离散采用一致的符号。</w:t>
      </w:r>
    </w:p>
    <w:p w14:paraId="022821CE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Step 1：从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=0读取初始状态并选定附录3。Step 2：每次右端函数求值时查询当前环境，更新各节点物性及面通量。Step 3：用隐式BDF与稀疏Jacobian联立推进，早期限制较小步长，后期根据误差控制自动调整。Step 4：保存同一条全过程轨迹，查询题目要求的前3 h径向表和逐秒全过程结果。Step 5：将该轨迹交给问题三进行阈值判断，避免两次独立求解造成终止时间与结果表不一致。</w:t>
      </w:r>
    </w:p>
    <w:p w14:paraId="7D83A905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网格采用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N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3200，主要容差与问题一一致。模型最长允许计算范围只是程序保护上限；实际输出区间由问题三达标事件和其后校核点确定，不以任意预设天数冒充烘干完成时刻。</w:t>
      </w:r>
    </w:p>
    <w:p w14:paraId="6F5CA70E">
      <w:pPr>
        <w:pStyle w:val="9"/>
        <w:snapToGrid w:val="0"/>
        <w:ind w:firstLine="0"/>
      </w:pPr>
      <w:r>
        <w:rPr>
          <w:rFonts w:ascii="Times New Roman" w:hAnsi="Times New Roman" w:cs="Times New Roman" w:eastAsia="宋体"/>
        </w:rPr>
        <w:t xml:space="preserve">5.2.4 结果分析</w:t>
      </w:r>
    </w:p>
    <w:p w14:paraId="16D8AC42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表3、表4给出题目规定的6个时刻。两表由全过程解在同一组时间和半径上查询，因此可以直接比较热响应与水分迁移的时间尺度。</w:t>
      </w:r>
    </w:p>
    <w:p w14:paraId="446ED487">
      <w:pPr>
        <w:keepNext/>
        <w:snapToGrid w:val="0"/>
        <w:spacing w:line="300" w:lineRule="auto"/>
        <w:ind w:firstLine="0"/>
        <w:jc w:val="center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表3 问题二的径向温度（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°C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）</w:t>
      </w:r>
    </w:p>
    <w:tbl>
      <w:tblPr>
        <w:tblStyle w:val="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1512"/>
        <w:gridCol w:w="1512"/>
        <w:gridCol w:w="1512"/>
        <w:gridCol w:w="1512"/>
        <w:gridCol w:w="1512"/>
      </w:tblGrid>
      <w:tr w14:paraId="77AD55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3F036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时间/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1"/>
                <w:iCs w:val="1"/>
                <w:vertAlign w:val="baseline"/>
              </w:rPr>
              <w:t xml:space="preserve">h</w:t>
            </w:r>
          </w:p>
        </w:tc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F06ACB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1"/>
                <w:iCs w:val="1"/>
                <w:vertAlign w:val="baseline"/>
              </w:rPr>
              <w:t xml:space="preserve">r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=0 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0"/>
                <w:iCs w:val="0"/>
                <w:vertAlign w:val="baseline"/>
              </w:rPr>
              <w:t xml:space="preserve">cm</w:t>
            </w:r>
          </w:p>
        </w:tc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541C7B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1"/>
                <w:iCs w:val="1"/>
                <w:vertAlign w:val="baseline"/>
              </w:rPr>
              <w:t xml:space="preserve">r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=0.5 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0"/>
                <w:iCs w:val="0"/>
                <w:vertAlign w:val="baseline"/>
              </w:rPr>
              <w:t xml:space="preserve">cm</w:t>
            </w:r>
          </w:p>
        </w:tc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680171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1"/>
                <w:iCs w:val="1"/>
                <w:vertAlign w:val="baseline"/>
              </w:rPr>
              <w:t xml:space="preserve">r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=1 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0"/>
                <w:iCs w:val="0"/>
                <w:vertAlign w:val="baseline"/>
              </w:rPr>
              <w:t xml:space="preserve">cm</w:t>
            </w:r>
          </w:p>
        </w:tc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64970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1"/>
                <w:iCs w:val="1"/>
                <w:vertAlign w:val="baseline"/>
              </w:rPr>
              <w:t xml:space="preserve">r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=1.5 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0"/>
                <w:iCs w:val="0"/>
                <w:vertAlign w:val="baseline"/>
              </w:rPr>
              <w:t xml:space="preserve">cm</w:t>
            </w:r>
          </w:p>
        </w:tc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3D2BFD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1"/>
                <w:iCs w:val="1"/>
                <w:vertAlign w:val="baseline"/>
              </w:rPr>
              <w:t xml:space="preserve">r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=2 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0"/>
                <w:iCs w:val="0"/>
                <w:vertAlign w:val="baseline"/>
              </w:rPr>
              <w:t xml:space="preserve">cm</w:t>
            </w:r>
          </w:p>
        </w:tc>
      </w:tr>
      <w:tr w14:paraId="3A780B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BBC17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0.5000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5C083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32.1892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F8AAD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32.3821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9203FB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32.9659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60269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33.9608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4982C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35.4130</w:t>
            </w:r>
          </w:p>
        </w:tc>
      </w:tr>
      <w:tr w14:paraId="3D811C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B7F24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1.0000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842C2F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40.3816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F27908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40.5536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57CC1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41.0605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328BA9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41.8782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E6314C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42.9976</w:t>
            </w:r>
          </w:p>
        </w:tc>
      </w:tr>
      <w:tr w14:paraId="24CB24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8FCBA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1.5000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399D9C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45.8468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CA993B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45.9348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BF932C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46.1930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8525B1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46.6051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B4004C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47.1401</w:t>
            </w:r>
          </w:p>
        </w:tc>
      </w:tr>
      <w:tr w14:paraId="5BE1C1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740E79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2.0000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F8C73C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48.4502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C7666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48.4881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ECA4B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48.5984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57554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48.7736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E2DB1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49.0033</w:t>
            </w:r>
          </w:p>
        </w:tc>
      </w:tr>
      <w:tr w14:paraId="592486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810E79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2.5000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075A71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49.4670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4D7F80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49.4792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013A4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49.5136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FAF268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49.5653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FEDE7D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49.6609</w:t>
            </w:r>
          </w:p>
        </w:tc>
      </w:tr>
      <w:tr w14:paraId="3B9143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0A460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3.0000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90FC8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49.8495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04AA6C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49.8553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E9A5BC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49.8746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52D278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49.9101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651219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49.9664</w:t>
            </w:r>
          </w:p>
        </w:tc>
      </w:tr>
    </w:tbl>
    <w:p w14:paraId="4F921609">
      <w:pPr>
        <w:snapToGrid w:val="0"/>
      </w:pPr>
    </w:p>
    <w:p w14:paraId="7B08EAE4">
      <w:pPr>
        <w:keepNext/>
        <w:snapToGrid w:val="0"/>
        <w:spacing w:line="300" w:lineRule="auto"/>
        <w:ind w:firstLine="0"/>
        <w:jc w:val="center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表4 问题二的径向干基含水率（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kg/kg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）</w:t>
      </w:r>
    </w:p>
    <w:tbl>
      <w:tblPr>
        <w:tblStyle w:val="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1512"/>
        <w:gridCol w:w="1512"/>
        <w:gridCol w:w="1512"/>
        <w:gridCol w:w="1512"/>
        <w:gridCol w:w="1512"/>
      </w:tblGrid>
      <w:tr w14:paraId="318482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60095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时间/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1"/>
                <w:iCs w:val="1"/>
                <w:vertAlign w:val="baseline"/>
              </w:rPr>
              <w:t xml:space="preserve">h</w:t>
            </w:r>
          </w:p>
        </w:tc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92C561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1"/>
                <w:iCs w:val="1"/>
                <w:vertAlign w:val="baseline"/>
              </w:rPr>
              <w:t xml:space="preserve">r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=0 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0"/>
                <w:iCs w:val="0"/>
                <w:vertAlign w:val="baseline"/>
              </w:rPr>
              <w:t xml:space="preserve">cm</w:t>
            </w:r>
          </w:p>
        </w:tc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3ED940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1"/>
                <w:iCs w:val="1"/>
                <w:vertAlign w:val="baseline"/>
              </w:rPr>
              <w:t xml:space="preserve">r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=0.5 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0"/>
                <w:iCs w:val="0"/>
                <w:vertAlign w:val="baseline"/>
              </w:rPr>
              <w:t xml:space="preserve">cm</w:t>
            </w:r>
          </w:p>
        </w:tc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418FBD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1"/>
                <w:iCs w:val="1"/>
                <w:vertAlign w:val="baseline"/>
              </w:rPr>
              <w:t xml:space="preserve">r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=1 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0"/>
                <w:iCs w:val="0"/>
                <w:vertAlign w:val="baseline"/>
              </w:rPr>
              <w:t xml:space="preserve">cm</w:t>
            </w:r>
          </w:p>
        </w:tc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3DD670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1"/>
                <w:iCs w:val="1"/>
                <w:vertAlign w:val="baseline"/>
              </w:rPr>
              <w:t xml:space="preserve">r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=1.5 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0"/>
                <w:iCs w:val="0"/>
                <w:vertAlign w:val="baseline"/>
              </w:rPr>
              <w:t xml:space="preserve">cm</w:t>
            </w:r>
          </w:p>
        </w:tc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B57C9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1"/>
                <w:iCs w:val="1"/>
                <w:vertAlign w:val="baseline"/>
              </w:rPr>
              <w:t xml:space="preserve">r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=2 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0"/>
                <w:iCs w:val="0"/>
                <w:vertAlign w:val="baseline"/>
              </w:rPr>
              <w:t xml:space="preserve">cm</w:t>
            </w:r>
          </w:p>
        </w:tc>
      </w:tr>
      <w:tr w14:paraId="22E68C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60C77D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0.5000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DD9DF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2.5499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E5A8FD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2.5489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FB3B11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2.5256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9AB387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2.3257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02EC8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1.6486</w:t>
            </w:r>
          </w:p>
        </w:tc>
      </w:tr>
      <w:tr w14:paraId="1805A5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E6B215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1.0000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15834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2.5257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8AD4A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2.4948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D4AEC7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2.3578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9E8EA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2.0230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197CB5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1.4711</w:t>
            </w:r>
          </w:p>
        </w:tc>
      </w:tr>
      <w:tr w14:paraId="50A755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958AAF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1.5000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F2CB5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2.3861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DE5B6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2.3256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C3E67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2.1344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A4AA4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1.8020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6191CD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1.3476</w:t>
            </w:r>
          </w:p>
        </w:tc>
      </w:tr>
      <w:tr w14:paraId="20B5ED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1AF6F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2.0000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AEC5C9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2.1709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F6701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2.1084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B11ABB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1.9236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C6520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1.6259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1F656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1.2311</w:t>
            </w:r>
          </w:p>
        </w:tc>
      </w:tr>
      <w:tr w14:paraId="4EEC8A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8DF25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2.5000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2C66F7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1.9566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59DAFD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1.9006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DEAE51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1.7360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D8B67C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1.4720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5C6CA5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1.1166</w:t>
            </w:r>
          </w:p>
        </w:tc>
      </w:tr>
      <w:tr w14:paraId="6B1594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5B16F5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3.0000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59394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1.7662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B66E6F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1.7165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42B6E1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1.5702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B4FE57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1.3333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9B558D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1.0081</w:t>
            </w:r>
          </w:p>
        </w:tc>
      </w:tr>
    </w:tbl>
    <w:p w14:paraId="2D773C57">
      <w:pPr>
        <w:snapToGrid w:val="0"/>
      </w:pPr>
    </w:p>
    <w:p w14:paraId="5A296244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3 h时中心和表面温度分别为49.8495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°C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、49.9664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°C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，温差已缩小到约0.1169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°C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，而中心与表面的含水率分别为1.7662、1.0081 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kg/kg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，仍存在明显差异。升温接近完成不代表脱水已经完成；单独根据药材温度接近烘房温度来决定出料，会忽视中心水分的持续迁移。</w:t>
      </w:r>
    </w:p>
    <w:p w14:paraId="13FFA43C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水分扩散对温度的响应与含水率的响应方向不同。在相同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下，升温使式(9)的温度因子增大，有利于扩散；随着药材逐渐变干，exp(−0.45/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)减小，使后期扩散变慢。因此全过程通常表现为前期升温推动水分迁移、后期低含水率区域限制传递的组合效应。该解释来自物性公式及场分布，不把时间曲线的形状直接归因为某个未经观测的组织变化。</w:t>
      </w:r>
    </w:p>
    <w:p w14:paraId="74705285">
      <w:pPr>
        <w:keepLines/>
        <w:snapToGrid w:val="0"/>
        <w:spacing w:before="140" w:after="140" w:line="300" w:lineRule="auto"/>
        <w:ind w:firstLine="0"/>
        <w:jc w:val="left"/>
      </w:pPr>
      <w:r>
        <w:rPr>
          <w:rFonts w:ascii="Times New Roman" w:hAnsi="Times New Roman" w:eastAsia="宋体" w:cs="Times New Roman"/>
          <w:b/>
          <w:color w:val="000000"/>
          <w:sz w:val="24"/>
          <w:highlight w:val="yellow"/>
        </w:rPr>
        <w:t xml:space="preserve">【绘图位置3】图3：问题二中心与表面的温度、含水率随时间变化。温度展示前4 h，含水率展示从0到达标；两图分别使用适合其变化尺度的时间轴，清楚标出中心和表面，避免因同轴缩放掩盖前期热响应。</w:t>
      </w:r>
    </w:p>
    <w:p w14:paraId="0111F1A8">
      <w:pPr>
        <w:pStyle w:val="9"/>
        <w:snapToGrid w:val="0"/>
        <w:ind w:firstLine="0"/>
      </w:pPr>
      <w:r>
        <w:rPr>
          <w:rFonts w:ascii="Times New Roman" w:hAnsi="Times New Roman" w:cs="Times New Roman" w:eastAsia="宋体"/>
        </w:rPr>
        <w:t xml:space="preserve">5.2.5 模型检验或灵敏度分析</w:t>
      </w:r>
    </w:p>
    <w:p w14:paraId="7E5FEACA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空间加密、收紧时间设置以及不同积分器的对照表明，本组数值解在约定采样范围内稳定。表3中1.5 h表面温度恰处于四位小数的舍入边界附近，基准与更严格时间设置可能给出不同末位。本文保留统一结果版本的47.1401，不通过挑选不同运行的末位拼出一张表。四位输出满足展示格式，不等于四位真实物理精度。</w:t>
      </w:r>
    </w:p>
    <w:p w14:paraId="774C227B">
      <w:pPr>
        <w:pStyle w:val="8"/>
        <w:snapToGrid w:val="0"/>
        <w:ind w:firstLine="0"/>
      </w:pPr>
      <w:r>
        <w:rPr>
          <w:rFonts w:ascii="Times New Roman" w:hAnsi="Times New Roman" w:cs="Times New Roman" w:eastAsia="宋体"/>
        </w:rPr>
        <w:t xml:space="preserve">5.3 问题三模型的建立与求解</w:t>
      </w:r>
    </w:p>
    <w:p w14:paraId="6B988F69">
      <w:pPr>
        <w:pStyle w:val="9"/>
        <w:snapToGrid w:val="0"/>
        <w:ind w:firstLine="0"/>
      </w:pPr>
      <w:r>
        <w:rPr>
          <w:rFonts w:ascii="Times New Roman" w:hAnsi="Times New Roman" w:cs="Times New Roman" w:eastAsia="宋体"/>
        </w:rPr>
        <w:t xml:space="preserve">5.3.1 建模思路</w:t>
      </w:r>
    </w:p>
    <w:p w14:paraId="605DCFA6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全域达标由含水率最高的位置决定，时间求解应以完整状态轨迹为依据。本文将温湿场求解与事件定位衔接，把烘干阈值写成全域最大值约束，分别处理数值临界根和严格可行的报告值。这样既沿用问题二的物理模型，也避免仅凭表面状态或预设天数结束计算。</w:t>
      </w:r>
    </w:p>
    <w:p w14:paraId="0C064587">
      <w:pPr>
        <w:pStyle w:val="9"/>
        <w:snapToGrid w:val="0"/>
        <w:ind w:firstLine="0"/>
      </w:pPr>
      <w:r>
        <w:rPr>
          <w:rFonts w:ascii="Times New Roman" w:hAnsi="Times New Roman" w:cs="Times New Roman" w:eastAsia="宋体"/>
        </w:rPr>
        <w:t xml:space="preserve">5.3.2 变量定义与公式推导</w:t>
      </w:r>
    </w:p>
    <w:p w14:paraId="35D5B0FE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问题三由给定时刻求状态转为确定满足约束的时刻。沿用问题二的几何、物性、环境和同一条数值轨迹，定义</w:t>
      </w:r>
    </w:p>
    <w:p w14:paraId="6659B760">
      <w:pPr>
        <w:tabs>
          <w:tab w:val="center" w:pos="4535"/>
          <w:tab w:val="right" w:pos="9071"/>
        </w:tabs>
        <w:snapToGrid w:val="0"/>
        <w:spacing w:before="80" w:after="120"/>
        <w:ind w:firstLine="0"/>
        <w:jc w:val="left"/>
      </w:pPr>
      <w:r>
        <w:tab/>
      </w:r>
      <m:oMath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M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)=</m:t>
        </m:r>
        <m:sSub>
          <m:sSubPr/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max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0≤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r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≤</m:t>
            </m:r>
            <m:sSub>
              <m:sSubPr/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R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0</m:t>
                </m:r>
              </m:sub>
            </m:sSub>
          </m:sub>
        </m:sSub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r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 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g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)=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M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)−0.15</m:t>
        </m:r>
      </m:oMath>
      <w:r>
        <w:rPr>
          <w:rFonts w:ascii="Times New Roman" w:hAnsi="Times New Roman" w:eastAsia="宋体"/>
          <w:color w:val="000000"/>
          <w:sz w:val="24"/>
        </w:rPr>
        <w:tab/>
      </w:r>
      <w:r>
        <w:rPr>
          <w:rFonts w:ascii="Times New Roman" w:hAnsi="Times New Roman" w:eastAsia="宋体" w:cs="Times New Roman"/>
          <w:color w:val="000000"/>
          <w:sz w:val="24"/>
        </w:rPr>
        <w:t xml:space="preserve">(11)</w:t>
      </w:r>
    </w:p>
    <w:p w14:paraId="59B6A960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使用全域最大值可以直接对应“药材各处均低于0.15 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kg/kg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”，而不依赖先验指定某个控制位置。数值上逐节点检查最大含水率，并核对各保存时刻的径向变化；本基线后期由中心控制，但中心在早期近乎平坦的区域中不一定是唯一浮点最大点。因此不把最大值索引始终等于某一节点当作必需物理条件。</w:t>
      </w:r>
    </w:p>
    <w:p w14:paraId="5FE370DE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连续根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满足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g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(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)=0。若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M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在穿越附近连续下降，严格可行集合的左端是临界边界，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本身仍等于阈值。题目要求严格低于时，应将临界根与可行报告时刻分开。本文在四位小数小时网格上向上取整，再用未舍入浓度检查：</w:t>
      </w:r>
    </w:p>
    <w:p w14:paraId="1E02316F">
      <w:pPr>
        <w:tabs>
          <w:tab w:val="center" w:pos="4535"/>
          <w:tab w:val="right" w:pos="9071"/>
        </w:tabs>
        <w:snapToGrid w:val="0"/>
        <w:spacing w:before="80" w:after="120"/>
        <w:ind w:firstLine="0"/>
        <w:jc w:val="left"/>
      </w:pPr>
      <w:r>
        <w:tab/>
      </w:r>
      <m:oMath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r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sSup>
          <m:sSupPr/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−4</m:t>
            </m:r>
          </m:sup>
        </m:sSup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⌈</m:t>
        </m:r>
        <m:sSup>
          <m:sSupPr/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4</m:t>
            </m:r>
          </m:sup>
        </m:sSup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c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⌉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 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h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 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M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r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)&lt;0.15</m:t>
        </m:r>
      </m:oMath>
      <w:r>
        <w:rPr>
          <w:rFonts w:ascii="Times New Roman" w:hAnsi="Times New Roman" w:eastAsia="宋体"/>
          <w:color w:val="000000"/>
          <w:sz w:val="24"/>
        </w:rPr>
        <w:tab/>
      </w:r>
      <w:r>
        <w:rPr>
          <w:rFonts w:ascii="Times New Roman" w:hAnsi="Times New Roman" w:eastAsia="宋体" w:cs="Times New Roman"/>
          <w:color w:val="000000"/>
          <w:sz w:val="24"/>
        </w:rPr>
        <w:t xml:space="preserve">(12)</w:t>
      </w:r>
    </w:p>
    <w:p w14:paraId="0D99E308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若临界根恰好位于报告网格点上，或原精度检查尚未严格满足，则继续推进一个报告单位再检查。这是本文采用的可行报告约定。它不改变事件根的定义，也不把四位数字的显示值当作阈值判断依据。</w:t>
      </w:r>
    </w:p>
    <w:p w14:paraId="5C574F66">
      <w:pPr>
        <w:pStyle w:val="9"/>
        <w:snapToGrid w:val="0"/>
        <w:ind w:firstLine="0"/>
      </w:pPr>
      <w:r>
        <w:rPr>
          <w:rFonts w:ascii="Times New Roman" w:hAnsi="Times New Roman" w:cs="Times New Roman" w:eastAsia="宋体"/>
        </w:rPr>
        <w:t xml:space="preserve">5.3.3 求解算法</w:t>
      </w:r>
    </w:p>
    <w:p w14:paraId="2D39D025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Step 1：在问题二积分过程中监测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g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(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)下降穿零。Step 2：在包围根的时间区间内利用求解器稠密输出定位临界根。Step 3：核对事件处全域最大值与阈值的一致性。Step 4：将临界时刻换算为小时，按式(12)形成报告值。Step 5：查询未舍入最大含水率，确认报告时刻严格可行；按照60 s和0.1 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cm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输出全过程含水率。另在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N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800验证轨迹上采用独立二分复核事件定位方法；正式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N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3200临界根与严格报告值仍由生产轨迹给出。</w:t>
      </w:r>
    </w:p>
    <w:p w14:paraId="14E8EE33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计算得到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=57.47230195056044 h，报告烘干时长为57.4724 h。普通四位最近舍入得到的57.4723 h只是临界时间的显示标签，不能直接替代严格可行的报告值。程序另保留事件后整数秒的状态用于导出与核对，相关时间约定见附录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。</w:t>
      </w:r>
    </w:p>
    <w:p w14:paraId="168AA390">
      <w:pPr>
        <w:pStyle w:val="9"/>
        <w:snapToGrid w:val="0"/>
        <w:ind w:firstLine="0"/>
      </w:pPr>
      <w:r>
        <w:rPr>
          <w:rFonts w:ascii="Times New Roman" w:hAnsi="Times New Roman" w:cs="Times New Roman" w:eastAsia="宋体"/>
        </w:rPr>
        <w:t xml:space="preserve">5.3.4 结果分析</w:t>
      </w:r>
    </w:p>
    <w:p w14:paraId="50734F2A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表5列出每隔6 h及最终报告时刻的径向含水率。完整60 s结果保留更多时间信息，正文表用于显示干燥过程与径向差异。</w:t>
      </w:r>
    </w:p>
    <w:p w14:paraId="697BA218">
      <w:pPr>
        <w:keepNext/>
        <w:snapToGrid w:val="0"/>
        <w:spacing w:line="300" w:lineRule="auto"/>
        <w:ind w:firstLine="0"/>
        <w:jc w:val="center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表5 问题三的径向干基含水率（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kg/kg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）</w:t>
      </w:r>
    </w:p>
    <w:tbl>
      <w:tblPr>
        <w:tblStyle w:val="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1512"/>
        <w:gridCol w:w="1512"/>
        <w:gridCol w:w="1512"/>
        <w:gridCol w:w="1512"/>
        <w:gridCol w:w="1512"/>
      </w:tblGrid>
      <w:tr w14:paraId="109693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A1B0D8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时间/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1"/>
                <w:iCs w:val="1"/>
                <w:vertAlign w:val="baseline"/>
              </w:rPr>
              <w:t xml:space="preserve">h</w:t>
            </w:r>
          </w:p>
        </w:tc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242640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1"/>
                <w:iCs w:val="1"/>
                <w:vertAlign w:val="baseline"/>
              </w:rPr>
              <w:t xml:space="preserve">r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=0 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0"/>
                <w:iCs w:val="0"/>
                <w:vertAlign w:val="baseline"/>
              </w:rPr>
              <w:t xml:space="preserve">cm</w:t>
            </w:r>
          </w:p>
        </w:tc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BDBD9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1"/>
                <w:iCs w:val="1"/>
                <w:vertAlign w:val="baseline"/>
              </w:rPr>
              <w:t xml:space="preserve">r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=0.5 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0"/>
                <w:iCs w:val="0"/>
                <w:vertAlign w:val="baseline"/>
              </w:rPr>
              <w:t xml:space="preserve">cm</w:t>
            </w:r>
          </w:p>
        </w:tc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881BB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1"/>
                <w:iCs w:val="1"/>
                <w:vertAlign w:val="baseline"/>
              </w:rPr>
              <w:t xml:space="preserve">r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=1 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0"/>
                <w:iCs w:val="0"/>
                <w:vertAlign w:val="baseline"/>
              </w:rPr>
              <w:t xml:space="preserve">cm</w:t>
            </w:r>
          </w:p>
        </w:tc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C1CE27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1"/>
                <w:iCs w:val="1"/>
                <w:vertAlign w:val="baseline"/>
              </w:rPr>
              <w:t xml:space="preserve">r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=1.5 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0"/>
                <w:iCs w:val="0"/>
                <w:vertAlign w:val="baseline"/>
              </w:rPr>
              <w:t xml:space="preserve">cm</w:t>
            </w:r>
          </w:p>
        </w:tc>
        <w:tc>
          <w:tcPr>
            <w:tcW w:w="1512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23F739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1"/>
                <w:iCs w:val="1"/>
                <w:vertAlign w:val="baseline"/>
              </w:rPr>
              <w:t xml:space="preserve">r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=2 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0"/>
                <w:iCs w:val="0"/>
                <w:vertAlign w:val="baseline"/>
              </w:rPr>
              <w:t xml:space="preserve">cm</w:t>
            </w:r>
          </w:p>
        </w:tc>
      </w:tr>
      <w:tr w14:paraId="694839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E98C4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6.0000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A8318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1.0170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CC2D2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0.9881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6100E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0.9015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9FCCA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0.7550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CF447D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0.5328</w:t>
            </w:r>
          </w:p>
        </w:tc>
      </w:tr>
      <w:tr w14:paraId="43A58A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110D7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12.0000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114BD9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0.4561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E60EC5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0.4432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2CA6F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0.4031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0DD3B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0.3297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93E337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0.1642</w:t>
            </w:r>
          </w:p>
        </w:tc>
      </w:tr>
      <w:tr w14:paraId="58DC84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0B102C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18.0000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34133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0.2988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75DFEB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0.2915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803EC0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0.2687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3935C5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0.2253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F16ECD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0.0845</w:t>
            </w:r>
          </w:p>
        </w:tc>
      </w:tr>
      <w:tr w14:paraId="6198C1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6119AB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24.0000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BE6DBF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0.2378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7E67F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0.2327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40BF6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0.2167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543908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0.1855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7B382F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0.0665</w:t>
            </w:r>
          </w:p>
        </w:tc>
      </w:tr>
      <w:tr w14:paraId="0562E9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501898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30.0000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5D515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0.2058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09573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0.2018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1F19F9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0.1892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8880AC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0.1641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23AB4B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0.0598</w:t>
            </w:r>
          </w:p>
        </w:tc>
      </w:tr>
      <w:tr w14:paraId="15FF60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FF46E9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36.0000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275C9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0.1859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E3C575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0.1825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156B0D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0.1718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94852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0.1504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F5CEE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0.0566</w:t>
            </w:r>
          </w:p>
        </w:tc>
      </w:tr>
      <w:tr w14:paraId="43540F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93A51C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42.0000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A696E5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0.1721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CC3A5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0.1691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4EFB2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0.1597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215E99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0.1407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32383D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0.0549</w:t>
            </w:r>
          </w:p>
        </w:tc>
      </w:tr>
      <w:tr w14:paraId="7AEF25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086BD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48.0000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5E7CA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0.1618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5DD05F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0.1592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093ECB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0.1507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28641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0.1334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74C338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0.0537</w:t>
            </w:r>
          </w:p>
        </w:tc>
      </w:tr>
      <w:tr w14:paraId="4A649C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2D91A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54.0000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44712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0.1539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16F52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0.1514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806FF0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0.1436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50A661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0.1277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597177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0.0530</w:t>
            </w:r>
          </w:p>
        </w:tc>
      </w:tr>
      <w:tr w14:paraId="4A1259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36965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57.4724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7D198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0.1500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092F55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0.1477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1C7B9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0.1402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8CEA85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0.1249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60E7F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0.0527</w:t>
            </w:r>
          </w:p>
        </w:tc>
      </w:tr>
    </w:tbl>
    <w:p w14:paraId="7DB0C3FA">
      <w:pPr>
        <w:snapToGrid w:val="0"/>
      </w:pPr>
    </w:p>
    <w:p w14:paraId="430116C1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12 h时表面已接近0.15，但中心仍为0.4561 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kg/kg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；至48 h中心仍为0.1618 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kg/kg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。由此可见，表面达标不能代表全域达标。后期中心由0.1859下降到0.1500经历较长时间，反映低含水率条件下扩散系数降低的影响。结束时中心与表面仍有浓度差，达到产品阈值并不要求内部先达到完全均匀的平衡状态。</w:t>
      </w:r>
    </w:p>
    <w:p w14:paraId="4CD67CFC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表5末行需结合报告约定阅读。未舍入的最大浓度严格小于0.15，而保留四位后的中心单元格仍可显示0.1500；显示精度不足以区分与阈值的微小差距。本文保留这个真实舍入结果，并用事件根、报告时刻和原精度查询完成判定。把单元格人为改成0.1499虽然看似符合不等式，却会破坏数值输出与约束核验之间的对应关系。</w:t>
      </w:r>
    </w:p>
    <w:p w14:paraId="736D9DB0">
      <w:pPr>
        <w:keepLines/>
        <w:snapToGrid w:val="0"/>
        <w:spacing w:before="140" w:after="140" w:line="300" w:lineRule="auto"/>
        <w:ind w:firstLine="0"/>
        <w:jc w:val="left"/>
      </w:pPr>
      <w:r>
        <w:rPr>
          <w:rFonts w:ascii="Times New Roman" w:hAnsi="Times New Roman" w:eastAsia="宋体" w:cs="Times New Roman"/>
          <w:b/>
          <w:color w:val="000000"/>
          <w:sz w:val="24"/>
          <w:highlight w:val="yellow"/>
        </w:rPr>
        <w:t xml:space="preserve">【绘图位置4】图4：问题三中心、表面与全域最大含水率曲线及0.15阈值线。主图展示0—60 h，局部放大图展示临界根附近，分别标记</w:t>
      </w:r>
      <w:r>
        <w:rPr>
          <w:rFonts w:ascii="Times New Roman" w:hAnsi="Times New Roman" w:eastAsia="宋体" w:cs="Times New Roman"/>
          <w:b/>
          <w:color w:val="000000"/>
          <w:sz w:val="24"/>
          <w:highlight w:val="yellow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b/>
          <w:color w:val="000000"/>
          <w:sz w:val="24"/>
          <w:highlight w:val="yellow"/>
          <w:i w:val="0"/>
          <w:iCs w:val="0"/>
          <w:vertAlign w:val="subscript"/>
        </w:rPr>
        <w:t xml:space="preserve">c</w:t>
      </w:r>
      <w:r>
        <w:rPr>
          <w:rFonts w:ascii="Times New Roman" w:hAnsi="Times New Roman" w:eastAsia="宋体" w:cs="Times New Roman"/>
          <w:b/>
          <w:color w:val="000000"/>
          <w:sz w:val="24"/>
          <w:highlight w:val="yellow"/>
        </w:rPr>
        <w:t xml:space="preserve">与</w:t>
      </w:r>
      <w:r>
        <w:rPr>
          <w:rFonts w:ascii="Times New Roman" w:hAnsi="Times New Roman" w:eastAsia="宋体" w:cs="Times New Roman"/>
          <w:b/>
          <w:color w:val="000000"/>
          <w:sz w:val="24"/>
          <w:highlight w:val="yellow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b/>
          <w:color w:val="000000"/>
          <w:sz w:val="24"/>
          <w:highlight w:val="yellow"/>
          <w:i w:val="0"/>
          <w:iCs w:val="0"/>
          <w:vertAlign w:val="subscript"/>
        </w:rPr>
        <w:t xml:space="preserve">r</w:t>
      </w:r>
      <w:r>
        <w:rPr>
          <w:rFonts w:ascii="Times New Roman" w:hAnsi="Times New Roman" w:eastAsia="宋体" w:cs="Times New Roman"/>
          <w:b/>
          <w:color w:val="000000"/>
          <w:sz w:val="24"/>
          <w:highlight w:val="yellow"/>
        </w:rPr>
        <w:t xml:space="preserve">。图中明确全域最大值曲线与中心曲线后期重合，不人为错开。</w:t>
      </w:r>
    </w:p>
    <w:p w14:paraId="55B203B3">
      <w:pPr>
        <w:pStyle w:val="9"/>
        <w:snapToGrid w:val="0"/>
        <w:ind w:firstLine="0"/>
      </w:pPr>
      <w:r>
        <w:rPr>
          <w:rFonts w:ascii="Times New Roman" w:hAnsi="Times New Roman" w:cs="Times New Roman" w:eastAsia="宋体"/>
        </w:rPr>
        <w:t xml:space="preserve">5.3.5 模型检验或灵敏度分析</w:t>
      </w:r>
    </w:p>
    <w:p w14:paraId="75DF03E6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约93.04%的报告时长位于附件1的4 h观测窗之后，因此57.4724 h应理解为规定平台温湿条件持续存在时的模型预测。数值根的复核能检查“给定轨迹上是否找准阈值”，不能消除边界延拓和气固映射的物理不确定性。若后续更换平台温湿度、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β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或平衡映射，必须重新积分并重新确定事件，不能只按经验比例改动最终时长。</w:t>
      </w:r>
    </w:p>
    <w:p w14:paraId="6480AAD7">
      <w:pPr>
        <w:pStyle w:val="8"/>
        <w:snapToGrid w:val="0"/>
        <w:ind w:firstLine="0"/>
      </w:pPr>
      <w:r>
        <w:rPr>
          <w:rFonts w:ascii="Times New Roman" w:hAnsi="Times New Roman" w:cs="Times New Roman" w:eastAsia="宋体"/>
        </w:rPr>
        <w:t xml:space="preserve">5.4 问题四模型的建立与求解</w:t>
      </w:r>
    </w:p>
    <w:p w14:paraId="24E2848D">
      <w:pPr>
        <w:pStyle w:val="9"/>
        <w:snapToGrid w:val="0"/>
        <w:ind w:firstLine="0"/>
      </w:pPr>
      <w:r>
        <w:rPr>
          <w:rFonts w:ascii="Times New Roman" w:hAnsi="Times New Roman" w:cs="Times New Roman" w:eastAsia="宋体"/>
        </w:rPr>
        <w:t xml:space="preserve">5.4.1 建模思路</w:t>
      </w:r>
    </w:p>
    <w:p w14:paraId="506F788C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问题四同时改变几何与物性。从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=0起整组采用附录4，并由附件2查询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R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(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)。附件2在0—72 h提供145个半径观测，间隔0.5 h，按分段线性插值连接。基线假定轴向长度保持不变，内部材料发生与半径一致的同比径向收缩；材料速度为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u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(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r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,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)=rR′(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)/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R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(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)。该速度场与表面运动相容，是从半径数据推断内部运动的明确假设。</w:t>
      </w:r>
    </w:p>
    <w:p w14:paraId="4EF3140C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如果只在固定域模型中将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R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0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换成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R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(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)，而不说明水质量和材料速度的含义，就可能重复加入浓缩项或漏掉物质运动。本文先从组分守恒建立物质导数，再进行材料坐标变换，保证控制方程的来源清楚。</w:t>
      </w:r>
    </w:p>
    <w:p w14:paraId="0ED9FA6E">
      <w:pPr>
        <w:pStyle w:val="9"/>
        <w:snapToGrid w:val="0"/>
        <w:ind w:firstLine="0"/>
      </w:pPr>
      <w:r>
        <w:rPr>
          <w:rFonts w:ascii="Times New Roman" w:hAnsi="Times New Roman" w:cs="Times New Roman" w:eastAsia="宋体"/>
        </w:rPr>
        <w:t xml:space="preserve">5.4.2 变量定义与公式推导</w:t>
      </w:r>
    </w:p>
    <w:p w14:paraId="12957711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在没有干物质生成或相对迁移的条件下，干质量守恒及水质量守恒为</w:t>
      </w:r>
    </w:p>
    <w:p w14:paraId="52491C68">
      <w:pPr>
        <w:tabs>
          <w:tab w:val="center" w:pos="4535"/>
          <w:tab w:val="right" w:pos="9071"/>
        </w:tabs>
        <w:snapToGrid w:val="0"/>
        <w:spacing w:before="80" w:after="120"/>
        <w:ind w:firstLine="0"/>
        <w:jc w:val="left"/>
      </w:pPr>
      <w:r>
        <w:tab/>
      </w:r>
      <m:oMath>
        <m:sSub>
          <m:sSubPr/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∂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sub>
        </m:sSub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ρ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d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+∇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 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·(</m:t>
        </m:r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ρ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d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u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)=0,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 </m:t>
        </m:r>
        <m:sSub>
          <m:sSubPr/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∂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ρ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d</m:t>
            </m:r>
          </m:sub>
        </m:sSub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)+∇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 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·(</m:t>
        </m:r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ρ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d</m:t>
            </m:r>
          </m:sub>
        </m:sSub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u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+</m:t>
        </m:r>
        <m:sSub>
          <m:sSubPr/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j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w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)=0</m:t>
        </m:r>
      </m:oMath>
      <w:r>
        <w:rPr>
          <w:rFonts w:ascii="Times New Roman" w:hAnsi="Times New Roman" w:eastAsia="宋体"/>
          <w:color w:val="000000"/>
          <w:sz w:val="24"/>
        </w:rPr>
        <w:tab/>
      </w:r>
      <w:r>
        <w:rPr>
          <w:rFonts w:ascii="Times New Roman" w:hAnsi="Times New Roman" w:eastAsia="宋体" w:cs="Times New Roman"/>
          <w:color w:val="000000"/>
          <w:sz w:val="24"/>
        </w:rPr>
        <w:t xml:space="preserve">(13)</w:t>
      </w:r>
    </w:p>
    <w:p w14:paraId="7E1F74D0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第二式减去第一式乘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，得到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ρ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d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 DtC=−∇·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j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w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。取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j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w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=−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ρ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d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D∇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，并利用空间均匀的干骨架，消去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ρ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d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。令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x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=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r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/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R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(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)、Ĉ(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x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,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)=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(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R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(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)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x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,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)，链式法则中固定空间点的坐标项与uCr相消，得到</w:t>
      </w:r>
    </w:p>
    <w:p w14:paraId="140A6179">
      <w:pPr>
        <w:tabs>
          <w:tab w:val="center" w:pos="4535"/>
          <w:tab w:val="right" w:pos="9071"/>
        </w:tabs>
        <w:snapToGrid w:val="0"/>
        <w:spacing w:before="80" w:after="120"/>
        <w:ind w:firstLine="0"/>
        <w:jc w:val="left"/>
      </w:pPr>
      <w:r>
        <w:tab/>
      </w:r>
      <m:oMath>
        <m:f>
          <m:fPr/>
          <m:num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∂</m:t>
            </m:r>
            <m:acc>
              <m:accPr>
                <m:chr m:val="^"/>
              </m:accPr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C</m:t>
                </m:r>
              </m:e>
            </m:acc>
          </m:num>
          <m:den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∂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den>
        </m:f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f>
          <m:fPr/>
          <m:num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</m:t>
            </m:r>
          </m:num>
          <m:den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R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(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  <m:sSup>
              <m:sSupPr/>
              <m:e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)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2</m:t>
                </m:r>
              </m:sup>
            </m:sSup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x</m:t>
            </m:r>
          </m:den>
        </m:f>
        <m:f>
          <m:fPr/>
          <m:num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∂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∂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x</m:t>
            </m:r>
          </m:den>
        </m:f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x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D</m:t>
        </m:r>
        <m:f>
          <m:fPr/>
          <m:num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∂</m:t>
            </m:r>
            <m:acc>
              <m:accPr>
                <m:chr m:val="^"/>
              </m:accPr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C</m:t>
                </m:r>
              </m:e>
            </m:acc>
          </m:num>
          <m:den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∂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x</m:t>
            </m:r>
          </m:den>
        </m:f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</m:oMath>
      <w:r>
        <w:rPr>
          <w:rFonts w:ascii="Times New Roman" w:hAnsi="Times New Roman" w:eastAsia="宋体"/>
          <w:color w:val="000000"/>
          <w:sz w:val="24"/>
        </w:rPr>
        <w:tab/>
      </w:r>
      <w:r>
        <w:rPr>
          <w:rFonts w:ascii="Times New Roman" w:hAnsi="Times New Roman" w:eastAsia="宋体" w:cs="Times New Roman"/>
          <w:color w:val="000000"/>
          <w:sz w:val="24"/>
        </w:rPr>
        <w:t xml:space="preserve">(14)</w:t>
      </w:r>
    </w:p>
    <w:p w14:paraId="088B2BB2">
      <w:pPr>
        <w:tabs>
          <w:tab w:val="center" w:pos="4535"/>
          <w:tab w:val="right" w:pos="9071"/>
        </w:tabs>
        <w:snapToGrid w:val="0"/>
        <w:spacing w:before="80" w:after="120"/>
        <w:ind w:firstLine="0"/>
        <w:jc w:val="left"/>
      </w:pPr>
      <w:r>
        <w:tab/>
      </w:r>
      <m:oMath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B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acc>
          <m:accPr>
            <m:chr m:val="^"/>
          </m:accPr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</m:acc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  <m:f>
          <m:fPr/>
          <m:num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∂</m:t>
            </m:r>
            <m:acc>
              <m:accPr>
                <m:chr m:val="^"/>
              </m:accPr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T</m:t>
                </m:r>
              </m:e>
            </m:acc>
          </m:num>
          <m:den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∂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den>
        </m:f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f>
          <m:fPr/>
          <m:num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</m:t>
            </m:r>
          </m:num>
          <m:den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R</m:t>
            </m:r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(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  <m:sSup>
              <m:sSupPr/>
              <m:e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)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2</m:t>
                </m:r>
              </m:sup>
            </m:sSup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x</m:t>
            </m:r>
          </m:den>
        </m:f>
        <m:f>
          <m:fPr/>
          <m:num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∂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∂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x</m:t>
            </m:r>
          </m:den>
        </m:f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x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k</m:t>
        </m:r>
        <m:f>
          <m:fPr/>
          <m:num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∂</m:t>
            </m:r>
            <m:acc>
              <m:accPr>
                <m:chr m:val="^"/>
              </m:accPr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T</m:t>
                </m:r>
              </m:e>
            </m:acc>
          </m:num>
          <m:den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∂</m:t>
            </m:r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x</m:t>
            </m:r>
          </m:den>
        </m:f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</m:oMath>
      <w:r>
        <w:rPr>
          <w:rFonts w:ascii="Times New Roman" w:hAnsi="Times New Roman" w:eastAsia="宋体"/>
          <w:color w:val="000000"/>
          <w:sz w:val="24"/>
        </w:rPr>
        <w:tab/>
      </w:r>
      <w:r>
        <w:rPr>
          <w:rFonts w:ascii="Times New Roman" w:hAnsi="Times New Roman" w:eastAsia="宋体" w:cs="Times New Roman"/>
          <w:color w:val="000000"/>
          <w:sz w:val="24"/>
        </w:rPr>
        <w:t xml:space="preserve">(15)</w:t>
      </w:r>
    </w:p>
    <w:p w14:paraId="2BBC3F9D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式(15)沿用有效显热闭合，并非由完整含潜热、湿分携焓和收缩功的总能量方程无条件推出。材料坐标没有额外网格平流项，也不对干基比值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增加体积浓缩项；收缩体积引起的密度变化已经体现在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ρ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d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(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)=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ρ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d0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[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R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0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/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R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(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)]²中。详细相消过程和干质量积分证明见附录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A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。</w:t>
      </w:r>
    </w:p>
    <w:p w14:paraId="779E1DBB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在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x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=0保持零通量，表面边界改为</w:t>
      </w:r>
    </w:p>
    <w:p w14:paraId="082A1DA2">
      <w:pPr>
        <w:tabs>
          <w:tab w:val="center" w:pos="4535"/>
          <w:tab w:val="right" w:pos="9071"/>
        </w:tabs>
        <w:snapToGrid w:val="0"/>
        <w:spacing w:before="80" w:after="120"/>
        <w:ind w:firstLine="0"/>
        <w:jc w:val="left"/>
      </w:pPr>
      <w:r>
        <w:tab/>
      </w:r>
      <m:oMath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−</m:t>
        </m:r>
        <m:f>
          <m:fPr/>
          <m:num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k</m:t>
            </m:r>
          </m:num>
          <m:den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R</m:t>
            </m:r>
          </m:den>
        </m:f>
        <m:sSub>
          <m:sSubPr/>
          <m:e>
            <m:acc>
              <m:accPr>
                <m:chr m:val="^"/>
              </m:accPr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T</m:t>
                </m:r>
              </m:e>
            </m:acc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x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(1,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)=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h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s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−</m:t>
        </m:r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∞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 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−</m:t>
        </m:r>
        <m:f>
          <m:fPr/>
          <m:num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D</m:t>
            </m:r>
          </m:num>
          <m:den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R</m:t>
            </m:r>
          </m:den>
        </m:f>
        <m:sSub>
          <m:sSubPr/>
          <m:e>
            <m:acc>
              <m:accPr>
                <m:chr m:val="^"/>
              </m:accPr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C</m:t>
                </m:r>
              </m:e>
            </m:acc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x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(1,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)=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β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s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−</m:t>
        </m:r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eq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</m:oMath>
      <w:r>
        <w:rPr>
          <w:rFonts w:ascii="Times New Roman" w:hAnsi="Times New Roman" w:eastAsia="宋体"/>
          <w:color w:val="000000"/>
          <w:sz w:val="24"/>
        </w:rPr>
        <w:tab/>
      </w:r>
      <w:r>
        <w:rPr>
          <w:rFonts w:ascii="Times New Roman" w:hAnsi="Times New Roman" w:eastAsia="宋体" w:cs="Times New Roman"/>
          <w:color w:val="000000"/>
          <w:sz w:val="24"/>
        </w:rPr>
        <w:t xml:space="preserve">(16)</w:t>
      </w:r>
    </w:p>
    <w:p w14:paraId="2C3C1F2C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边界中的1/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R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来自空间导数换元，不能遗漏。附录4物性为</w:t>
      </w:r>
    </w:p>
    <w:p w14:paraId="5C34CCF7">
      <w:pPr>
        <w:tabs>
          <w:tab w:val="center" w:pos="4535"/>
          <w:tab w:val="right" w:pos="9071"/>
        </w:tabs>
        <w:snapToGrid w:val="0"/>
        <w:spacing w:before="80" w:after="120"/>
        <w:ind w:firstLine="0"/>
        <w:jc w:val="left"/>
      </w:pPr>
      <w:r>
        <w:tab/>
      </w:r>
      <m:oMath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ρ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eff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=760+90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 </m:t>
        </m:r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p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=1850+2150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w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 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k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=0.12+0.20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w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</m:oMath>
      <w:r>
        <w:rPr>
          <w:rFonts w:ascii="Times New Roman" w:hAnsi="Times New Roman" w:eastAsia="宋体"/>
          <w:color w:val="000000"/>
          <w:sz w:val="24"/>
        </w:rPr>
        <w:tab/>
      </w:r>
      <w:r>
        <w:rPr>
          <w:rFonts w:ascii="Times New Roman" w:hAnsi="Times New Roman" w:eastAsia="宋体" w:cs="Times New Roman"/>
          <w:color w:val="000000"/>
          <w:sz w:val="24"/>
        </w:rPr>
        <w:t xml:space="preserve">(17)</w:t>
      </w:r>
    </w:p>
    <w:p w14:paraId="175131E9">
      <w:pPr>
        <w:tabs>
          <w:tab w:val="center" w:pos="4535"/>
          <w:tab w:val="right" w:pos="9071"/>
        </w:tabs>
        <w:snapToGrid w:val="0"/>
        <w:spacing w:before="80" w:after="120"/>
        <w:ind w:firstLine="0"/>
        <w:jc w:val="left"/>
      </w:pPr>
      <w:r>
        <w:tab/>
      </w:r>
      <m:oMath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D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4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T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C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)=4.2×</m:t>
        </m:r>
        <m:sSup>
          <m:sSupPr/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−4</m:t>
            </m:r>
          </m:sup>
        </m:sSup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exp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(−</m:t>
        </m:r>
        <m:f>
          <m:fPr/>
          <m:num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0.30</m:t>
            </m:r>
          </m:num>
          <m:den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den>
        </m:f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−</m:t>
        </m:r>
        <m:f>
          <m:fPr/>
          <m:num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3850</m:t>
            </m:r>
          </m:num>
          <m:den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T</m:t>
            </m:r>
          </m:den>
        </m:f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</m:oMath>
      <w:r>
        <w:rPr>
          <w:rFonts w:ascii="Times New Roman" w:hAnsi="Times New Roman" w:eastAsia="宋体"/>
          <w:color w:val="000000"/>
          <w:sz w:val="24"/>
        </w:rPr>
        <w:tab/>
      </w:r>
      <w:r>
        <w:rPr>
          <w:rFonts w:ascii="Times New Roman" w:hAnsi="Times New Roman" w:eastAsia="宋体" w:cs="Times New Roman"/>
          <w:color w:val="000000"/>
          <w:sz w:val="24"/>
        </w:rPr>
        <w:t xml:space="preserve">(18)</w:t>
      </w:r>
    </w:p>
    <w:p w14:paraId="32F01272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不能笼统说附录4的扩散系数在全过程均小于附录3。在相同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、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下，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D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4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/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D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3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=0.175exp(0.15/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)，其等于1的浓度约为0.0860600 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kg/kg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；高于该值时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D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4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较小，低于时可能反转。因此必须把整套物性及其随状态变化的反馈放回模型比较，不能仅看前置系数大小来判断总时长。</w:t>
      </w:r>
    </w:p>
    <w:p w14:paraId="73BA47EF">
      <w:pPr>
        <w:pStyle w:val="9"/>
        <w:snapToGrid w:val="0"/>
        <w:ind w:firstLine="0"/>
      </w:pPr>
      <w:r>
        <w:rPr>
          <w:rFonts w:ascii="Times New Roman" w:hAnsi="Times New Roman" w:cs="Times New Roman" w:eastAsia="宋体"/>
        </w:rPr>
        <w:t xml:space="preserve">5.4.3 求解算法</w:t>
      </w:r>
    </w:p>
    <w:p w14:paraId="00703CA0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在材料坐标中使用固定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N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6400网格。每次计算右端函数时，根据当前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更新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R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(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)，再更新式(14)—(18)的体积因子、物性和边界通量。由于网格点随材料移动，不需要反复重划网格；输出时再转换到题目要求的物理半径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r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。</w:t>
      </w:r>
    </w:p>
    <w:p w14:paraId="5AC35731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Step 1：选定整组附录4参数，读取半径序列并检查其正值与非增性。Step 2：在材料坐标上生成初值、控制体和通量。Step 3：按当前半径联立积分温度与含水率。Step 4：监测材料域内最大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的阈值事件并复核严格报告时刻。Step 5：按每60 s和0.1 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cm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生成物理距离结果，同时单列当前真实表面及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R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(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)。</w:t>
      </w:r>
    </w:p>
    <w:p w14:paraId="56BA76D9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r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&gt;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R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(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)的物理位置已不在药材内，不能插值或填成零含水率。本文保留这些固定半径列为空，并单列“药材表面”，从而同时保留原距离坐标与移动边界信息。真实表面不一定恰好落在0.1 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cm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网格，不能取最近固定列冒充。</w:t>
      </w:r>
    </w:p>
    <w:p w14:paraId="75E32558">
      <w:pPr>
        <w:pStyle w:val="9"/>
        <w:snapToGrid w:val="0"/>
        <w:ind w:firstLine="0"/>
      </w:pPr>
      <w:r>
        <w:rPr>
          <w:rFonts w:ascii="Times New Roman" w:hAnsi="Times New Roman" w:cs="Times New Roman" w:eastAsia="宋体"/>
        </w:rPr>
        <w:t xml:space="preserve">5.4.4 结果分析</w:t>
      </w:r>
    </w:p>
    <w:p w14:paraId="2C30EB7F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问题四的连续临界根为51.09057478683054 h，按与问题三一致的约定得到严格报告51.0906 h；此时半径约1.2000 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cm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。该时刻在附件2的72 h范围内，未使用半径外推。表6与表7分别给出含水率与对应半径。</w:t>
      </w:r>
    </w:p>
    <w:p w14:paraId="2CD5E355">
      <w:pPr>
        <w:keepNext/>
        <w:snapToGrid w:val="0"/>
        <w:spacing w:line="300" w:lineRule="auto"/>
        <w:ind w:firstLine="0"/>
        <w:jc w:val="center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表6 问题四的径向干基含水率（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kg/kg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；空白表示域外）</w:t>
      </w:r>
    </w:p>
    <w:tbl>
      <w:tblPr>
        <w:tblStyle w:val="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 w14:paraId="27D633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296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D9ED0C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时间/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1"/>
                <w:iCs w:val="1"/>
                <w:vertAlign w:val="baseline"/>
              </w:rPr>
              <w:t xml:space="preserve">h</w:t>
            </w:r>
          </w:p>
        </w:tc>
        <w:tc>
          <w:tcPr>
            <w:tcW w:w="1296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5F6D2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1"/>
                <w:iCs w:val="1"/>
                <w:vertAlign w:val="baseline"/>
              </w:rPr>
              <w:t xml:space="preserve">r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=0 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0"/>
                <w:iCs w:val="0"/>
                <w:vertAlign w:val="baseline"/>
              </w:rPr>
              <w:t xml:space="preserve">cm</w:t>
            </w:r>
          </w:p>
        </w:tc>
        <w:tc>
          <w:tcPr>
            <w:tcW w:w="1296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DB9FC0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1"/>
                <w:iCs w:val="1"/>
                <w:vertAlign w:val="baseline"/>
              </w:rPr>
              <w:t xml:space="preserve">r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=0.5 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0"/>
                <w:iCs w:val="0"/>
                <w:vertAlign w:val="baseline"/>
              </w:rPr>
              <w:t xml:space="preserve">cm</w:t>
            </w:r>
          </w:p>
        </w:tc>
        <w:tc>
          <w:tcPr>
            <w:tcW w:w="1296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027AD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1"/>
                <w:iCs w:val="1"/>
                <w:vertAlign w:val="baseline"/>
              </w:rPr>
              <w:t xml:space="preserve">r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=1 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0"/>
                <w:iCs w:val="0"/>
                <w:vertAlign w:val="baseline"/>
              </w:rPr>
              <w:t xml:space="preserve">cm</w:t>
            </w:r>
          </w:p>
        </w:tc>
        <w:tc>
          <w:tcPr>
            <w:tcW w:w="1296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812720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1"/>
                <w:iCs w:val="1"/>
                <w:vertAlign w:val="baseline"/>
              </w:rPr>
              <w:t xml:space="preserve">r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=1.5 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0"/>
                <w:iCs w:val="0"/>
                <w:vertAlign w:val="baseline"/>
              </w:rPr>
              <w:t xml:space="preserve">cm</w:t>
            </w:r>
          </w:p>
        </w:tc>
        <w:tc>
          <w:tcPr>
            <w:tcW w:w="1296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048D2C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1"/>
                <w:iCs w:val="1"/>
                <w:vertAlign w:val="baseline"/>
              </w:rPr>
              <w:t xml:space="preserve">r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=2 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0"/>
                <w:iCs w:val="0"/>
                <w:vertAlign w:val="baseline"/>
              </w:rPr>
              <w:t xml:space="preserve">cm</w:t>
            </w:r>
          </w:p>
        </w:tc>
        <w:tc>
          <w:tcPr>
            <w:tcW w:w="1296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B40CD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药材表面</w:t>
            </w:r>
          </w:p>
        </w:tc>
      </w:tr>
      <w:tr w14:paraId="7CDBBB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E4121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6.0000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6E5F6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1.7196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4AF50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1.5377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ACEC5F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1.0226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9D8C2C">
            <w:pPr>
              <w:snapToGrid w:val="0"/>
              <w:spacing w:before="60" w:after="60" w:line="264" w:lineRule="auto"/>
              <w:ind w:left="0" w:right="0" w:firstLine="0"/>
              <w:jc w:val="center"/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A58858">
            <w:pPr>
              <w:snapToGrid w:val="0"/>
              <w:spacing w:before="60" w:after="60" w:line="264" w:lineRule="auto"/>
              <w:ind w:left="0" w:right="0" w:firstLine="0"/>
              <w:jc w:val="center"/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44C23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0.4207</w:t>
            </w:r>
          </w:p>
        </w:tc>
      </w:tr>
      <w:tr w14:paraId="7DCC51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593D0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12.0000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09CE55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0.7377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7B9AB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0.6546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0A267C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0.4083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EF996A">
            <w:pPr>
              <w:snapToGrid w:val="0"/>
              <w:spacing w:before="60" w:after="60" w:line="264" w:lineRule="auto"/>
              <w:ind w:left="0" w:right="0" w:firstLine="0"/>
              <w:jc w:val="center"/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E2EAA2">
            <w:pPr>
              <w:snapToGrid w:val="0"/>
              <w:spacing w:before="60" w:after="60" w:line="264" w:lineRule="auto"/>
              <w:ind w:left="0" w:right="0" w:firstLine="0"/>
              <w:jc w:val="center"/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AEE108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0.1670</w:t>
            </w:r>
          </w:p>
        </w:tc>
      </w:tr>
      <w:tr w14:paraId="6EA355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C2F09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18.0000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1678C9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0.4087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3501F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0.3686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7F280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0.2397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A46351">
            <w:pPr>
              <w:snapToGrid w:val="0"/>
              <w:spacing w:before="60" w:after="60" w:line="264" w:lineRule="auto"/>
              <w:ind w:left="0" w:right="0" w:firstLine="0"/>
              <w:jc w:val="center"/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053CEC">
            <w:pPr>
              <w:snapToGrid w:val="0"/>
              <w:spacing w:before="60" w:after="60" w:line="264" w:lineRule="auto"/>
              <w:ind w:left="0" w:right="0" w:firstLine="0"/>
              <w:jc w:val="center"/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2BC4AF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0.0892</w:t>
            </w:r>
          </w:p>
        </w:tc>
      </w:tr>
      <w:tr w14:paraId="439D0E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513D8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24.0000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1F1D3D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0.2851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D64A75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0.2611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D4C64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0.1790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6C22A9">
            <w:pPr>
              <w:snapToGrid w:val="0"/>
              <w:spacing w:before="60" w:after="60" w:line="264" w:lineRule="auto"/>
              <w:ind w:left="0" w:right="0" w:firstLine="0"/>
              <w:jc w:val="center"/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87E509">
            <w:pPr>
              <w:snapToGrid w:val="0"/>
              <w:spacing w:before="60" w:after="60" w:line="264" w:lineRule="auto"/>
              <w:ind w:left="0" w:right="0" w:firstLine="0"/>
              <w:jc w:val="center"/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046480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0.0673</w:t>
            </w:r>
          </w:p>
        </w:tc>
      </w:tr>
      <w:tr w14:paraId="519B75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674799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30.0000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3504D5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0.2263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92FB4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0.2094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550A6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0.1493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85E3C3">
            <w:pPr>
              <w:snapToGrid w:val="0"/>
              <w:spacing w:before="60" w:after="60" w:line="264" w:lineRule="auto"/>
              <w:ind w:left="0" w:right="0" w:firstLine="0"/>
              <w:jc w:val="center"/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9A931F">
            <w:pPr>
              <w:snapToGrid w:val="0"/>
              <w:spacing w:before="60" w:after="60" w:line="264" w:lineRule="auto"/>
              <w:ind w:left="0" w:right="0" w:firstLine="0"/>
              <w:jc w:val="center"/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5DDDCB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0.0595</w:t>
            </w:r>
          </w:p>
        </w:tc>
      </w:tr>
      <w:tr w14:paraId="2A9F63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6D45F1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36.0000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9D0F3F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0.1928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15F247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0.1797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A24FA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0.1317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D50C93">
            <w:pPr>
              <w:snapToGrid w:val="0"/>
              <w:spacing w:before="60" w:after="60" w:line="264" w:lineRule="auto"/>
              <w:ind w:left="0" w:right="0" w:firstLine="0"/>
              <w:jc w:val="center"/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D45703">
            <w:pPr>
              <w:snapToGrid w:val="0"/>
              <w:spacing w:before="60" w:after="60" w:line="264" w:lineRule="auto"/>
              <w:ind w:left="0" w:right="0" w:firstLine="0"/>
              <w:jc w:val="center"/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A8E3C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0.0560</w:t>
            </w:r>
          </w:p>
        </w:tc>
      </w:tr>
      <w:tr w14:paraId="240C5F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BF544D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42.0000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A7E4E0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0.1712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AB1E4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0.1604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677C3D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0.1200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436242">
            <w:pPr>
              <w:snapToGrid w:val="0"/>
              <w:spacing w:before="60" w:after="60" w:line="264" w:lineRule="auto"/>
              <w:ind w:left="0" w:right="0" w:firstLine="0"/>
              <w:jc w:val="center"/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4ECC92">
            <w:pPr>
              <w:snapToGrid w:val="0"/>
              <w:spacing w:before="60" w:after="60" w:line="264" w:lineRule="auto"/>
              <w:ind w:left="0" w:right="0" w:firstLine="0"/>
              <w:jc w:val="center"/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05900F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0.0541</w:t>
            </w:r>
          </w:p>
        </w:tc>
      </w:tr>
      <w:tr w14:paraId="54BA89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2F0065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48.0000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95AE48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0.1561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34A48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0.1468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F6507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0.1116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E25748">
            <w:pPr>
              <w:snapToGrid w:val="0"/>
              <w:spacing w:before="60" w:after="60" w:line="264" w:lineRule="auto"/>
              <w:ind w:left="0" w:right="0" w:firstLine="0"/>
              <w:jc w:val="center"/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73D49E">
            <w:pPr>
              <w:snapToGrid w:val="0"/>
              <w:spacing w:before="60" w:after="60" w:line="264" w:lineRule="auto"/>
              <w:ind w:left="0" w:right="0" w:firstLine="0"/>
              <w:jc w:val="center"/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29A037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0.0530</w:t>
            </w:r>
          </w:p>
        </w:tc>
      </w:tr>
      <w:tr w14:paraId="394805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87A3EF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51.0906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A622F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0.1500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9EC671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0.1413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C8AE4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0.1081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8481CB">
            <w:pPr>
              <w:snapToGrid w:val="0"/>
              <w:spacing w:before="60" w:after="60" w:line="264" w:lineRule="auto"/>
              <w:ind w:left="0" w:right="0" w:firstLine="0"/>
              <w:jc w:val="center"/>
            </w:pPr>
          </w:p>
        </w:tc>
        <w:tc>
          <w:tcPr>
            <w:tcW w:w="1296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0CCC23">
            <w:pPr>
              <w:snapToGrid w:val="0"/>
              <w:spacing w:before="60" w:after="60" w:line="264" w:lineRule="auto"/>
              <w:ind w:left="0" w:right="0" w:firstLine="0"/>
              <w:jc w:val="center"/>
            </w:pPr>
          </w:p>
        </w:tc>
        <w:tc>
          <w:tcPr>
            <w:tcW w:w="1296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3087F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0.0526</w:t>
            </w:r>
          </w:p>
        </w:tc>
      </w:tr>
    </w:tbl>
    <w:p w14:paraId="1D5934E1">
      <w:pPr>
        <w:snapToGrid w:val="0"/>
      </w:pPr>
    </w:p>
    <w:p w14:paraId="569824C2">
      <w:pPr>
        <w:keepNext/>
        <w:snapToGrid w:val="0"/>
        <w:spacing w:line="300" w:lineRule="auto"/>
        <w:ind w:firstLine="0"/>
        <w:jc w:val="center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表7 问题四各输出时刻的表面半径</w:t>
      </w:r>
    </w:p>
    <w:tbl>
      <w:tblPr>
        <w:tblStyle w:val="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5"/>
        <w:gridCol w:w="4535"/>
      </w:tblGrid>
      <w:tr w14:paraId="228A43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535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E9BAF0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时间/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1"/>
                <w:iCs w:val="1"/>
                <w:vertAlign w:val="baseline"/>
              </w:rPr>
              <w:t xml:space="preserve">h</w:t>
            </w:r>
          </w:p>
        </w:tc>
        <w:tc>
          <w:tcPr>
            <w:tcW w:w="4535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3A5564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表面半径/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i w:val="0"/>
                <w:iCs w:val="0"/>
                <w:vertAlign w:val="baseline"/>
              </w:rPr>
              <w:t xml:space="preserve">cm</w:t>
            </w:r>
          </w:p>
        </w:tc>
      </w:tr>
      <w:tr w14:paraId="7ACD64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455EF5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6.0000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14BF0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1.3740</w:t>
            </w:r>
          </w:p>
        </w:tc>
      </w:tr>
      <w:tr w14:paraId="66CABA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BEC019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12.0000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D2B401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1.2480</w:t>
            </w:r>
          </w:p>
        </w:tc>
      </w:tr>
      <w:tr w14:paraId="45E951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9D1497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18.0000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33E1A9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1.2140</w:t>
            </w:r>
          </w:p>
        </w:tc>
      </w:tr>
      <w:tr w14:paraId="6D81E9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F6FBD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24.0000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4CB528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1.2040</w:t>
            </w:r>
          </w:p>
        </w:tc>
      </w:tr>
      <w:tr w14:paraId="1699D6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1657AC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30.0000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0CAACF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1.2010</w:t>
            </w:r>
          </w:p>
        </w:tc>
      </w:tr>
      <w:tr w14:paraId="41A136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1E6AF1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36.0000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6B3581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1.2000</w:t>
            </w:r>
          </w:p>
        </w:tc>
      </w:tr>
      <w:tr w14:paraId="2622F4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82389F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42.0000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2E47D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1.2000</w:t>
            </w:r>
          </w:p>
        </w:tc>
      </w:tr>
      <w:tr w14:paraId="3B97E8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097B8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48.0000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6F123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1.2000</w:t>
            </w:r>
          </w:p>
        </w:tc>
      </w:tr>
      <w:tr w14:paraId="0DBBDC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22BD37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51.0906</w:t>
            </w:r>
          </w:p>
        </w:tc>
        <w:tc>
          <w:tcPr>
            <w:tcW w:w="4535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A5EAFF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1.2000</w:t>
            </w:r>
          </w:p>
        </w:tc>
      </w:tr>
    </w:tbl>
    <w:p w14:paraId="7F74E227">
      <w:pPr>
        <w:snapToGrid w:val="0"/>
      </w:pPr>
    </w:p>
    <w:p w14:paraId="3F9F9D3A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6 h时半径已收缩至1.3740 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cm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，因此1.5 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cm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和2 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cm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固定位置均位于域外；此时表面含水率为0.4207，中心仍为1.7196 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kg/kg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。至最终时刻，中心和表面分别显示0.1500与0.0526，仍有明显梯度。径向收缩减少了迁移距离，但不会消除由低含水率扩散变慢造成的后期阻力。</w:t>
      </w:r>
    </w:p>
    <w:p w14:paraId="32D0A492">
      <w:pPr>
        <w:keepLines/>
        <w:snapToGrid w:val="0"/>
        <w:spacing w:before="140" w:after="140" w:line="300" w:lineRule="auto"/>
        <w:ind w:firstLine="0"/>
        <w:jc w:val="left"/>
      </w:pPr>
      <w:r>
        <w:rPr>
          <w:rFonts w:ascii="Times New Roman" w:hAnsi="Times New Roman" w:eastAsia="宋体" w:cs="Times New Roman"/>
          <w:b/>
          <w:color w:val="000000"/>
          <w:sz w:val="24"/>
          <w:highlight w:val="yellow"/>
        </w:rPr>
        <w:t xml:space="preserve">【绘图位置5】图5：问题四移动域及含水率剖面。左图绘制</w:t>
      </w:r>
      <w:r>
        <w:rPr>
          <w:rFonts w:ascii="Times New Roman" w:hAnsi="Times New Roman" w:eastAsia="宋体" w:cs="Times New Roman"/>
          <w:b/>
          <w:color w:val="000000"/>
          <w:sz w:val="24"/>
          <w:highlight w:val="yellow"/>
          <w:i w:val="1"/>
          <w:iCs w:val="1"/>
          <w:vertAlign w:val="baseline"/>
        </w:rPr>
        <w:t xml:space="preserve">R</w:t>
      </w:r>
      <w:r>
        <w:rPr>
          <w:rFonts w:ascii="Times New Roman" w:hAnsi="Times New Roman" w:eastAsia="宋体" w:cs="Times New Roman"/>
          <w:b/>
          <w:color w:val="000000"/>
          <w:sz w:val="24"/>
          <w:highlight w:val="yellow"/>
        </w:rPr>
        <w:t xml:space="preserve">(</w:t>
      </w:r>
      <w:r>
        <w:rPr>
          <w:rFonts w:ascii="Times New Roman" w:hAnsi="Times New Roman" w:eastAsia="宋体" w:cs="Times New Roman"/>
          <w:b/>
          <w:color w:val="000000"/>
          <w:sz w:val="24"/>
          <w:highlight w:val="yellow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b/>
          <w:color w:val="000000"/>
          <w:sz w:val="24"/>
          <w:highlight w:val="yellow"/>
        </w:rPr>
        <w:t xml:space="preserve">)随时间的变化并标出选取时刻；右图在真实物理半径上绘制相同时刻的</w:t>
      </w:r>
      <w:r>
        <w:rPr>
          <w:rFonts w:ascii="Times New Roman" w:hAnsi="Times New Roman" w:eastAsia="宋体" w:cs="Times New Roman"/>
          <w:b/>
          <w:color w:val="000000"/>
          <w:sz w:val="24"/>
          <w:highlight w:val="yellow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b/>
          <w:color w:val="000000"/>
          <w:sz w:val="24"/>
          <w:highlight w:val="yellow"/>
        </w:rPr>
        <w:t xml:space="preserve">(</w:t>
      </w:r>
      <w:r>
        <w:rPr>
          <w:rFonts w:ascii="Times New Roman" w:hAnsi="Times New Roman" w:eastAsia="宋体" w:cs="Times New Roman"/>
          <w:b/>
          <w:color w:val="000000"/>
          <w:sz w:val="24"/>
          <w:highlight w:val="yellow"/>
          <w:i w:val="1"/>
          <w:iCs w:val="1"/>
          <w:vertAlign w:val="baseline"/>
        </w:rPr>
        <w:t xml:space="preserve">r</w:t>
      </w:r>
      <w:r>
        <w:rPr>
          <w:rFonts w:ascii="Times New Roman" w:hAnsi="Times New Roman" w:eastAsia="宋体" w:cs="Times New Roman"/>
          <w:b/>
          <w:color w:val="000000"/>
          <w:sz w:val="24"/>
          <w:highlight w:val="yellow"/>
        </w:rPr>
        <w:t xml:space="preserve">,</w:t>
      </w:r>
      <w:r>
        <w:rPr>
          <w:rFonts w:ascii="Times New Roman" w:hAnsi="Times New Roman" w:eastAsia="宋体" w:cs="Times New Roman"/>
          <w:b/>
          <w:color w:val="000000"/>
          <w:sz w:val="24"/>
          <w:highlight w:val="yellow"/>
          <w:i w:val="1"/>
          <w:iCs w:val="1"/>
          <w:vertAlign w:val="baseline"/>
        </w:rPr>
        <w:t xml:space="preserve">t</w:t>
      </w:r>
      <w:r>
        <w:rPr>
          <w:rFonts w:ascii="Times New Roman" w:hAnsi="Times New Roman" w:eastAsia="宋体" w:cs="Times New Roman"/>
          <w:b/>
          <w:color w:val="000000"/>
          <w:sz w:val="24"/>
          <w:highlight w:val="yellow"/>
        </w:rPr>
        <w:t xml:space="preserve">)，每条曲线在各自表面结束。域外区域用浅灰显示，另标中心与真实表面，不把曲线延伸到固定2 </w:t>
      </w:r>
      <w:r>
        <w:rPr>
          <w:rFonts w:ascii="Times New Roman" w:hAnsi="Times New Roman" w:eastAsia="宋体" w:cs="Times New Roman"/>
          <w:b/>
          <w:color w:val="000000"/>
          <w:sz w:val="24"/>
          <w:highlight w:val="yellow"/>
          <w:i w:val="0"/>
          <w:iCs w:val="0"/>
          <w:vertAlign w:val="baseline"/>
        </w:rPr>
        <w:t xml:space="preserve">cm</w:t>
      </w:r>
      <w:r>
        <w:rPr>
          <w:rFonts w:ascii="Times New Roman" w:hAnsi="Times New Roman" w:eastAsia="宋体" w:cs="Times New Roman"/>
          <w:b/>
          <w:color w:val="000000"/>
          <w:sz w:val="24"/>
          <w:highlight w:val="yellow"/>
        </w:rPr>
        <w:t xml:space="preserve">。</w:t>
      </w:r>
    </w:p>
    <w:p w14:paraId="03A227B2">
      <w:pPr>
        <w:pStyle w:val="9"/>
        <w:snapToGrid w:val="0"/>
        <w:ind w:firstLine="0"/>
      </w:pPr>
      <w:r>
        <w:rPr>
          <w:rFonts w:ascii="Times New Roman" w:hAnsi="Times New Roman" w:cs="Times New Roman" w:eastAsia="宋体"/>
        </w:rPr>
        <w:t xml:space="preserve">5.4.5 模型检验或灵敏度分析</w:t>
      </w:r>
    </w:p>
    <w:p w14:paraId="39A8F22C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问题三与四的报告时长相差约6.3818 h，但两问物性和几何同时变化，该差值不能全部归因于收缩。为分离几何影响，在相同附录4物性、边界和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N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200网格下，分别固定半径及采用给定收缩，得到129.8452 h与51.0910 h；在这个指定对照中，收缩情形时长减少约60.65%。这里的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N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200结果用于机理比较，不替代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N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6400正式报告。</w:t>
      </w:r>
    </w:p>
    <w:p w14:paraId="70EBDA30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式(14)直接显示收缩为何会加快内部传递：在相同局部物性下，径向扩散项随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R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⁻²增强；式(16)又表明表面交换与内部传递的相对比例也在变化。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R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²时标换算与同物性定半径对照相差约1.37%，支持迁移路径缩短的尺度解释。由于换算积分使用了仿真事件作为上限，它是机理核对而非额外的独立解析时长。几何数据覆盖达标时刻，但环境数据没有：约92.17%的时长仍处于式(10)的平台延拓中，两类观测范围必须分清。</w:t>
      </w:r>
    </w:p>
    <w:p w14:paraId="689D572F">
      <w:pPr>
        <w:pStyle w:val="9"/>
        <w:snapToGrid w:val="0"/>
        <w:ind w:firstLine="0"/>
      </w:pPr>
      <w:r>
        <w:rPr>
          <w:rFonts w:ascii="Times New Roman" w:hAnsi="Times New Roman" w:cs="Times New Roman" w:eastAsia="宋体"/>
        </w:rPr>
        <w:t xml:space="preserve">5.4.6 边界阻力的补充修正</w:t>
      </w:r>
    </w:p>
    <w:p w14:paraId="557FD3CA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为考察基线气固映射的不确定性，在保持主答案不变的前提下，构造受水活度启发的经验阻力族。令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ref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=0.05，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p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≥1，对表面通量增加因子</w:t>
      </w:r>
    </w:p>
    <w:p w14:paraId="2DB69300">
      <w:pPr>
        <w:tabs>
          <w:tab w:val="center" w:pos="4535"/>
          <w:tab w:val="right" w:pos="9071"/>
        </w:tabs>
        <w:snapToGrid w:val="0"/>
        <w:spacing w:before="80" w:after="120"/>
        <w:ind w:firstLine="0"/>
        <w:jc w:val="left"/>
      </w:pPr>
      <w:r>
        <w:tab/>
      </w:r>
      <m:oMath>
        <m:sSub>
          <m:sSubPr/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K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p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s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)=</m:t>
        </m:r>
        <m:f>
          <m:fPr/>
          <m:num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1−(</m:t>
            </m:r>
            <m:sSub>
              <m:sSubPr/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C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ref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/</m:t>
            </m:r>
            <m:sSub>
              <m:sSubPr/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C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s</m:t>
                </m:r>
              </m:sub>
            </m:sSub>
            <m:sSup>
              <m:sSupPr/>
              <m:e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)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1/</m:t>
                </m:r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p</m:t>
                </m:r>
              </m:sup>
            </m:sSup>
          </m:num>
          <m:den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1−</m:t>
            </m:r>
            <m:sSub>
              <m:sSubPr/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C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ref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/</m:t>
            </m:r>
            <m:sSub>
              <m:sSubPr/>
              <m:e>
                <m:r>
                  <m:rPr>
                    <m:sty m:val="i"/>
                  </m:rPr>
                  <w:rPr>
                    <w:rFonts w:ascii="Times New Roman" w:hAnsi="Times New Roman" w:cs="Times New Roman" w:eastAsia="宋体"/>
                    <w:i w:val="1"/>
                    <w:iCs w:val="1"/>
                  </w:rPr>
                  <m:t xml:space="preserve">C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Times New Roman" w:eastAsia="宋体"/>
                    <w:i w:val="0"/>
                    <w:iCs w:val="0"/>
                  </w:rPr>
                  <m:t xml:space="preserve">s</m:t>
                </m:r>
              </m:sub>
            </m:sSub>
          </m:den>
        </m:f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,</m:t>
        </m:r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 </m:t>
        </m:r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j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w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=</m:t>
        </m:r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ρ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d</m:t>
            </m:r>
          </m:sub>
        </m:sSub>
        <m:r>
          <m:rPr>
            <m:sty m:val="i"/>
          </m:rPr>
          <w:rPr>
            <w:rFonts w:ascii="Times New Roman" w:hAnsi="Times New Roman" w:cs="Times New Roman" w:eastAsia="宋体"/>
            <w:i w:val="1"/>
            <w:iCs w:val="1"/>
          </w:rPr>
          <m:t xml:space="preserve">β</m:t>
        </m:r>
        <m:sSub>
          <m:sSubPr/>
          <m:e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K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p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(</m:t>
        </m:r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s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)(</m:t>
        </m:r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s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−</m:t>
        </m:r>
        <m:sSub>
          <m:sSubPr/>
          <m:e>
            <m:r>
              <m:rPr>
                <m:sty m:val="i"/>
              </m:rPr>
              <w:rPr>
                <w:rFonts w:ascii="Times New Roman" w:hAnsi="Times New Roman" w:cs="Times New Roman" w:eastAsia="宋体"/>
                <w:i w:val="1"/>
                <w:iCs w:val="1"/>
              </w:rPr>
              <m:t xml:space="preserve">C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宋体"/>
                <w:i w:val="0"/>
                <w:iCs w:val="0"/>
              </w:rPr>
              <m:t xml:space="preserve">eq</m:t>
            </m:r>
          </m:sub>
        </m:sSub>
        <m:r>
          <m:rPr>
            <m:sty m:val="p"/>
          </m:rPr>
          <w:rPr>
            <w:rFonts w:ascii="Times New Roman" w:hAnsi="Times New Roman" w:cs="Times New Roman" w:eastAsia="宋体"/>
            <w:i w:val="0"/>
            <w:iCs w:val="0"/>
          </w:rPr>
          <m:t xml:space="preserve">)</m:t>
        </m:r>
      </m:oMath>
      <w:r>
        <w:rPr>
          <w:rFonts w:ascii="Times New Roman" w:hAnsi="Times New Roman" w:eastAsia="宋体"/>
          <w:color w:val="000000"/>
          <w:sz w:val="24"/>
        </w:rPr>
        <w:tab/>
      </w:r>
      <w:r>
        <w:rPr>
          <w:rFonts w:ascii="Times New Roman" w:hAnsi="Times New Roman" w:eastAsia="宋体" w:cs="Times New Roman"/>
          <w:color w:val="000000"/>
          <w:sz w:val="24"/>
        </w:rPr>
        <w:t xml:space="preserve">(19)</w:t>
      </w:r>
    </w:p>
    <w:p w14:paraId="1F6AECAB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当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s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趋于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ref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时取连续极限1/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p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；对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s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≥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ref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有1/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p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≤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K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subscript"/>
        </w:rPr>
        <w:t xml:space="preserve">p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≤1，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p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=1恢复基线。该构造通过指定参考点下的活动度差缩放获得启发，实际计算仍是一族经验边界阻力，尚未标定真实吸附等温线。历史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N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800情景下，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p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=2时问题二三的临界时长为59.6239 h，问题四为52.2283 h；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p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=4时分别为65.4447 h和55.3162 h。它们表明所选边界阻力会改变预测时长，不能据此推出真实过程必大于基线，亦不能证明所有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p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下的全局单调性。</w:t>
      </w:r>
    </w:p>
    <w:p w14:paraId="037AD403">
      <w:pPr>
        <w:keepLines/>
        <w:snapToGrid w:val="0"/>
        <w:spacing w:before="140" w:after="140" w:line="300" w:lineRule="auto"/>
        <w:ind w:firstLine="0"/>
        <w:jc w:val="left"/>
      </w:pPr>
      <w:r>
        <w:rPr>
          <w:rFonts w:ascii="Times New Roman" w:hAnsi="Times New Roman" w:eastAsia="宋体" w:cs="Times New Roman"/>
          <w:b/>
          <w:color w:val="000000"/>
          <w:sz w:val="24"/>
          <w:highlight w:val="yellow"/>
        </w:rPr>
        <w:t xml:space="preserve">【绘图位置6】图6：经验边界阻力的情景比较。横轴取</w:t>
      </w:r>
      <w:r>
        <w:rPr>
          <w:rFonts w:ascii="Times New Roman" w:hAnsi="Times New Roman" w:eastAsia="宋体" w:cs="Times New Roman"/>
          <w:b/>
          <w:color w:val="000000"/>
          <w:sz w:val="24"/>
          <w:highlight w:val="yellow"/>
          <w:i w:val="1"/>
          <w:iCs w:val="1"/>
          <w:vertAlign w:val="baseline"/>
        </w:rPr>
        <w:t xml:space="preserve">p</w:t>
      </w:r>
      <w:r>
        <w:rPr>
          <w:rFonts w:ascii="Times New Roman" w:hAnsi="Times New Roman" w:eastAsia="宋体" w:cs="Times New Roman"/>
          <w:b/>
          <w:color w:val="000000"/>
          <w:sz w:val="24"/>
          <w:highlight w:val="yellow"/>
        </w:rPr>
        <w:t xml:space="preserve">=1、2、4，分别绘制两种模型的临界时长；同图注明</w:t>
      </w:r>
      <w:r>
        <w:rPr>
          <w:rFonts w:ascii="Times New Roman" w:hAnsi="Times New Roman" w:eastAsia="宋体" w:cs="Times New Roman"/>
          <w:b/>
          <w:color w:val="000000"/>
          <w:sz w:val="24"/>
          <w:highlight w:val="yellow"/>
          <w:i w:val="1"/>
          <w:iCs w:val="1"/>
          <w:vertAlign w:val="baseline"/>
        </w:rPr>
        <w:t xml:space="preserve">N</w:t>
      </w:r>
      <w:r>
        <w:rPr>
          <w:rFonts w:ascii="Times New Roman" w:hAnsi="Times New Roman" w:eastAsia="宋体" w:cs="Times New Roman"/>
          <w:b/>
          <w:color w:val="000000"/>
          <w:sz w:val="24"/>
          <w:highlight w:val="yellow"/>
        </w:rPr>
        <w:t xml:space="preserve">800、未标定情景，主结果以独立符号标注或只在图注引用，避免将不同网格结果混为同一精度。正文以这一组比较说明边界解释的影响，详细因子推导与参数范围放入附录。</w:t>
      </w:r>
    </w:p>
    <w:p w14:paraId="0AAC13A9">
      <w:pPr>
        <w:pStyle w:val="7"/>
        <w:snapToGrid w:val="0"/>
        <w:ind w:firstLine="0"/>
      </w:pPr>
      <w:r>
        <w:rPr>
          <w:rFonts w:ascii="Times New Roman" w:hAnsi="Times New Roman" w:cs="Times New Roman" w:eastAsia="宋体"/>
        </w:rPr>
        <w:t xml:space="preserve">6 模型检验与灵敏度分析</w:t>
      </w:r>
    </w:p>
    <w:p w14:paraId="7B784517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本题缺少药材内部温度与含水率实测值，因此检验重点是所建方程的数值实现及假设敏感性。解析级数、独立语言程序和不同积分器分别更换求解环节，仍共享题设参数与边界；各方法不能提供独立的物理预测准确率。表8差值均取未舍入结果，完整计算过程与采样范围见附录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。</w:t>
      </w:r>
    </w:p>
    <w:p w14:paraId="6A30AC8C">
      <w:pPr>
        <w:keepNext/>
        <w:snapToGrid w:val="0"/>
        <w:spacing w:line="300" w:lineRule="auto"/>
        <w:ind w:firstLine="0"/>
        <w:jc w:val="center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表8 数值检验的对象、范围与结果</w:t>
      </w:r>
    </w:p>
    <w:tbl>
      <w:tblPr>
        <w:tblStyle w:val="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1ADC60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26A9CB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检验对象</w:t>
            </w:r>
          </w:p>
        </w:tc>
        <w:tc>
          <w:tcPr>
            <w:tcW w:w="2268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91CCEF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方法及范围</w:t>
            </w:r>
          </w:p>
        </w:tc>
        <w:tc>
          <w:tcPr>
            <w:tcW w:w="2268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E4C516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主要结果</w:t>
            </w:r>
          </w:p>
        </w:tc>
        <w:tc>
          <w:tcPr>
            <w:tcW w:w="2268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6D6525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 xml:space="preserve">支持的结论</w:t>
            </w:r>
          </w:p>
        </w:tc>
      </w:tr>
      <w:tr w14:paraId="560544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9BD4B9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问题一热场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2B08FA">
            <w:pPr>
              <w:snapToGrid w:val="0"/>
              <w:spacing w:before="60" w:after="60" w:line="264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i w:val="1"/>
                <w:iCs w:val="1"/>
                <w:vertAlign w:val="baseline"/>
              </w:rPr>
              <w:t xml:space="preserve">N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3200，1801整数秒×21半径；有限体积与Robin–Bessel级数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D9B1E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最大温差1.804×10⁻⁶ K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5C893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常热物性热方程的数值一致性</w:t>
            </w:r>
          </w:p>
        </w:tc>
      </w:tr>
      <w:tr w14:paraId="7FE964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22F983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三条计算轨迹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67950D">
            <w:pPr>
              <w:snapToGrid w:val="0"/>
              <w:spacing w:before="60" w:after="60" w:line="264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i w:val="1"/>
                <w:iCs w:val="1"/>
                <w:vertAlign w:val="baseline"/>
              </w:rPr>
              <w:t xml:space="preserve">N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40；Python与MATLAB，100场值及2事件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B60E84">
            <w:pPr>
              <w:snapToGrid w:val="0"/>
              <w:spacing w:before="60" w:after="60" w:line="264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温差≤2.375×10⁻⁷ K，水分差≤5.851×10⁻¹⁰ 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i w:val="0"/>
                <w:iCs w:val="0"/>
                <w:vertAlign w:val="baseline"/>
              </w:rPr>
              <w:t xml:space="preserve">kg/kg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，事件差≤2.297×10⁻⁴ s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E6D4D2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共同采样点的跨实现一致性</w:t>
            </w:r>
          </w:p>
        </w:tc>
      </w:tr>
      <w:tr w14:paraId="37D00F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4535EB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问题三、四临界时间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5D44B0">
            <w:pPr>
              <w:snapToGrid w:val="0"/>
              <w:spacing w:before="60" w:after="60" w:line="264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i w:val="1"/>
                <w:iCs w:val="1"/>
                <w:vertAlign w:val="baseline"/>
              </w:rPr>
              <w:t xml:space="preserve">N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800、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i w:val="1"/>
                <w:iCs w:val="1"/>
                <w:vertAlign w:val="baseline"/>
              </w:rPr>
              <w:t xml:space="preserve">N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1600；BDF与Radau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51551E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最大事件差约3.2×10⁻⁶ s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956FEA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同一空间离散的积分器一致性</w:t>
            </w:r>
          </w:p>
        </w:tc>
      </w:tr>
      <w:tr w14:paraId="6CAFF8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513FC7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场值分辨率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F27997">
            <w:pPr>
              <w:snapToGrid w:val="0"/>
              <w:spacing w:before="60" w:after="60" w:line="264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最细相邻网格；同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i w:val="1"/>
                <w:iCs w:val="1"/>
                <w:vertAlign w:val="baseline"/>
              </w:rPr>
              <w:t xml:space="preserve">N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收紧容差与步长，公共有效域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3B1864">
            <w:pPr>
              <w:snapToGrid w:val="0"/>
              <w:spacing w:before="60" w:after="60" w:line="264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最大水分差分别≤4.70×10⁻⁵、≤9.95×10⁻⁹ 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i w:val="0"/>
                <w:iCs w:val="0"/>
                <w:vertAlign w:val="baseline"/>
              </w:rPr>
              <w:t xml:space="preserve">kg/kg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ABAD81">
            <w:pPr>
              <w:snapToGrid w:val="0"/>
              <w:spacing w:before="60" w:after="60" w:line="26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 xml:space="preserve">检验范围内的离散敏感性</w:t>
            </w:r>
          </w:p>
        </w:tc>
      </w:tr>
    </w:tbl>
    <w:p w14:paraId="00265308">
      <w:pPr>
        <w:snapToGrid w:val="0"/>
      </w:pPr>
    </w:p>
    <w:p w14:paraId="31FDED0A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空间检查分别采用问题一、二三的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N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1600与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N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3200，以及问题四的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N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3200与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N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6400；时间检查固定最细网格。比较覆盖全整数秒及21个有效物理半径点，问题四排除域外位置，真实表面另作核对。网格差不是连续解的严格误差界，四位输出也不保证全部末位稳定。水分平均值与累计流出量的残差约为10⁻¹⁴ 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baseline"/>
        </w:rPr>
        <w:t xml:space="preserve">kg/kg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，说明共享通量记账自洽；热侧验证的是瞬时加权温度变化与边界通量相符，不能扩大为完整热力学能量守恒。</w:t>
      </w:r>
    </w:p>
    <w:p w14:paraId="5603A9B6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达标时间由全域最大含水率事件确定，另在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N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800验证轨迹上用二分法复核事件定位方法。临界根对应等号，最终报告另行上取并检查原精度浓度严格小于0.15。该处理将根定位、输出舍入和严格可行性分开，避免把显示值0.1500直接作为判断依据。</w:t>
      </w:r>
    </w:p>
    <w:p w14:paraId="5CF826C9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在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N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200单参数情景中，扩散前因子倍率由0.7增至1.4时，问题三时长由79.4187 h降至43.0796 h，问题四由70.4059 h降至38.3160 h；导热系数在±15%内变化，两问时长跨度均小于0.011%。这支持所选工况下时长对扩散参数更敏感，不能据此认为潜热或气固边界不重要。</w:t>
      </w:r>
    </w:p>
    <w:p w14:paraId="2A689B1D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边界阻力族采用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p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=1、2、4时，已计算的临界时间随所选参数点增大。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p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=4相对同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N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基线使问题三、四分别延长约13.87%和8.27%；这批结果只完成事件积分，不替代正式严格报告值。其用途是展示未标定边界关系的影响，不能据此推出真实时长下界或参数全域单调性。</w:t>
      </w:r>
    </w:p>
    <w:p w14:paraId="1FD5DC0A">
      <w:pPr>
        <w:pStyle w:val="7"/>
        <w:snapToGrid w:val="0"/>
        <w:ind w:firstLine="0"/>
      </w:pPr>
      <w:r>
        <w:rPr>
          <w:rFonts w:ascii="Times New Roman" w:hAnsi="Times New Roman" w:cs="Times New Roman" w:eastAsia="宋体"/>
        </w:rPr>
        <w:t xml:space="preserve">7 模型评价与推广</w:t>
      </w:r>
    </w:p>
    <w:p w14:paraId="0B1D911C">
      <w:pPr>
        <w:pStyle w:val="8"/>
        <w:snapToGrid w:val="0"/>
        <w:ind w:firstLine="0"/>
      </w:pPr>
      <w:r>
        <w:rPr>
          <w:rFonts w:ascii="Times New Roman" w:hAnsi="Times New Roman" w:cs="Times New Roman" w:eastAsia="宋体"/>
        </w:rPr>
        <w:t xml:space="preserve">7.1 模型优点</w:t>
      </w:r>
    </w:p>
    <w:p w14:paraId="6E8CE145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模型结构统一：四个问题的解决用同一套守恒框架，只是物性、几何与判据的切换，逻辑一致、便于对比。</w:t>
      </w:r>
    </w:p>
    <w:p w14:paraId="5C4A5088">
      <w:pPr>
        <w:snapToGrid w:val="0"/>
        <w:spacing w:line="300" w:lineRule="auto"/>
        <w:ind w:firstLine="482"/>
        <w:jc w:val="both"/>
      </w:pPr>
      <w:commentRangeStart w:id="5"/>
      <w:r>
        <w:rPr>
          <w:rFonts w:ascii="Times New Roman" w:hAnsi="Times New Roman" w:eastAsia="宋体" w:cs="Times New Roman"/>
          <w:color w:val="000000"/>
          <w:sz w:val="24"/>
        </w:rPr>
        <w:t xml:space="preserve">数值方法针对问题特性设计：Kirchhoff变换精确处理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D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(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)的强非线性面通量；材料坐标把移动域化为固定域；解析稀疏Jacobian配合BD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F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处理刚性，使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N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达到3200/6400仍可在分钟量级完成。</w:t>
      </w:r>
      <w:commentRangeEnd w:id="5"/>
      <w:r>
        <w:commentReference w:id="5"/>
      </w:r>
    </w:p>
    <w:p w14:paraId="5D03CD65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检验分层且可追溯：解析基准、离散守恒、空间/时间收敛、跨语言交叉核验四类证据分开报告，且明确各自的适用范围。</w:t>
      </w:r>
    </w:p>
    <w:p w14:paraId="61C7C820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本文将四问置于同一守恒框架内，并明确区分各问的物性、几何和输出任务。问题二与三共享全过程轨迹，使状态表与达标时刻具有共同来源；问题四从组分守恒推导材料坐标，避免重复加入网格速度或把干基浓度误当体积浓度。节点包括中心与真实表面，因此中心对称、表面对流和移动域输出能够一致处理。</w:t>
      </w:r>
    </w:p>
    <w:p w14:paraId="16FD4D51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数值方法围绕本题的困难作了对应处理。圆柱控制体承担中心和边界的守恒离散，Kirchhoff势处理低含水率区的非线性面传递，稀疏Jacobian和磁盘连续输出分别降低隐式求解与保存高网格轨迹的负担。检验则覆盖解析极限、空间和时间设置、独立实现等环节。最终将原精度轨迹、显示舍入与严格判据分别记录，使结果表能够追溯到实际计算，而不依赖后期人工修饰数字。</w:t>
      </w:r>
    </w:p>
    <w:p w14:paraId="48EDAC2E">
      <w:pPr>
        <w:pStyle w:val="8"/>
        <w:snapToGrid w:val="0"/>
        <w:ind w:firstLine="0"/>
      </w:pPr>
      <w:r>
        <w:rPr>
          <w:rFonts w:ascii="Times New Roman" w:hAnsi="Times New Roman" w:cs="Times New Roman" w:eastAsia="宋体"/>
        </w:rPr>
        <w:t xml:space="preserve">7.2 模型不足</w:t>
      </w:r>
    </w:p>
    <w:p w14:paraId="2599D923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缺少物理闭合：未显式计入相变潜热，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C</w:t>
      </w:r>
      <w:r>
        <w:rPr>
          <w:rFonts w:ascii="Times New Roman" w:hAnsi="Times New Roman" w:eastAsia="宋体" w:cs="Times New Roman"/>
          <w:color w:val="000000"/>
          <w:sz w:val="24"/>
          <w:i w:val="0"/>
          <w:iCs w:val="0"/>
          <w:vertAlign w:val="subscript"/>
        </w:rPr>
        <w:t xml:space="preserve">eq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用等效映射，密度与收缩相容性未完全解决。</w:t>
      </w:r>
    </w:p>
    <w:p w14:paraId="0DE5BBFE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计算设置稳定之后，主要不确定性仍来自模型输入的解释。没有内部温湿度或称重曲线，就无法用观测残差评价预测准确性；4 h之后没有环境记录，就必须依赖长期工况假设；没有药材等温线，就无法从空气指标唯一确定材料平衡状态。此外，半径观测只约束表面，不能单独证明内部同比收缩或轴向长度恒定。这些条件与数值网格差属于不同来源，需要在未来实验中分别识别。</w:t>
      </w:r>
    </w:p>
    <w:p w14:paraId="5DD08D08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基线采用有效显热容量，没有同时求解完整相变、迁移携焓及收缩功；一维模型忽略端面与轴向差异，也未描述品质损伤或有效成分变化。因此温湿预测不能直接推出最低能耗、最佳药效或最优设备参数。表面潜热负荷和经验阻力只提供指定情景下的响应，尚不构成真实过程的上下界。</w:t>
      </w:r>
    </w:p>
    <w:p w14:paraId="70B62134">
      <w:pPr>
        <w:pStyle w:val="8"/>
        <w:snapToGrid w:val="0"/>
        <w:ind w:firstLine="0"/>
      </w:pPr>
      <w:r>
        <w:rPr>
          <w:rFonts w:ascii="Times New Roman" w:hAnsi="Times New Roman" w:cs="Times New Roman" w:eastAsia="宋体"/>
        </w:rPr>
        <w:t xml:space="preserve">7.3 改进方向与适用范围</w:t>
      </w:r>
    </w:p>
    <w:p w14:paraId="6BC9826F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走向工艺优化：将模型作为约束条件接入优化框架，在品质约束下以能耗或时长为目标，利用参数扫描或启发式算法寻优。</w:t>
      </w:r>
    </w:p>
    <w:p w14:paraId="409ED12A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维度扩展：针对长径比较小、端面影响不可忽略的物料，可将一维径向扩展为二维轴对称模型，显式处理端面传热传质。</w:t>
      </w:r>
    </w:p>
    <w:p w14:paraId="6F03C16D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后续可补充不同温度下的药材吸附、解吸等温线，结合质量变化及内部测温数据标定气固边界和有效扩散参数，并留出独立工况检验。若观察到显著轴向温差、长度变化或非均匀收缩，应扩展为二维轴对称模型，重新建立材料运动和质量守恒。完整能量模型还需蒸发位置、潜热及相关传质参数支持。</w:t>
      </w:r>
    </w:p>
    <w:p w14:paraId="2D918503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现有框架适用于几何可近似圆柱、径向传递占主导且物性形式已给定的条件计算。迁移到其他药材时，应重新确定物性、平衡关系和收缩轨迹，而非直接沿用本文系数。在本文约定条件下，四问结果分别给出了预热分布、全过程耦合变化、固定半径达标时长及收缩修正后的时长，可作为后续实验和工况比较的量化依据。</w:t>
      </w:r>
    </w:p>
    <w:p w14:paraId="6440078D">
      <w:pPr>
        <w:pStyle w:val="7"/>
        <w:snapToGrid w:val="0"/>
        <w:ind w:firstLine="0"/>
      </w:pPr>
      <w:r>
        <w:rPr>
          <w:rFonts w:ascii="Times New Roman" w:hAnsi="Times New Roman" w:cs="Times New Roman" w:eastAsia="宋体"/>
        </w:rPr>
        <w:t xml:space="preserve">AI工具使用声明</w:t>
      </w:r>
    </w:p>
    <w:p w14:paraId="29FB5483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本参赛队在竞赛过程中使用了AI工具，主要用于资料检索、模型推导辅助、程序生成与调试、数值结果核对及论文草拟与文字整理，详细使用情况见支撑材料。</w:t>
      </w:r>
    </w:p>
    <w:p w14:paraId="514427CC">
      <w:pPr>
        <w:snapToGrid w:val="0"/>
        <w:spacing w:line="300" w:lineRule="auto"/>
        <w:ind w:firstLine="482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 xml:space="preserve">AI参与内容包括模型假设的备选表述、守恒方程及数值离散的推导建议、求解与检验程序辅助编写，以及正文和附录的整理。本稿依据实际运行记录和可追溯结果编写；数值对照仅用于说明所列计算条件下的一致性，不作为实测精度证明。参赛队须对采用的模型、源码、计算过程、引用和结论逐项人工审查核实；本稿仍处于团队审阅阶段，不代表上述人工审查已经完成。</w:t>
      </w:r>
    </w:p>
    <w:p w14:paraId="28BBA050">
      <w:pPr>
        <w:pStyle w:val="7"/>
        <w:snapToGrid w:val="0"/>
        <w:ind w:firstLine="0"/>
      </w:pPr>
      <w:r>
        <w:rPr>
          <w:rFonts w:ascii="Times New Roman" w:hAnsi="Times New Roman" w:cs="Times New Roman" w:eastAsia="宋体"/>
        </w:rPr>
        <w:t xml:space="preserve">8 参考文献</w:t>
      </w:r>
    </w:p>
    <w:p w14:paraId="7D2230E8">
      <w:pPr>
        <w:snapToGrid w:val="0"/>
        <w:spacing w:line="300" w:lineRule="auto"/>
        <w:ind w:firstLine="482"/>
        <w:jc w:val="both"/>
      </w:pPr>
      <w:commentRangeStart w:id="6"/>
      <w:r>
        <w:rPr>
          <w:rFonts w:ascii="Times New Roman" w:hAnsi="Times New Roman" w:eastAsia="宋体" w:cs="Times New Roman"/>
          <w:color w:val="000000"/>
          <w:sz w:val="24"/>
        </w:rPr>
        <w:t xml:space="preserve">[1] 王乐毅,李长河,刘明政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,等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.中药材干燥技术与装备研究现状[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J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].农业工程学报,2024,40(4):1-15.</w:t>
      </w:r>
      <w:commentRangeEnd w:id="6"/>
      <w:r>
        <w:commentReference w:id="6"/>
      </w:r>
    </w:p>
    <w:p w14:paraId="4E877894">
      <w:pPr>
        <w:snapToGrid w:val="0"/>
        <w:spacing w:line="300" w:lineRule="auto"/>
        <w:ind w:firstLine="482"/>
        <w:jc w:val="both"/>
      </w:pPr>
      <w:commentRangeStart w:id="7"/>
      <w:r>
        <w:rPr>
          <w:rFonts w:ascii="Times New Roman" w:hAnsi="Times New Roman" w:eastAsia="宋体" w:cs="Times New Roman"/>
          <w:color w:val="000000"/>
          <w:sz w:val="24"/>
        </w:rPr>
        <w:t xml:space="preserve">[2] 王晓辉,王学成,唐培渝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,等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.数值模拟仿真研究现状及其在中药干燥领域应用展望[</w:t>
      </w:r>
      <w:r>
        <w:rPr>
          <w:rFonts w:ascii="Times New Roman" w:hAnsi="Times New Roman" w:eastAsia="宋体" w:cs="Times New Roman"/>
          <w:color w:val="000000"/>
          <w:sz w:val="24"/>
          <w:i w:val="1"/>
          <w:iCs w:val="1"/>
          <w:vertAlign w:val="baseline"/>
        </w:rPr>
        <w:t xml:space="preserve">J</w:t>
      </w:r>
      <w:r>
        <w:rPr>
          <w:rFonts w:ascii="Times New Roman" w:hAnsi="Times New Roman" w:eastAsia="宋体" w:cs="Times New Roman"/>
          <w:color w:val="000000"/>
          <w:sz w:val="24"/>
        </w:rPr>
        <w:t xml:space="preserve">].中国中药杂志,2023,48(13):3440-3447.</w:t>
      </w:r>
      <w:commentRangeEnd w:id="7"/>
      <w:r>
        <w:commentReference w:id="7"/>
      </w:r>
    </w:p>
    <w:sectPr>
      <w:headerReference r:id="rId7" w:type="default"/>
      <w:footerReference r:id="rId8" w:type="default"/>
      <w:pgSz w:w="11906" w:h="16838"/>
      <w:pgMar w:top="1417" w:right="1417" w:bottom="1417" w:left="1417" w:header="567" w:footer="709" w:gutter="0"/>
      <w:cols w:space="425" w:num="1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审阅" w:date="2026-09-12T12:47:26Z" w:initials="">
    <w:p w14:paraId="7B450E00">
      <w:r>
        <w:t>原文按要求保留。题面及前文1.2给出的长度为25 cm，此处“长2cm”应改为“长25cm”；后续模型按0.25 m计算。</w:t>
      </w:r>
    </w:p>
  </w:comment>
  <w:comment w:id="1" w:author="审阅" w:date="2026-09-12T12:47:27Z" w:initials="">
    <w:p w14:paraId="7C37D82E">
      <w:r>
        <w:t>原文按要求保留。Q1的D1(C)=7e−9 exp(−0.89/C)没有温度项；Arrhenius温度因子属于附录3/4。后文按各问实际公式区分。</w:t>
      </w:r>
    </w:p>
  </w:comment>
  <w:comment w:id="2" w:author="审阅" w:date="2026-09-12T12:47:27Z" w:initials="">
    <w:p w14:paraId="661C46B4">
      <w:r>
        <w:t>原文按要求保留。采用同比材料收缩时，坐标变化项与物理平流相消，不另加网格平流。附录A.3给出完整推导。</w:t>
      </w:r>
    </w:p>
  </w:comment>
  <w:comment w:id="3" w:author="审阅" w:date="2026-09-12T12:47:27Z" w:initials="">
    <w:p w14:paraId="291E9B29">
      <w:r>
        <w:t>原文按要求保留。同T、同C下D4/D3=0.175exp(0.15/C)，只有C&gt;0.0860600 kg/kg时小于1，低含水率表面可能反转。</w:t>
      </w:r>
    </w:p>
  </w:comment>
  <w:comment w:id="4" w:author="审阅" w:date="2026-09-12T12:47:28Z" w:initials="">
    <w:p w14:paraId="18B8327E">
      <w:r>
        <w:t>原文按要求保留。Q4材料骨架随径向收缩运动，应限定为干物质没有生成、损失或相对骨架迁移，而不是空间静止。</w:t>
      </w:r>
    </w:p>
  </w:comment>
  <w:comment w:id="5" w:author="审阅" w:date="2026-09-12T12:47:26Z" w:initials="">
    <w:p w14:paraId="35071A58">
      <w:r>
        <w:t>原文按要求保留。“BD”应为“BDF”。Kirchhoff原函数改善面通量计算，仍使用温度面均值和有限精度求积，不能把“精确处理”理解为没有离散或积分误差。分钟量级是已记录计算环境下的运行表现，不是其他设备的时间保证。</w:t>
      </w:r>
    </w:p>
  </w:comment>
  <w:comment w:id="6" w:author="审阅" w:date="2026-09-12T12:47:28Z" w:initials="">
    <w:p w14:paraId="14E24A2A">
      <w:r>
        <w:t>原条目按要求保留。刊方确认：王乐意,李长河,刘明政,等.中药材干燥技术与装备研究现状[J].农业工程学报,2024,40(2):1–28. DOI:10.11975/j.issn.1002-6819.202306104。</w:t>
      </w:r>
    </w:p>
  </w:comment>
  <w:comment w:id="7" w:author="审阅" w:date="2026-09-12T12:47:28Z" w:initials="">
    <w:p w14:paraId="77C817FA">
      <w:r>
        <w:t>原条目按要求保留。PubMed PMID37474981确认2023,48(13):3440–3447，原页码正确；原文共有8名作者，前三人之后宜补“等”。</w:t>
      </w:r>
    </w:p>
  </w:comment>
  <w:comment w:id="8" w:author="审阅" w:initials="" w:date="2026-09-12T13:41:08Z">
    <w:p>
      <w:pPr>
        <w:pStyle w:val="CommentText"/>
      </w:pPr>
      <w:r>
        <w:rPr>
          <w:rStyle w:val="CommentReference"/>
        </w:rPr>
        <w:annotationRef/>
      </w:r>
      <w:r>
        <w:t>按你的要求删除原文献[5]对应的引文句。材料平衡含水率概念的来源尚未补列，后续定稿时需团队核查。</w:t>
      </w:r>
    </w:p>
  </w:comment>
  <w:comment w:id="9" w:author="审阅" w:initials="" w:date="2026-09-12T13:41:08Z">
    <w:p>
      <w:pPr>
        <w:pStyle w:val="CommentText"/>
      </w:pPr>
      <w:r>
        <w:rPr>
          <w:rStyle w:val="CommentReference"/>
        </w:rPr>
        <w:annotationRef/>
      </w:r>
      <w:r>
        <w:t>按你的要求删除原文献[3]对应标号。该段相关方法的来源尚未补列，后续定稿时需团队核查。</w:t>
      </w:r>
    </w:p>
  </w:comment>
  <w:comment w:id="10" w:author="审阅" w:initials="" w:date="2026-09-12T13:41:08Z">
    <w:p>
      <w:pPr>
        <w:pStyle w:val="CommentText"/>
      </w:pPr>
      <w:r>
        <w:rPr>
          <w:rStyle w:val="CommentReference"/>
        </w:rPr>
        <w:annotationRef/>
      </w:r>
      <w:r>
        <w:t>按你的要求删除原文献[4]对应标号。该段相关方法的来源尚未补列，后续定稿时需团队核查。</w:t>
      </w:r>
    </w:p>
  </w:comment>
  <w:comment w:id="11" w:author="审阅" w:initials="" w:date="2026-09-12T13:41:08Z">
    <w:p>
      <w:pPr>
        <w:pStyle w:val="CommentText"/>
      </w:pPr>
      <w:r>
        <w:rPr>
          <w:rStyle w:val="CommentReference"/>
        </w:rPr>
        <w:annotationRef/>
      </w:r>
      <w:r>
        <w:t>按你的要求删除原文献[6]对应标号。该段相关方法的来源尚未补列，后续定稿时需团队核查。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7B450E00" w15:done="0"/>
  <w15:commentEx w15:paraId="7C37D82E" w15:done="0"/>
  <w15:commentEx w15:paraId="661C46B4" w15:done="0"/>
  <w15:commentEx w15:paraId="291E9B29" w15:done="0"/>
  <w15:commentEx w15:paraId="18B8327E" w15:done="0"/>
  <w15:commentEx w15:paraId="35071A58" w15:done="0"/>
  <w15:commentEx w15:paraId="14E24A2A" w15:done="0"/>
  <w15:commentEx w15:paraId="77C817FA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71E110">
    <w:pPr>
      <w:ind w:firstLine="0"/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5DD5A8"/>
</w:hd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审阅">
    <w15:presenceInfo w15:providerId="None" w15:userId="审阅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5B682B"/>
    <w:rsid w:val="40E369FC"/>
    <w:rsid w:val="472B5C80"/>
    <w:rsid w:val="500A2F50"/>
    <w:rsid w:val="69B41BE4"/>
    <w:rsid w:val="768F6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60" w:line="300" w:lineRule="auto"/>
      <w:ind w:firstLine="482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  <w:style w:type="paragraph" w:customStyle="1" w:styleId="6">
    <w:name w:val="Title"/>
    <w:uiPriority w:val="0"/>
    <w:pPr>
      <w:keepNext/>
      <w:spacing w:before="200" w:after="120" w:line="300" w:lineRule="auto"/>
      <w:ind w:firstLine="0"/>
    </w:pPr>
    <w:rPr>
      <w:rFonts w:ascii="黑体" w:hAnsi="黑体" w:eastAsia="黑体" w:cs="Times New Roman"/>
      <w:b/>
      <w:color w:val="000000"/>
      <w:sz w:val="36"/>
    </w:rPr>
  </w:style>
  <w:style w:type="paragraph" w:customStyle="1" w:styleId="7">
    <w:name w:val="heading 1"/>
    <w:uiPriority w:val="0"/>
    <w:pPr>
      <w:keepNext/>
      <w:spacing w:before="200" w:after="120" w:line="300" w:lineRule="auto"/>
      <w:ind w:firstLine="0"/>
    </w:pPr>
    <w:rPr>
      <w:rFonts w:ascii="黑体" w:hAnsi="黑体" w:eastAsia="黑体" w:cs="Times New Roman"/>
      <w:b/>
      <w:color w:val="000000"/>
      <w:sz w:val="30"/>
    </w:rPr>
  </w:style>
  <w:style w:type="paragraph" w:customStyle="1" w:styleId="8">
    <w:name w:val="heading 2"/>
    <w:uiPriority w:val="0"/>
    <w:pPr>
      <w:keepNext/>
      <w:spacing w:before="200" w:after="120" w:line="300" w:lineRule="auto"/>
      <w:ind w:firstLine="0"/>
    </w:pPr>
    <w:rPr>
      <w:rFonts w:ascii="黑体" w:hAnsi="黑体" w:eastAsia="黑体" w:cs="Times New Roman"/>
      <w:b/>
      <w:color w:val="000000"/>
      <w:sz w:val="26"/>
    </w:rPr>
  </w:style>
  <w:style w:type="paragraph" w:customStyle="1" w:styleId="9">
    <w:name w:val="heading 3"/>
    <w:uiPriority w:val="0"/>
    <w:pPr>
      <w:keepNext/>
      <w:spacing w:before="200" w:after="120" w:line="300" w:lineRule="auto"/>
      <w:ind w:firstLine="0"/>
    </w:pPr>
    <w:rPr>
      <w:rFonts w:ascii="黑体" w:hAnsi="黑体" w:eastAsia="黑体" w:cs="Times New Roman"/>
      <w:b/>
      <w:color w:val="00000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1.xml"/><Relationship Id="rId7" Type="http://schemas.openxmlformats.org/officeDocument/2006/relationships/header" Target="header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1" Type="http://schemas.microsoft.com/office/2011/relationships/people" Target="people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214</Pages>
  <Words>3275</Words>
  <Characters>3663</Characters>
  <Lines>0</Lines>
  <Paragraphs>0</Paragraphs>
  <TotalTime>12</TotalTime>
  <ScaleCrop>false</ScaleCrop>
  <LinksUpToDate>false</LinksUpToDate>
  <CharactersWithSpaces>3685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2026-09-12T02:18:00Z</dcterms:created>
  <dc:creator/>
  <cp:lastModifiedBy/>
  <dcterms:modified xsi:type="dcterms:W3CDTF">2026-09-12T13:22:23Z</dcterms:modified>
  <dc:title>考虑物性变化与径向收缩的药材热湿耦合模型及数值验证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eyJoZGlkIjoiMzEwNTM5NzYwMDRjMzkwZTVkZjY2ODkwMGIxNGU0OTUiLCJ1c2VySWQiOiIxNjMyMzQ3OTQwIn0=</vt:lpwstr>
  </property>
  <property fmtid="{D5CDD505-2E9C-101B-9397-08002B2CF9AE}" pid="4" name="ICV">
    <vt:lpwstr>833062AFED354DC68951125E9B0EE4E5_12</vt:lpwstr>
  </property>
</Properties>
</file>