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240" w:after="120"/>
      </w:pPr>
      <w:r>
        <w:rPr>
          <w:rFonts w:ascii="Times New Roman" w:hAnsi="Times New Roman" w:eastAsia="黑体"/>
          <w:b/>
          <w:sz w:val="32"/>
        </w:rPr>
        <w:t>1.2 问题分析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药材热风烘干的本质，是药材内部热量传导、水分扩散，以及药材表面与烘房环境之间换热、换湿共同作用的过程。热风从表面将热量送入药材内部，温度由表及里逐步升高；内部水分依靠浓度梯度向外迁移，再经表面散失到烘房。从几何参数看，药材为长25 cm、半径2 cm的圆柱，长径比较大，轴向两端的传热传质影响有限，可将三维空间问题简化为一维径向问题，温度与水分浓度仅与时间及距中心的径向距离两个变量有关，计算量随之显著下降，物理图像也更清晰。四道问题由简到繁逐步递进，基础物理框架保持一致，仅在物性参数、求解时长与几何边界条件上逐层扩展。</w:t>
      </w:r>
    </w:p>
    <w:p>
      <w:pPr>
        <w:spacing w:lineRule="auto" w:line="360" w:before="200" w:after="80"/>
      </w:pPr>
      <w:r>
        <w:rPr>
          <w:rFonts w:ascii="Times New Roman" w:hAnsi="Times New Roman" w:eastAsia="黑体"/>
          <w:b/>
          <w:sz w:val="28"/>
        </w:rPr>
        <w:t>问题一：预热平衡阶段的温度与水分浓度场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本问要求预热平衡阶段（0–1800 s）药材内部温度与水分浓度场。难点有三：其一，烘房环境并非恒定，附件1仅提供离散时间点的温度、水分浓度，须插值成任意时刻的边界值；其二，水分扩散系数 D=7×10⁻⁹exp(−0.89/C) 随含水率变化，水分方程自身为非线性方程；其三，圆柱坐标系控制方程含 1/r 项，径向位置趋于中心时直接数值离散将出现除零。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处理上，本问热物性（密度、比热容、导热系数）均为常数，热方程为常系数线性方程，可独立求解，并以圆柱坐标下的 Bessel 级数解析解作对照校验。水分场因扩散系数非线性，采用守恒型有限体积离散与隐式时间推进：先在薄壳体积上对控制方程积分再离散，界面通量以相邻网格差分近似，中心处内界面面积为0，天然规避 r=0 奇点，无需特殊除零处理。附件1离散点经插值后作为表面对流换热、对流传质边界；中心处按对称性给定零通量条件。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需注意三点：扩散经验式温度项为 Arrhenius 形式，温度须以开尔文代入，否则指数项失真；水分方程应做离散质量守恒校验（残差控制在10⁻¹⁴量级），防止浓度数值漂移；题目要求的 1 s、0.1 cm 输出间隔属输出抽稀，内部时间步长须细于输出间隔，二者不可混同。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输出：按表1、表2格式给出 100、300、600、900、1200、1500、1800 s 在 0、0.5、1、1.5、2 cm 处的温度与水分浓度（保留四位小数）；每 1 s、每 0.1 cm 的完整结果保存至 result1.xlsx。本问建立的方程框架与求解器为后续三问共用。</w:t>
      </w:r>
    </w:p>
    <w:p>
      <w:pPr>
        <w:spacing w:lineRule="auto" w:line="360" w:before="200" w:after="80"/>
      </w:pPr>
      <w:r>
        <w:rPr>
          <w:rFonts w:ascii="Times New Roman" w:hAnsi="Times New Roman" w:eastAsia="黑体"/>
          <w:b/>
          <w:sz w:val="28"/>
        </w:rPr>
        <w:t>问题二：完整烘干过程的热湿耦合演化（0–3 h）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本问将时间拉长至 3 h，覆盖预热平衡与恒温干燥两个阶段。难点在于物性不再是常数：密度、比热容、导热系数均随含水率 C 变化，扩散系数 D 同时依赖 C 与温度 T。温度变化改变扩散能力，含水率变化又反过来改变材料热物性，两个物理场相互耦合，构成非线性偏微分方程组，物性系数只能保留在空间导数内部，不能提出作为常数处理。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处理上，在问题一框架上原地升级：计算域仍为固定半径圆柱，有限体积离散方式不变，仅在每个时间步依据节点当前温度、含水率实时更新物性，再计算界面通量。边界仍由附件1插值得到，3 h 落在前 4 h 数据范围内，无需额外延拓。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风险在于收敛性与正性。耦合后方程刚度增大，含水率降低时 exp(−0.45/C) 项急涨，时间步长不足会导致含水率震荡甚至为负，而负含水率在此经验式下无物理意义。为此采用隐式格式保证稳定，并在每一步校验含水率非负与总水量守恒。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输出：3 h 内每 0.5 h、0–2 cm 处的温度与水分浓度（表3、表4）；每 1 s、每 0.1 cm 的完整结果保存至 result2.xlsx。</w:t>
      </w:r>
    </w:p>
    <w:p>
      <w:pPr>
        <w:spacing w:lineRule="auto" w:line="360" w:before="200" w:after="80"/>
      </w:pPr>
      <w:r>
        <w:rPr>
          <w:rFonts w:ascii="Times New Roman" w:hAnsi="Times New Roman" w:eastAsia="黑体"/>
          <w:b/>
          <w:sz w:val="28"/>
        </w:rPr>
        <w:t>问题三：固定半径条件下烘干总时长求解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本问反求烘干时长，即药材各处水分均低于 0.15 kg/kg 所需的烘干时间。难点有二：一是判据定义为“药材各处”达标，须监控全域最大含水率，不能用平均值、也不能只盯中心点判定结束；二是仿真跨越约两三天，步数巨大，长时间数值解易累积误差。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处理上，监控全域最大含水率 M(t)，寻找其首次下穿 0.15 的时刻，并核查穿越后持续低于阈值，同时说明报告精度（保留四位小数）。需注意附件1仅覆盖前 4 h，而烘干约持续两三天，超出部分无现成边界数据，须给出延拓规则（按末端恒温恒湿处理）并写入模型假设，说明其对结果的敏感性。为压住长时间步的累积误差，全程做总水质量守恒校验，保证物理自洽。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输出：按表5格式给出每隔 6 h、每 0.5 cm 的含水率；每 60 s、每 0.1 cm 的完整结果保存至 result3.xlsx；确定烘干结束时刻。</w:t>
      </w:r>
    </w:p>
    <w:p>
      <w:pPr>
        <w:spacing w:lineRule="auto" w:line="360" w:before="200" w:after="80"/>
      </w:pPr>
      <w:r>
        <w:rPr>
          <w:rFonts w:ascii="Times New Roman" w:hAnsi="Times New Roman" w:eastAsia="黑体"/>
          <w:b/>
          <w:sz w:val="28"/>
        </w:rPr>
        <w:t>问题四：考虑药材收缩的烘干过程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实际烘干中药材随失水收缩，半径 R 随时间减小，属移动边界问题。直接套用固定半径方程会在几何变换上出错，这是本问的核心难点。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处理上，作坐标变换 x=r/R(t)，将随时间收缩的物理坐标映射到 [0,1] 固定计算域，把移动边界问题转化为固定域求解，规避动网格处理。半径时间序列由附件2插值得到；物性改用附录4经验公式，密度、比热容、导热系数、扩散系数全部更新。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需说明的风险点：收缩会缩短水分迁移路径，单看此因素烘干应更快；但附录4扩散系数整体小于附录3，两因素方向相反，净效应须实际计算，不能断言“一定更快”。为隔离收缩作用，应在附录4物性下对固定半径与变化半径分别求解对比。此外，坐标变换中的网格速度与平流项依物理假设（骨架随动或空间固定）取值，方程形式不同，不能漏项或重复加项。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输出：按表6格式给出每隔 6 h、至表面各采样点的含水率；每 60 s、每 0.1 cm 的完整结果保存至 result4.xlsx；确定考虑收缩后的烘干结束时刻。</w:t>
      </w:r>
    </w:p>
    <w:p>
      <w:pPr>
        <w:spacing w:lineRule="auto" w:line="360" w:before="200" w:after="80"/>
      </w:pPr>
      <w:r>
        <w:rPr>
          <w:rFonts w:ascii="Times New Roman" w:hAnsi="Times New Roman" w:eastAsia="黑体"/>
          <w:b/>
          <w:sz w:val="28"/>
        </w:rPr>
        <w:t>小结</w:t>
      </w:r>
    </w:p>
    <w:p>
      <w:pPr>
        <w:spacing w:lineRule="auto" w:line="360" w:after="120"/>
        <w:ind w:firstLine="480"/>
      </w:pPr>
      <w:r>
        <w:rPr>
          <w:rFonts w:ascii="Times New Roman" w:hAnsi="Times New Roman" w:eastAsia="宋体"/>
          <w:b w:val="0"/>
          <w:sz w:val="24"/>
        </w:rPr>
        <w:t>四问递进关系明确：问题一建立常物性基准模型；问题二放开物性，实现热湿双向耦合；问题三施加全域达标判据，反求烘干终止时刻；问题四以坐标变换处理收缩引起的移动边界。后续章节沿此主线，依次完成控制方程、初始与边界条件推导，采用有限体积法空间离散并结合隐式时间推进求解，同时开展网格与时间步收敛性检验及质量守恒校验，保障结果可靠。</w:t>
      </w:r>
    </w:p>
    <w:p>
      <w:pPr>
        <w:spacing w:before="200"/>
      </w:pPr>
      <w:r>
        <w:rPr>
          <w:rFonts w:ascii="Times New Roman" w:hAnsi="Times New Roman" w:eastAsia="黑体"/>
          <w:b/>
          <w:sz w:val="24"/>
        </w:rPr>
        <w:t>四问递进技术路线示意：</w:t>
      </w:r>
    </w:p>
    <w:p>
      <w:pPr>
        <w:spacing w:lineRule="auto" w:line="360" w:after="80"/>
      </w:pPr>
      <w:r>
        <w:rPr>
          <w:rFonts w:ascii="Times New Roman" w:hAnsi="Times New Roman" w:eastAsia="宋体"/>
          <w:b w:val="0"/>
          <w:sz w:val="21"/>
        </w:rPr>
        <w:t>说明：本图为示意，概括四问在共享框架上的难度递进与求解路径。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