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8D47C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AI工具使用详情</w:t>
      </w:r>
    </w:p>
    <w:p w14:paraId="75C1A0A9">
      <w:pPr>
        <w:spacing w:after="120"/>
        <w:ind w:firstLine="720" w:firstLineChars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color w:val="000000"/>
          <w:sz w:val="24"/>
          <w:szCs w:val="24"/>
        </w:rPr>
        <w:t>本队使用 Deepseek Harness 与 Deepseek v4.1 flash 辅助代码语法检查和部分程序调试，使用 Codex 与 GPT6-Astra 辅助题意理解、文献检索、模型与结果检查、公式整理，以及绘图和提交材料整理。AI参与内容及具体处理情况如下。</w:t>
      </w:r>
    </w:p>
    <w:p w14:paraId="0A6EF13E">
      <w:pPr>
        <w:pStyle w:val="3"/>
        <w:keepNext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 w:cs="黑体"/>
          <w:sz w:val="28"/>
          <w:szCs w:val="28"/>
        </w:rPr>
        <w:t>AI工具清单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2098"/>
        <w:gridCol w:w="2721"/>
        <w:gridCol w:w="4819"/>
      </w:tblGrid>
      <w:tr w14:paraId="7DE0C5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5" w:type="dxa"/>
            <w:left w:w="115" w:type="dxa"/>
            <w:bottom w:w="115" w:type="dxa"/>
            <w:right w:w="115" w:type="dxa"/>
          </w:tblCellMar>
        </w:tblPrEx>
        <w:trPr>
          <w:cantSplit/>
          <w:tblHeader/>
          <w:jc w:val="center"/>
        </w:trPr>
        <w:tc>
          <w:tcPr>
            <w:tcW w:w="209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B4F1CE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</w:t>
            </w:r>
          </w:p>
        </w:tc>
        <w:tc>
          <w:tcPr>
            <w:tcW w:w="27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3BC26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模型名称与版本</w:t>
            </w:r>
          </w:p>
        </w:tc>
        <w:tc>
          <w:tcPr>
            <w:tcW w:w="48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D402983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主要用途</w:t>
            </w:r>
          </w:p>
        </w:tc>
      </w:tr>
      <w:tr w14:paraId="057899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5" w:type="dxa"/>
            <w:left w:w="115" w:type="dxa"/>
            <w:bottom w:w="115" w:type="dxa"/>
            <w:right w:w="115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40AA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Harness</w:t>
            </w:r>
          </w:p>
        </w:tc>
        <w:tc>
          <w:tcPr>
            <w:tcW w:w="27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3F6F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v4.1 flash</w:t>
            </w: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8DC37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对已编写代码进行语法检查，结合报错信息辅助定位和修改部分程序问题。</w:t>
            </w:r>
          </w:p>
        </w:tc>
      </w:tr>
      <w:tr w14:paraId="70BFB5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15" w:type="dxa"/>
            <w:left w:w="115" w:type="dxa"/>
            <w:bottom w:w="115" w:type="dxa"/>
            <w:right w:w="115" w:type="dxa"/>
          </w:tblCellMar>
        </w:tblPrEx>
        <w:trPr>
          <w:cantSplit/>
          <w:jc w:val="center"/>
        </w:trPr>
        <w:tc>
          <w:tcPr>
            <w:tcW w:w="209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DD1829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</w:t>
            </w:r>
          </w:p>
        </w:tc>
        <w:tc>
          <w:tcPr>
            <w:tcW w:w="27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E891F3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GPT6-Astra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7EE865D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梳理题意与模型条件；检索文献；检查公式和数值结果；整理绘图程序、数据及论文支撑材料。</w:t>
            </w:r>
          </w:p>
        </w:tc>
      </w:tr>
    </w:tbl>
    <w:p w14:paraId="6F040CC1">
      <w:pPr>
        <w:pStyle w:val="4"/>
        <w:keepNext/>
        <w:rPr>
          <w:sz w:val="24"/>
          <w:szCs w:val="24"/>
        </w:rPr>
      </w:pPr>
      <w:r>
        <w:rPr>
          <w:sz w:val="24"/>
          <w:szCs w:val="24"/>
        </w:rPr>
        <w:t>交互方式</w:t>
      </w:r>
    </w:p>
    <w:p w14:paraId="405256A2">
      <w:pPr>
        <w:spacing w:after="120"/>
        <w:ind w:firstLine="720" w:firstLineChars="0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本队通过文字提出任务，并指定论文DOCX、程序、CSV和结果表作为工作对象；AI读取文件、提出检查结论，</w:t>
      </w:r>
      <w:r>
        <w:rPr>
          <w:rFonts w:hint="eastAsia"/>
          <w:b w:val="0"/>
          <w:color w:val="000000"/>
          <w:sz w:val="24"/>
          <w:szCs w:val="24"/>
          <w:lang w:val="en-US" w:eastAsia="zh-CN"/>
        </w:rPr>
        <w:t>并给出修改意见供团队成员参考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。结果以可编辑文档和运行记录交付。</w:t>
      </w:r>
    </w:p>
    <w:p w14:paraId="02314F4F">
      <w:pPr>
        <w:spacing w:after="120"/>
        <w:ind w:firstLine="720" w:firstLineChars="0"/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color w:val="000000"/>
          <w:sz w:val="24"/>
          <w:szCs w:val="24"/>
          <w:lang w:val="en-US" w:eastAsia="zh-CN"/>
        </w:rPr>
        <w:t>样例：</w:t>
      </w:r>
      <w:r>
        <w:drawing>
          <wp:inline distT="0" distB="0" distL="114300" distR="114300">
            <wp:extent cx="6115050" cy="273558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3E19">
      <w:r>
        <w:br w:type="page"/>
      </w:r>
    </w:p>
    <w:p w14:paraId="5AA7682F">
      <w:pPr>
        <w:pStyle w:val="3"/>
        <w:keepNext/>
      </w:pPr>
      <w:r>
        <w:t>二 分环节使用记录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04"/>
        <w:gridCol w:w="1134"/>
        <w:gridCol w:w="7200"/>
      </w:tblGrid>
      <w:tr w14:paraId="70A5E1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97864C1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环节</w:t>
            </w:r>
          </w:p>
        </w:tc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BB048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使用情况</w:t>
            </w:r>
          </w:p>
        </w:tc>
        <w:tc>
          <w:tcPr>
            <w:tcW w:w="72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F6FAE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具体工作与采用位置</w:t>
            </w:r>
          </w:p>
        </w:tc>
      </w:tr>
      <w:tr w14:paraId="2F90440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9010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赛题理解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2EFED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5BAE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Codex辅助梳理四问的输入、输出和递进关系，区分附件1环境观测、附件2半径变化与附件3结果模板。采用位置：问题分析、符号说明和各问模型；支撑01。</w:t>
            </w:r>
          </w:p>
        </w:tc>
      </w:tr>
      <w:tr w14:paraId="0B5A30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BC37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模型假设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61F94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1A4D03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Codex辅助检查4小时后的环境平台假设、空气湿度向平衡含水率的映射、同比收缩与固定长度等闭合条件，说明预测结果依赖这些假设。采用位置：模型假设、模型评价。</w:t>
            </w:r>
          </w:p>
        </w:tc>
      </w:tr>
      <w:tr w14:paraId="36C237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EA66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建模设计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D206B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1EAC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Codex辅助整理热湿耦合方程、边界条件、Kirchhoff水通量离散及各问模型的联系，检查符号和量纲。采用位置：模型建立与算法说明；03中的dryingCore.py和q1Model.py至q4Model.py。</w:t>
            </w:r>
          </w:p>
        </w:tc>
      </w:tr>
      <w:tr w14:paraId="2631E3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7161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代码求解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7461E2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A0F2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Deepseek Harness辅助语法检查和部分调试；Codex辅助程序实现、路径与依赖整理、运行入口和复现检查。本次为method_comparison.py修正一行ROOT定位，并补run_checks.py及依赖清单。采用位置：03、05；实例2。</w:t>
            </w:r>
          </w:p>
        </w:tc>
      </w:tr>
      <w:tr w14:paraId="16B2FBA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3530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结果检验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E77AA6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A690A7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Codex辅助核对冻结结果与论文表格，检查网格收敛、时间误差和方法对照。本次实际运行适量检验并读取内部数值报告。采用位置：04、05；实例2。</w:t>
            </w:r>
          </w:p>
        </w:tc>
      </w:tr>
      <w:tr w14:paraId="0D51CC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BE7D7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论文撰写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73E5CA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66B42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Codex辅助整理公式与符号、检查正文和结果的一致性，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辅助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支撑文件说明、AI使用记录和附录清单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的整理和编写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。采用位置：论文第9.3节、AI工具使用详情、附录文件列表；实例3。</w:t>
            </w:r>
          </w:p>
        </w:tc>
      </w:tr>
      <w:tr w14:paraId="1DAB6A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2F51C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辅助工作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45931C">
            <w:pPr>
              <w:spacing w:before="0" w:after="0" w:line="264" w:lineRule="auto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</w:t>
            </w:r>
          </w:p>
        </w:tc>
        <w:tc>
          <w:tcPr>
            <w:tcW w:w="72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816371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Codex辅助文献检索、文件来源与校验值整理、绘图脚本适配、CSV及PNG归档。采用位置：02、06；实例1。</w:t>
            </w:r>
          </w:p>
        </w:tc>
      </w:tr>
    </w:tbl>
    <w:p w14:paraId="550D5B68">
      <w:r>
        <w:br w:type="page"/>
      </w:r>
    </w:p>
    <w:p w14:paraId="09AD5931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</w:t>
      </w:r>
      <w:r>
        <w:rPr>
          <w:rFonts w:hint="eastAsia" w:ascii="黑体" w:hAnsi="黑体" w:eastAsia="黑体" w:cs="黑体"/>
          <w:lang w:eastAsia="zh-CN"/>
        </w:rPr>
        <w:t>、</w:t>
      </w:r>
      <w:r>
        <w:rPr>
          <w:rFonts w:hint="eastAsia" w:ascii="黑体" w:hAnsi="黑体" w:eastAsia="黑体" w:cs="黑体"/>
        </w:rPr>
        <w:t>典型交互实例</w:t>
      </w:r>
    </w:p>
    <w:p w14:paraId="6130A7BB">
      <w:pPr>
        <w:pStyle w:val="4"/>
        <w:keepNext/>
        <w:jc w:val="center"/>
        <w:rPr>
          <w:rFonts w:hint="eastAsia" w:ascii="新宋体" w:hAnsi="新宋体" w:eastAsia="新宋体" w:cs="新宋体"/>
          <w:b w:val="0"/>
          <w:bCs w:val="0"/>
          <w:sz w:val="22"/>
          <w:szCs w:val="22"/>
        </w:rPr>
      </w:pPr>
      <w:r>
        <w:rPr>
          <w:rFonts w:hint="eastAsia" w:ascii="新宋体" w:hAnsi="新宋体" w:eastAsia="新宋体" w:cs="新宋体"/>
          <w:b w:val="0"/>
          <w:bCs w:val="0"/>
          <w:sz w:val="22"/>
          <w:szCs w:val="22"/>
        </w:rPr>
        <w:t>实例1 绘图程序与数据补件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30" w:type="dxa"/>
          <w:left w:w="130" w:type="dxa"/>
          <w:bottom w:w="130" w:type="dxa"/>
          <w:right w:w="130" w:type="dxa"/>
        </w:tblCellMar>
      </w:tblPr>
      <w:tblGrid>
        <w:gridCol w:w="1805"/>
        <w:gridCol w:w="7833"/>
      </w:tblGrid>
      <w:tr w14:paraId="178D1C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tblHeader/>
          <w:jc w:val="center"/>
        </w:trPr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566256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记录项</w:t>
            </w:r>
          </w:p>
        </w:tc>
        <w:tc>
          <w:tcPr>
            <w:tcW w:w="78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97C0787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实际内容</w:t>
            </w:r>
          </w:p>
        </w:tc>
      </w:tr>
      <w:tr w14:paraId="5CC3D92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7C96D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工具与时间</w:t>
            </w:r>
          </w:p>
        </w:tc>
        <w:tc>
          <w:tcPr>
            <w:tcW w:w="78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F861F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 与 GPT6-Astra；2026年9月13日；代码求解与辅助工作。</w:t>
            </w:r>
          </w:p>
        </w:tc>
      </w:tr>
      <w:tr w14:paraId="65EE0D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4D5E1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提示词节选</w:t>
            </w:r>
          </w:p>
        </w:tc>
        <w:tc>
          <w:tcPr>
            <w:tcW w:w="7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67CBE6">
            <w:pPr>
              <w:spacing w:before="0" w:after="0" w:line="264" w:lineRule="auto"/>
              <w:jc w:val="center"/>
              <w:rPr>
                <w:rFonts w:hint="default" w:eastAsia="宋体"/>
                <w:b w:val="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整理多余的绘图程序，检验图像一致性。</w:t>
            </w:r>
          </w:p>
        </w:tc>
      </w:tr>
      <w:tr w14:paraId="7E6704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510D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AI回复节选</w:t>
            </w:r>
          </w:p>
        </w:tc>
        <w:tc>
          <w:tcPr>
            <w:tcW w:w="7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84CE7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绘图程序和数据已加入 `支撑材料/06_绘图程序与数据`：R 程序、14 份 CSV、6 张 PNG及说明、校验文件。图像仅保留 PNG，R 程序已在独立目录实际运行通过。</w:t>
            </w:r>
          </w:p>
        </w:tc>
      </w:tr>
      <w:tr w14:paraId="3280DA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97AA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队伍处理与落地</w:t>
            </w:r>
          </w:p>
        </w:tc>
        <w:tc>
          <w:tcPr>
            <w:tcW w:w="7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8BCE3F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将原论文六图对应的R程序和输入CSV加入支撑06。脚本按自身位置定位CSV，图像输出保留PNG，并提供可指定的输出目录；交付保留原论文PNG。</w:t>
            </w:r>
          </w:p>
        </w:tc>
      </w:tr>
      <w:tr w14:paraId="68B74B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FAE8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核验方式与结果</w:t>
            </w:r>
          </w:p>
        </w:tc>
        <w:tc>
          <w:tcPr>
            <w:tcW w:w="78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4456CC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14份CSV共4627行数据及6张PNG与原图目录逐字节一致。R程序在独立目录实际退出0。当前环境重绘与历史PNG有少量像素差异；原程序与适配程序在同一当前环境重绘结果一致。</w:t>
            </w:r>
          </w:p>
        </w:tc>
      </w:tr>
      <w:tr w14:paraId="0CCECD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0EF83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采用文件位置</w:t>
            </w:r>
          </w:p>
        </w:tc>
        <w:tc>
          <w:tcPr>
            <w:tcW w:w="78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1BAA4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06_绘图程序与数据/draw_figures.R；CSV和PNG子目录；绘图复现说明.txt、数据来源与校验.csv、图像校验.csv。</w:t>
            </w:r>
          </w:p>
        </w:tc>
      </w:tr>
    </w:tbl>
    <w:p w14:paraId="3DABE205">
      <w:r>
        <w:br w:type="page"/>
      </w:r>
    </w:p>
    <w:p w14:paraId="710D98FA">
      <w:pPr>
        <w:pStyle w:val="3"/>
        <w:keepNext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 典型交互实例</w:t>
      </w:r>
    </w:p>
    <w:p w14:paraId="4512A608">
      <w:pPr>
        <w:pStyle w:val="4"/>
        <w:keepNext/>
        <w:jc w:val="center"/>
        <w:rPr>
          <w:rFonts w:hint="eastAsia" w:ascii="新宋体" w:hAnsi="新宋体" w:eastAsia="新宋体" w:cs="新宋体"/>
          <w:b w:val="0"/>
          <w:bCs w:val="0"/>
          <w:sz w:val="22"/>
          <w:szCs w:val="22"/>
        </w:rPr>
      </w:pPr>
      <w:r>
        <w:rPr>
          <w:rFonts w:hint="eastAsia" w:ascii="新宋体" w:hAnsi="新宋体" w:eastAsia="新宋体" w:cs="新宋体"/>
          <w:b w:val="0"/>
          <w:bCs w:val="0"/>
          <w:sz w:val="22"/>
          <w:szCs w:val="22"/>
        </w:rPr>
        <w:t>实例2 数值检验的独立复现补件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130" w:type="dxa"/>
          <w:left w:w="130" w:type="dxa"/>
          <w:bottom w:w="130" w:type="dxa"/>
          <w:right w:w="130" w:type="dxa"/>
        </w:tblCellMar>
      </w:tblPr>
      <w:tblGrid>
        <w:gridCol w:w="1701"/>
        <w:gridCol w:w="7937"/>
      </w:tblGrid>
      <w:tr w14:paraId="112CE25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6297DA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记录项</w:t>
            </w:r>
          </w:p>
        </w:tc>
        <w:tc>
          <w:tcPr>
            <w:tcW w:w="793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1D3DA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实际内容</w:t>
            </w:r>
          </w:p>
        </w:tc>
      </w:tr>
      <w:tr w14:paraId="7A58F2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AE8A7E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工具与时间</w:t>
            </w:r>
          </w:p>
        </w:tc>
        <w:tc>
          <w:tcPr>
            <w:tcW w:w="793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5857C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Codex 与 GPT6-Astra；2026年9月13日；代码求解与结果检验。</w:t>
            </w:r>
          </w:p>
        </w:tc>
      </w:tr>
      <w:tr w14:paraId="2259AD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05AE4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提示词节选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C840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你提到的：对论文采用的网格、时间误差、方法对照，至少补齐两份 CSV 的预期位置、实验根路径及 Matplotlib 依赖。这个请你核实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正确性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。</w:t>
            </w:r>
            <w:r>
              <w:rPr>
                <w:b w:val="0"/>
              </w:rPr>
              <w:br w:type="textWrapping"/>
            </w:r>
          </w:p>
        </w:tc>
      </w:tr>
      <w:tr w14:paraId="04F803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76EDF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AI回复节选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7A2C1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数值检验补件已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预备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加入：两份 CSV 的预期位置、实验根路径、运行入口和包含 Matplotlib 的依赖清单。网格、时间误差、方法对照均已完成适量重跑并核验通过，具体命令见独立运行说明。</w:t>
            </w:r>
          </w:p>
        </w:tc>
      </w:tr>
      <w:tr w14:paraId="579861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D72A72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队伍处理与落地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81426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补齐A_environment_observed.csv、A_radius_observed.csv、requirements.txt与run_checks.py。method_comparison.py仅将ROOT改为由脚本位置确定。按本队指令保留其他原检验源码和历史失败状态。</w:t>
            </w:r>
          </w:p>
        </w:tc>
      </w:tr>
      <w:tr w14:paraId="0E2FEE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81FC9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核验方式与结果</w:t>
            </w:r>
          </w:p>
        </w:tc>
        <w:tc>
          <w:tcPr>
            <w:tcW w:w="79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7BBB9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新建虚拟环境安装并检查依赖。网格Q1 N20/40、时间误差Q1 N20及方法对照quick N100/200均实际退出0并核查内部报告。两CSV与生产输入一致，方法对照除ROOT赋值外语法树不变。未将小规模检查表述为全部高网格重跑。</w:t>
            </w:r>
          </w:p>
        </w:tc>
      </w:tr>
      <w:tr w14:paraId="76BB5B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130" w:type="dxa"/>
            <w:left w:w="130" w:type="dxa"/>
            <w:bottom w:w="130" w:type="dxa"/>
            <w:right w:w="130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0609DD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采用文件位置</w:t>
            </w:r>
          </w:p>
        </w:tc>
        <w:tc>
          <w:tcPr>
            <w:tcW w:w="793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00E535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05_数值检验与实验/论文采用检验_独立运行说明.txt、本轮补件与运行核验.txt；Python检验源码下的run_checks.py、requirements.txt及paper_output/data_cleaned。</w:t>
            </w:r>
          </w:p>
        </w:tc>
      </w:tr>
    </w:tbl>
    <w:p w14:paraId="1312530F">
      <w:r>
        <w:br w:type="page"/>
      </w:r>
    </w:p>
    <w:p w14:paraId="33BC1534">
      <w:pPr>
        <w:pStyle w:val="3"/>
        <w:keepNext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t>四</w:t>
      </w:r>
      <w:r>
        <w:rPr>
          <w:rFonts w:hint="eastAsia" w:ascii="黑体" w:hAnsi="黑体" w:eastAsia="黑体" w:cs="黑体"/>
          <w:lang w:eastAsia="zh-CN"/>
        </w:rPr>
        <w:t>、采纳修改及人工主导确认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</w:tblPr>
      <w:tblGrid>
        <w:gridCol w:w="1134"/>
        <w:gridCol w:w="2835"/>
        <w:gridCol w:w="5669"/>
      </w:tblGrid>
      <w:tr w14:paraId="090686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9EF5E7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类别</w:t>
            </w:r>
          </w:p>
        </w:tc>
        <w:tc>
          <w:tcPr>
            <w:tcW w:w="28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B18480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AI辅助内容</w:t>
            </w:r>
          </w:p>
        </w:tc>
        <w:tc>
          <w:tcPr>
            <w:tcW w:w="56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BEE355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采用及修改情况</w:t>
            </w:r>
          </w:p>
        </w:tc>
      </w:tr>
      <w:tr w14:paraId="1BD7BE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D1B05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建模思路</w:t>
            </w:r>
          </w:p>
        </w:tc>
        <w:tc>
          <w:tcPr>
            <w:tcW w:w="28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B20EC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题意整理、假设边界与模型联系检查。</w:t>
            </w:r>
          </w:p>
        </w:tc>
        <w:tc>
          <w:tcPr>
            <w:tcW w:w="566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697E4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围绕热湿耦合和收缩条件组织四问；结果限定为给定假设下的预测，不将数值检验写成实测验证。</w:t>
            </w:r>
          </w:p>
        </w:tc>
      </w:tr>
      <w:tr w14:paraId="6C53D8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2FA301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公式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F5245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公式、量纲与符号整理。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434823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区分有效体积热容和干骨架密度，区分连续阈值时刻和严格报告时刻；具体表达以论文采用方程及冻结程序为准。</w:t>
            </w:r>
          </w:p>
        </w:tc>
      </w:tr>
      <w:tr w14:paraId="592E9D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FCBC97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代码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F846D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语法调试、依赖与复现入口、绘图适配。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29F8D2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本次采纳相对ROOT定位和新增运行入口；正式03及结果04字节保持，历史废弃检验未修复或改判。</w:t>
            </w:r>
          </w:p>
        </w:tc>
      </w:tr>
      <w:tr w14:paraId="6FD21B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5" w:type="dxa"/>
            <w:left w:w="85" w:type="dxa"/>
            <w:bottom w:w="85" w:type="dxa"/>
            <w:right w:w="85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DDCB4E7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分析与材料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5BF244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结果一致性检查、支撑整理和附录清单。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FF0A27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形成三项适量检验记录、绘图补件和137文件清单；保留检验范围、图像重绘差异及模型适用边界。</w:t>
            </w:r>
          </w:p>
        </w:tc>
      </w:tr>
    </w:tbl>
    <w:p w14:paraId="12F34644">
      <w:pPr>
        <w:pStyle w:val="3"/>
        <w:keepNext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人工主导事项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tbl>
      <w:tblPr>
        <w:tblStyle w:val="32"/>
        <w:tblW w:w="0" w:type="auto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84"/>
        <w:gridCol w:w="7654"/>
      </w:tblGrid>
      <w:tr w14:paraId="29AB89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  <w:tblHeader/>
        </w:trPr>
        <w:tc>
          <w:tcPr>
            <w:tcW w:w="19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C42D7A1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核心环节</w:t>
            </w:r>
          </w:p>
        </w:tc>
        <w:tc>
          <w:tcPr>
            <w:tcW w:w="76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81548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本队承担的工作与责任</w:t>
            </w:r>
          </w:p>
        </w:tc>
      </w:tr>
      <w:tr w14:paraId="56D874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</w:trPr>
        <w:tc>
          <w:tcPr>
            <w:tcW w:w="19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2C78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模型选型与创新</w:t>
            </w:r>
          </w:p>
        </w:tc>
        <w:tc>
          <w:tcPr>
            <w:tcW w:w="765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29CAD8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负责模型路线、假设及创新内容的最终选择，判断AI建议是否适用。</w:t>
            </w:r>
          </w:p>
        </w:tc>
      </w:tr>
      <w:tr w14:paraId="5A29E2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38176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公式推导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E917A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负责理解和审查所采用方程、条件、推导及量纲，决定最终表达。</w:t>
            </w:r>
          </w:p>
        </w:tc>
      </w:tr>
      <w:tr w14:paraId="23809BB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F390F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代码逻辑</w:t>
            </w:r>
          </w:p>
        </w:tc>
        <w:tc>
          <w:tcPr>
            <w:tcW w:w="7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DBD42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负责掌握核心程序逻辑并进行人工审查；区分程序运行记录和人工审核结论。</w:t>
            </w:r>
          </w:p>
        </w:tc>
      </w:tr>
      <w:tr w14:paraId="5E0E6A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rPr>
          <w:cantSplit/>
        </w:trPr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8D3022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核心论证</w:t>
            </w:r>
          </w:p>
        </w:tc>
        <w:tc>
          <w:tcPr>
            <w:tcW w:w="765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AA9E5B">
            <w:pPr>
              <w:spacing w:before="0" w:after="0" w:line="264" w:lineRule="auto"/>
              <w:jc w:val="center"/>
              <w:rPr>
                <w:b w:val="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负责审查结果解释、适用范围与局限性，决定论文最终结论。</w:t>
            </w:r>
          </w:p>
        </w:tc>
      </w:tr>
    </w:tbl>
    <w:p w14:paraId="5533E1E3">
      <w:pPr>
        <w:pStyle w:val="3"/>
        <w:keepNext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  <w:lang w:eastAsia="zh-CN"/>
        </w:rPr>
        <w:t>真实性声明</w:t>
      </w:r>
    </w:p>
    <w:p w14:paraId="139341A0">
      <w:pPr>
        <w:spacing w:after="120"/>
        <w:ind w:firstLine="720" w:firstLineChars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color w:val="000000"/>
          <w:sz w:val="24"/>
          <w:szCs w:val="24"/>
        </w:rPr>
        <w:t>本队确认所登记的AI工具、使用环节和采纳情况与实际过程一致，交互节选来自真</w:t>
      </w:r>
      <w:bookmarkStart w:id="0" w:name="_GoBack"/>
      <w:bookmarkEnd w:id="0"/>
      <w:r>
        <w:rPr>
          <w:rFonts w:hint="eastAsia" w:ascii="新宋体" w:hAnsi="新宋体" w:eastAsia="新宋体" w:cs="新宋体"/>
          <w:b w:val="0"/>
          <w:color w:val="000000"/>
          <w:sz w:val="24"/>
          <w:szCs w:val="24"/>
        </w:rPr>
        <w:t>实对话，并承担论文与支撑材料的真实性、准确性及完整性责任。程序运行和自动检查记录不替代本队对模型、公式、代码及核心论证的人工审查。</w:t>
      </w:r>
    </w:p>
    <w:p w14:paraId="2C1EC2D9">
      <w:pPr>
        <w:pStyle w:val="3"/>
        <w:keepNext/>
      </w:pPr>
    </w:p>
    <w:sectPr>
      <w:footerReference r:id="rId5" w:type="default"/>
      <w:pgSz w:w="11906" w:h="16838"/>
      <w:pgMar w:top="1134" w:right="1134" w:bottom="1020" w:left="1134" w:header="720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FD810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t>6</w:t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B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120" w:line="27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2789</Words>
  <Characters>3416</Characters>
  <Lines>0</Lines>
  <Paragraphs>0</Paragraphs>
  <TotalTime>10</TotalTime>
  <ScaleCrop>false</ScaleCrop>
  <LinksUpToDate>false</LinksUpToDate>
  <CharactersWithSpaces>3481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施陈灏</dc:creator>
  <cp:lastModifiedBy>施陈灏</cp:lastModifiedBy>
  <cp:lastPrinted>2026-09-13T08:06:09Z</cp:lastPrinted>
  <dcterms:modified xsi:type="dcterms:W3CDTF">2026-09-13T08:06:36Z</dcterms:modified>
  <dc:subject>药材热湿耦合模型与干燥时间计算 AI工具使用记录</dc:subject>
  <dc:title>AI工具使用详情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eyJoZGlkIjoiMzEwNTM5NzYwMDRjMzkwZTVkZjY2ODkwMGIxNGU0OTUiLCJ1c2VySWQiOiIxNjMyMzQ3OTQwIn0=</vt:lpwstr>
  </property>
  <property fmtid="{D5CDD505-2E9C-101B-9397-08002B2CF9AE}" pid="3" name="KSOProductBuildVer">
    <vt:lpwstr>2052-12.1.0.28505</vt:lpwstr>
  </property>
  <property fmtid="{D5CDD505-2E9C-101B-9397-08002B2CF9AE}" pid="4" name="ICV">
    <vt:lpwstr>5DD982B165364D86A3CD68B0C7911E18_12</vt:lpwstr>
  </property>
</Properties>
</file>