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21212"/>
  <w:body>
    <w:p>
      <w:pPr>
        <w:shd w:fill="121212" w:color="auto" w:val="clear"/>
        <w:spacing w:after="60" w:before="0" w:line="276"/>
      </w:pPr>
      <w:r>
        <w:rPr>
          <w:rFonts w:ascii="Arial" w:cs="Arial" w:eastAsia="Arial" w:hAnsi="Arial"/>
          <w:b/>
          <w:bCs/>
          <w:color w:val="d4af37"/>
          <w:spacing w:val="60"/>
          <w:sz w:val="18"/>
          <w:szCs w:val="18"/>
        </w:rPr>
        <w:t xml:space="preserve">SHIELD: THE 314 COLLECTIVE</w:t>
      </w:r>
    </w:p>
    <w:p>
      <w:pPr>
        <w:pBdr>
          <w:bottom w:val="single" w:color="d4af37" w:sz="12" w:space="6"/>
        </w:pBdr>
        <w:shd w:fill="121212" w:color="auto" w:val="clear"/>
        <w:spacing w:after="140"/>
      </w:pPr>
      <w:r>
        <w:rPr>
          <w:rFonts w:ascii="Arial" w:cs="Arial" w:eastAsia="Arial" w:hAnsi="Arial"/>
          <w:b/>
          <w:bCs/>
          <w:color w:val="d4af37"/>
          <w:sz w:val="44"/>
          <w:szCs w:val="44"/>
        </w:rPr>
        <w:t xml:space="preserve">🛡️ SHIELD Weekly Intelligence Briefing</w:t>
      </w:r>
    </w:p>
    <w:p>
      <w:pPr>
        <w:shd w:fill="121212" w:color="auto" w:val="clear"/>
        <w:spacing w:after="40" w:before="0" w:line="276"/>
      </w:pPr>
      <w:r>
        <w:rPr>
          <w:rFonts w:ascii="Arial" w:cs="Arial" w:eastAsia="Arial" w:hAnsi="Arial"/>
          <w:b/>
          <w:bCs/>
          <w:color w:val="d4af37"/>
          <w:sz w:val="21"/>
          <w:szCs w:val="21"/>
        </w:rPr>
        <w:t xml:space="preserve">Reporting Window: </w:t>
      </w:r>
      <w:r>
        <w:rPr>
          <w:rFonts w:ascii="Arial" w:cs="Arial" w:eastAsia="Arial" w:hAnsi="Arial"/>
          <w:color w:val="e0e0e0"/>
          <w:sz w:val="21"/>
          <w:szCs w:val="21"/>
        </w:rPr>
        <w:t xml:space="preserve">Oct 25 – Oct 30, 2026   |   Issued Oct 30, 2026</w:t>
      </w:r>
    </w:p>
    <w:p>
      <w:pPr>
        <w:shd w:fill="121212" w:color="auto" w:val="clear"/>
        <w:spacing w:after="120" w:before="0" w:line="276"/>
      </w:pPr>
      <w:r>
        <w:rPr>
          <w:rFonts w:ascii="Arial" w:cs="Arial" w:eastAsia="Arial" w:hAnsi="Arial"/>
          <w:b/>
          <w:bCs/>
          <w:color w:val="d4af37"/>
          <w:sz w:val="21"/>
          <w:szCs w:val="21"/>
        </w:rPr>
        <w:t xml:space="preserve">Curated For: </w:t>
      </w:r>
      <w:r>
        <w:rPr>
          <w:rFonts w:ascii="Arial" w:cs="Arial" w:eastAsia="Arial" w:hAnsi="Arial"/>
          <w:color w:val="e0e0e0"/>
          <w:sz w:val="21"/>
          <w:szCs w:val="21"/>
        </w:rPr>
        <w:t xml:space="preserve">Community Banks, Credit Unions, Fintechs, Fraud, BSA/AML, Audit &amp; GRC Practitioners</w:t>
      </w:r>
    </w:p>
    <w:p>
      <w:pPr>
        <w:pStyle w:val="Heading1"/>
        <w:keepNext/>
        <w:pBdr>
          <w:bottom w:val="single" w:color="d4af37" w:sz="8" w:space="4"/>
        </w:pBdr>
        <w:shd w:fill="121212" w:color="auto" w:val="clear"/>
        <w:spacing w:after="140" w:before="320"/>
      </w:pPr>
      <w:r>
        <w:rPr>
          <w:rFonts w:ascii="Arial" w:cs="Arial" w:eastAsia="Arial" w:hAnsi="Arial"/>
          <w:b/>
          <w:bCs/>
          <w:color w:val="d4af37"/>
          <w:sz w:val="28"/>
          <w:szCs w:val="28"/>
        </w:rPr>
        <w:t xml:space="preserve">⚡ 1.  </w:t>
      </w:r>
      <w:r>
        <w:rPr>
          <w:rFonts w:ascii="Arial" w:cs="Arial" w:eastAsia="Arial" w:hAnsi="Arial"/>
          <w:b/>
          <w:bCs/>
          <w:color w:val="d4af37"/>
          <w:sz w:val="28"/>
          <w:szCs w:val="28"/>
        </w:rPr>
        <w:t xml:space="preserve">WEEKLY SIGNAL TL;DR</w:t>
      </w:r>
    </w:p>
    <w:p>
      <w:pPr>
        <w:pStyle w:val="ListParagraph"/>
        <w:numPr>
          <w:ilvl w:val="0"/>
          <w:numId w:val="2"/>
        </w:numPr>
        <w:shd w:fill="121212" w:color="auto" w:val="clear"/>
        <w:spacing w:after="120" w:before="0" w:line="276"/>
      </w:pPr>
      <w:r>
        <w:rPr>
          <w:rFonts w:ascii="Arial" w:cs="Arial" w:eastAsia="Arial" w:hAnsi="Arial"/>
          <w:b/>
          <w:bCs/>
          <w:color w:val="c23b22"/>
          <w:spacing w:val="20"/>
          <w:sz w:val="19"/>
          <w:szCs w:val="19"/>
        </w:rPr>
        <w:t xml:space="preserve">ENFORCEMENT SHIFT   </w:t>
      </w:r>
      <w:r>
        <w:rPr>
          <w:rFonts w:ascii="Arial" w:cs="Arial" w:eastAsia="Arial" w:hAnsi="Arial"/>
          <w:color w:val="e0e0e0"/>
          <w:sz w:val="21"/>
          <w:szCs w:val="21"/>
        </w:rPr>
        <w:t xml:space="preserve">On Oct 28 OFAC sanctioned 10 people and one entity behind North Korean IT worker fraud, including two Russian nationals who converted crypto to cash. Per Tech Times, these are the first OFAC designations of Russian citizens for laundering DPRK IT worker earnings. The scheme depends on stolen or fabricated identities, remote jobs at US firms, and stablecoin payments that look like payroll.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this is an identity fraud and account problem as much as a sanctions one.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check new accounts and direct-deposit changes for remote-worker profiles, and screen your own remote hires.</w:t>
      </w:r>
    </w:p>
    <w:p>
      <w:pPr>
        <w:pStyle w:val="ListParagraph"/>
        <w:numPr>
          <w:ilvl w:val="0"/>
          <w:numId w:val="2"/>
        </w:numPr>
        <w:shd w:fill="121212" w:color="auto" w:val="clear"/>
        <w:spacing w:after="120" w:before="0" w:line="276"/>
      </w:pPr>
      <w:r>
        <w:rPr>
          <w:rFonts w:ascii="Arial" w:cs="Arial" w:eastAsia="Arial" w:hAnsi="Arial"/>
          <w:b/>
          <w:bCs/>
          <w:color w:val="d4af37"/>
          <w:spacing w:val="20"/>
          <w:sz w:val="19"/>
          <w:szCs w:val="19"/>
        </w:rPr>
        <w:t xml:space="preserve">OPERATIONAL VECTOR   </w:t>
      </w:r>
      <w:r>
        <w:rPr>
          <w:rFonts w:ascii="Arial" w:cs="Arial" w:eastAsia="Arial" w:hAnsi="Arial"/>
          <w:color w:val="e0e0e0"/>
          <w:sz w:val="21"/>
          <w:szCs w:val="21"/>
        </w:rPr>
        <w:t xml:space="preserve">The largest crypto theft on record hit Binance on Oct 29: about $6.3 billion drained from hot wallets across 10 blockchains in roughly 20 minutes. TRM Labs and Chainalysis attribute it to North Korea; no government has confirmed that. Stablecoin issuers froze roughly $2.7 to $3 billion within a day, and the attacker still holds billions that cannot be frozen that way.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expect laundering through swaps and OTC desks in the coming weeks, so watch fiat on- and off-ramp activity, wallet-exposure hits, and a wave of opportunistic "recovery" scams aimed at exchange customers.</w:t>
      </w:r>
    </w:p>
    <w:p>
      <w:pPr>
        <w:pStyle w:val="Heading1"/>
        <w:keepNext/>
        <w:pBdr>
          <w:bottom w:val="single" w:color="d4af37" w:sz="8" w:space="4"/>
        </w:pBdr>
        <w:shd w:fill="121212" w:color="auto" w:val="clear"/>
        <w:spacing w:after="140" w:before="320"/>
      </w:pPr>
      <w:r>
        <w:rPr>
          <w:rFonts w:ascii="Arial" w:cs="Arial" w:eastAsia="Arial" w:hAnsi="Arial"/>
          <w:b/>
          <w:bCs/>
          <w:color w:val="d4af37"/>
          <w:sz w:val="28"/>
          <w:szCs w:val="28"/>
        </w:rPr>
        <w:t xml:space="preserve">🔍 2.  </w:t>
      </w:r>
      <w:r>
        <w:rPr>
          <w:rFonts w:ascii="Arial" w:cs="Arial" w:eastAsia="Arial" w:hAnsi="Arial"/>
          <w:b/>
          <w:bCs/>
          <w:color w:val="d4af37"/>
          <w:sz w:val="28"/>
          <w:szCs w:val="28"/>
        </w:rPr>
        <w:t xml:space="preserve">TOP SIGNALS &amp; TYPOLOGY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c23b22" w:sz="30"/>
              <w:bottom w:val="single" w:color="c23b22"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c23b22"/>
                <w:spacing w:val="30"/>
                <w:sz w:val="17"/>
                <w:szCs w:val="17"/>
              </w:rPr>
              <w:t xml:space="preserve">SIGNAL 1 OF 4</w:t>
            </w:r>
          </w:p>
          <w:p>
            <w:pPr>
              <w:shd w:fill="121212" w:color="auto" w:val="clear"/>
              <w:spacing w:after="120"/>
            </w:pPr>
            <w:r>
              <w:rPr>
                <w:rFonts w:ascii="Arial" w:cs="Arial" w:eastAsia="Arial" w:hAnsi="Arial"/>
                <w:b/>
                <w:bCs/>
                <w:color w:val="c23b22"/>
                <w:sz w:val="25"/>
                <w:szCs w:val="25"/>
              </w:rPr>
              <w:t xml:space="preserve">Binance hot wallet theft: a stolen-funds laundering run that will reach fiat rails</w:t>
            </w:r>
          </w:p>
          <w:p>
            <w:pPr>
              <w:shd w:fill="121212" w:color="auto" w:val="clear"/>
              <w:spacing w:after="100" w:before="0" w:line="276"/>
            </w:pPr>
            <w:r>
              <w:rPr>
                <w:rFonts w:ascii="Arial" w:cs="Arial" w:eastAsia="Arial" w:hAnsi="Arial"/>
                <w:b/>
                <w:bCs/>
                <w:color w:val="c23b22"/>
                <w:spacing w:val="20"/>
                <w:sz w:val="19"/>
                <w:szCs w:val="19"/>
              </w:rPr>
              <w:t xml:space="preserve">CORE DOMAIN   </w:t>
            </w:r>
            <w:r>
              <w:rPr>
                <w:rFonts w:ascii="Arial" w:cs="Arial" w:eastAsia="Arial" w:hAnsi="Arial"/>
                <w:color w:val="e0e0e0"/>
                <w:sz w:val="21"/>
                <w:szCs w:val="21"/>
              </w:rPr>
              <w:t xml:space="preserve">Crypto off-ramps; sanctions (DPRK); stablecoin freezes.</w:t>
            </w:r>
          </w:p>
          <w:p>
            <w:pPr>
              <w:shd w:fill="121212" w:color="auto" w:val="clear"/>
              <w:spacing w:after="100" w:before="0" w:line="276"/>
            </w:pPr>
            <w:r>
              <w:rPr>
                <w:rFonts w:ascii="Arial" w:cs="Arial" w:eastAsia="Arial" w:hAnsi="Arial"/>
                <w:b/>
                <w:bCs/>
                <w:color w:val="c23b22"/>
                <w:spacing w:val="20"/>
                <w:sz w:val="19"/>
                <w:szCs w:val="19"/>
              </w:rPr>
              <w:t xml:space="preserve">MECHANISM   </w:t>
            </w:r>
            <w:r>
              <w:rPr>
                <w:rFonts w:ascii="Arial" w:cs="Arial" w:eastAsia="Arial" w:hAnsi="Arial"/>
                <w:color w:val="e0e0e0"/>
                <w:sz w:val="21"/>
                <w:szCs w:val="21"/>
              </w:rPr>
              <w:t xml:space="preserve">Per TRM Labs, the attack began around 20:05 UTC on Oct 29. The attackers compromised the infrastructure Binance uses to sign hot wallet transactions and, on Ethereum, used a single transaction carrying 50 pre-signed authorizations to turn a hot wallet into a sweeper. Most of the roughly $6.36 billion left within about 20 minutes. Binance's early findings point to a compromised DevOps engineer's laptop, and it has since said there were additional points of breach. Amounts differ by source: Chainalysis $5.9 billion, TRM $6.36 billion, Elliptic $6.43 billion, Binance about $6.3 billion; frozen funds run from $2.67 billion (stablecoin freezes by Tether, Circle, Ripple, and World Liberty Financial) to nearly $3 billion (Binance). Reported attacker holdings that cannot be frozen this way range from about $2.4 billion to $3.3 billion. TRM and Chainalysis attribute the theft to TraderTraitor, a DPRK unit, with high confidence; Elliptic urges caution because the laundering speed and method differ from earlier DPRK cases. So far the attacker funded an operator wallet through small Tornado Cash withdrawals and moved funds through large swaps via market makers and DeFi lending, not the bridge-heavy pattern seen after Bybit. Binance suspended deposits and withdrawals, expects to resume within 48 hours, and says it will cover customer losses.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the theft is a crypto event, but the cash-out will come through fiat conversion, and that is where bank accounts get used.</w:t>
            </w:r>
          </w:p>
          <w:p>
            <w:pPr>
              <w:shd w:fill="121212" w:color="auto" w:val="clear"/>
              <w:spacing w:after="100" w:before="0" w:line="276"/>
            </w:pPr>
            <w:r>
              <w:rPr>
                <w:rFonts w:ascii="Arial" w:cs="Arial" w:eastAsia="Arial" w:hAnsi="Arial"/>
                <w:b/>
                <w:bCs/>
                <w:color w:val="c23b22"/>
                <w:spacing w:val="20"/>
                <w:sz w:val="19"/>
                <w:szCs w:val="19"/>
              </w:rPr>
              <w:t xml:space="preserve">PIVOT KEYS   </w:t>
            </w:r>
            <w:r>
              <w:rPr>
                <w:rFonts w:ascii="Arial" w:cs="Arial" w:eastAsia="Arial" w:hAnsi="Arial"/>
                <w:color w:val="e0e0e0"/>
                <w:sz w:val="21"/>
                <w:szCs w:val="21"/>
              </w:rPr>
              <w:t xml:space="preserve">Per The Hacker News, citing Chainalysis, funds from the Binance theft and the earlier Bitget exploit reached the same Ethereum address (0x15104a9ce0f08a8f0075a0869ae80e795fe0feb7); verify with your analytics vendor before acting on it. Other keys: Tornado Cash-funded operator wallets, large swaps through market makers, stablecoin balances held for under an hour before conversion.</w:t>
            </w:r>
          </w:p>
          <w:p>
            <w:pPr>
              <w:shd w:fill="121212" w:color="auto" w:val="clear"/>
              <w:spacing w:after="100" w:before="0" w:line="276"/>
            </w:pPr>
            <w:r>
              <w:rPr>
                <w:rFonts w:ascii="Arial" w:cs="Arial" w:eastAsia="Arial" w:hAnsi="Arial"/>
                <w:b/>
                <w:bCs/>
                <w:color w:val="c23b22"/>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add the published wallet addresses to your wallet-exposure screening if you have it, and flag customers receiving wires or ACH credits from OTC desks or exchanges they have not used before. Prepare staff for customers who ask about frozen exchange balances or get contacted by "recovery services"; that second wave is our expectation, not a reported fact. The freezes also show issuers can and do hold funds, so tell victims of crypto scams that a fast report to the exchange and issuer matters.</w:t>
            </w:r>
          </w:p>
          <w:p>
            <w:pPr>
              <w:shd w:fill="121212" w:color="auto" w:val="clear"/>
              <w:spacing w:after="100" w:before="0" w:line="276"/>
            </w:pPr>
            <w:r>
              <w:rPr>
                <w:rFonts w:ascii="Arial" w:cs="Arial" w:eastAsia="Arial" w:hAnsi="Arial"/>
                <w:b/>
                <w:bCs/>
                <w:color w:val="c23b22"/>
                <w:spacing w:val="20"/>
                <w:sz w:val="19"/>
                <w:szCs w:val="19"/>
              </w:rPr>
              <w:t xml:space="preserve">SOURCE   </w:t>
            </w:r>
            <w:r>
              <w:rPr>
                <w:rFonts w:ascii="Arial" w:cs="Arial" w:eastAsia="Arial" w:hAnsi="Arial"/>
                <w:i/>
                <w:iCs/>
                <w:color w:val="e0e0e0"/>
                <w:sz w:val="21"/>
                <w:szCs w:val="21"/>
              </w:rPr>
              <w:t xml:space="preserve">TRM Labs findings (via Clash Report, Oct 29–30, 2026); The Hacker News, Oct 2026, citing TRM Labs, Chainalysis, and Elliptic. No government has publicly confirmed attribution.</w:t>
            </w:r>
          </w:p>
        </w:tc>
      </w:tr>
    </w:tbl>
    <w:p>
      <w:pPr>
        <w:shd w:fill="121212" w:color="auto" w:val="clear"/>
        <w:spacing w:after="160" w:before="0" w:line="240"/>
      </w:pPr>
      <w:r>
        <w:rPr>
          <w:rFonts w:ascii="Arial" w:cs="Arial" w:eastAsia="Arial" w:hAnsi="Arial"/>
          <w:color w:val="e0e0e0"/>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d4af37" w:sz="30"/>
              <w:bottom w:val="single" w:color="d4af37"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d4af37"/>
                <w:spacing w:val="30"/>
                <w:sz w:val="17"/>
                <w:szCs w:val="17"/>
              </w:rPr>
              <w:t xml:space="preserve">SIGNAL 2 OF 4</w:t>
            </w:r>
          </w:p>
          <w:p>
            <w:pPr>
              <w:shd w:fill="121212" w:color="auto" w:val="clear"/>
              <w:spacing w:after="120"/>
            </w:pPr>
            <w:r>
              <w:rPr>
                <w:rFonts w:ascii="Arial" w:cs="Arial" w:eastAsia="Arial" w:hAnsi="Arial"/>
                <w:b/>
                <w:bCs/>
                <w:color w:val="d4af37"/>
                <w:sz w:val="25"/>
                <w:szCs w:val="25"/>
              </w:rPr>
              <w:t xml:space="preserve">North Korean IT workers: stolen identities, payroll-style stablecoin flows, and laptop farms</w:t>
            </w:r>
          </w:p>
          <w:p>
            <w:pPr>
              <w:shd w:fill="121212" w:color="auto" w:val="clear"/>
              <w:spacing w:after="100" w:before="0" w:line="276"/>
            </w:pPr>
            <w:r>
              <w:rPr>
                <w:rFonts w:ascii="Arial" w:cs="Arial" w:eastAsia="Arial" w:hAnsi="Arial"/>
                <w:b/>
                <w:bCs/>
                <w:color w:val="d4af37"/>
                <w:spacing w:val="20"/>
                <w:sz w:val="19"/>
                <w:szCs w:val="19"/>
              </w:rPr>
              <w:t xml:space="preserve">CORE DOMAIN   </w:t>
            </w:r>
            <w:r>
              <w:rPr>
                <w:rFonts w:ascii="Arial" w:cs="Arial" w:eastAsia="Arial" w:hAnsi="Arial"/>
                <w:color w:val="e0e0e0"/>
                <w:sz w:val="21"/>
                <w:szCs w:val="21"/>
              </w:rPr>
              <w:t xml:space="preserve">Synthetic and stolen identity; deposit accounts; AI-assisted deception; sanctions.</w:t>
            </w:r>
          </w:p>
          <w:p>
            <w:pPr>
              <w:shd w:fill="121212" w:color="auto" w:val="clear"/>
              <w:spacing w:after="100" w:before="0" w:line="276"/>
            </w:pPr>
            <w:r>
              <w:rPr>
                <w:rFonts w:ascii="Arial" w:cs="Arial" w:eastAsia="Arial" w:hAnsi="Arial"/>
                <w:b/>
                <w:bCs/>
                <w:color w:val="d4af37"/>
                <w:spacing w:val="20"/>
                <w:sz w:val="19"/>
                <w:szCs w:val="19"/>
              </w:rPr>
              <w:t xml:space="preserve">MECHANISM   </w:t>
            </w:r>
            <w:r>
              <w:rPr>
                <w:rFonts w:ascii="Arial" w:cs="Arial" w:eastAsia="Arial" w:hAnsi="Arial"/>
                <w:color w:val="e0e0e0"/>
                <w:sz w:val="21"/>
                <w:szCs w:val="21"/>
              </w:rPr>
              <w:t xml:space="preserve">OFAC's Oct 28 action named two Russian nationals (Ilya Boykov and Vitold Obertas) who converted crypto to cash, two DPRK nationals who manage IT worker groups in Russia, six Russia-based IT workers, and First Financial and Technical Development Center (FFTDC), a DPRK-controlled company. Per Chainalysis, workers get jobs at US and other firms under stolen or fabricated identities, placed through front companies such as Alis and Amnokgang. The money comes back as stablecoin inflows that resemble bi-weekly payroll, is converted to ETH, consolidated into addresses tied to sanctioned entities, and cashed out through the sanctioned exchange Garantex. Some US-based facilitators ran "laptop farms" to fake a domestic presence. Workers use generative AI for résumés and, in some cases, AI-generated photos or deepfake video in hiring calls. Obertas allegedly laundered about $3.25 million for Amnokgang since January 2025, and Boykov about $3.5 million in crypto since 2024. Revenue estimates vary widely: a UN Panel of Experts range of $250 to $600 million a year (Chainalysis) against a Treasury estimate of nearly $800 million in 2024 salary payments (Tech Times, basis not explained).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each placed worker needs a real-looking identity, a US-facing bank account, and a way to get paid, and every one of those touches a bank or a bank's customer.</w:t>
            </w:r>
          </w:p>
          <w:p>
            <w:pPr>
              <w:shd w:fill="121212" w:color="auto" w:val="clear"/>
              <w:spacing w:after="100" w:before="0" w:line="276"/>
            </w:pPr>
            <w:r>
              <w:rPr>
                <w:rFonts w:ascii="Arial" w:cs="Arial" w:eastAsia="Arial" w:hAnsi="Arial"/>
                <w:b/>
                <w:bCs/>
                <w:color w:val="d4af37"/>
                <w:spacing w:val="20"/>
                <w:sz w:val="19"/>
                <w:szCs w:val="19"/>
              </w:rPr>
              <w:t xml:space="preserve">PIVOT KEYS   </w:t>
            </w:r>
            <w:r>
              <w:rPr>
                <w:rFonts w:ascii="Arial" w:cs="Arial" w:eastAsia="Arial" w:hAnsi="Arial"/>
                <w:color w:val="e0e0e0"/>
                <w:sz w:val="21"/>
                <w:szCs w:val="21"/>
              </w:rPr>
              <w:t xml:space="preserve">The designated names and front companies (Alis, Amnokgang, FFTDC) in the OFAC release; residential addresses receiving multiple company laptops; payroll-like recurring credits followed by same-day conversion; VPN or proxy-masked logins that conflict with a stated location.</w:t>
            </w:r>
          </w:p>
          <w:p>
            <w:pPr>
              <w:shd w:fill="121212" w:color="auto" w:val="clear"/>
              <w:spacing w:after="100" w:before="0" w:line="276"/>
            </w:pPr>
            <w:r>
              <w:rPr>
                <w:rFonts w:ascii="Arial" w:cs="Arial" w:eastAsia="Arial" w:hAnsi="Arial"/>
                <w:b/>
                <w:bCs/>
                <w:color w:val="d4af37"/>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screen new SDN entries against customers and counterparties, and review new deposit accounts for remote-worker profiles with employer direct deposits from several staffing or contracting firms. If your bank hires remote IT staff or contractors, run the same checks on your own pipeline: ID and selfie consistency, live video that cannot be re-run, and shipping address against stated location.</w:t>
            </w:r>
          </w:p>
          <w:p>
            <w:pPr>
              <w:shd w:fill="121212" w:color="auto" w:val="clear"/>
              <w:spacing w:after="100" w:before="0" w:line="276"/>
            </w:pPr>
            <w:r>
              <w:rPr>
                <w:rFonts w:ascii="Arial" w:cs="Arial" w:eastAsia="Arial" w:hAnsi="Arial"/>
                <w:b/>
                <w:bCs/>
                <w:color w:val="d4af37"/>
                <w:spacing w:val="20"/>
                <w:sz w:val="19"/>
                <w:szCs w:val="19"/>
              </w:rPr>
              <w:t xml:space="preserve">SOURCE   </w:t>
            </w:r>
            <w:r>
              <w:rPr>
                <w:rFonts w:ascii="Arial" w:cs="Arial" w:eastAsia="Arial" w:hAnsi="Arial"/>
                <w:i/>
                <w:iCs/>
                <w:color w:val="e0e0e0"/>
                <w:sz w:val="21"/>
                <w:szCs w:val="21"/>
              </w:rPr>
              <w:t xml:space="preserve">U.S. Treasury / OFAC action, Oct 28, 2026 (as reported by Chainalysis and Tech Times, Oct 28–29, 2026).</w:t>
            </w:r>
          </w:p>
        </w:tc>
      </w:tr>
    </w:tbl>
    <w:p>
      <w:pPr>
        <w:shd w:fill="121212" w:color="auto" w:val="clear"/>
        <w:spacing w:after="160" w:before="0" w:line="240"/>
      </w:pPr>
      <w:r>
        <w:rPr>
          <w:rFonts w:ascii="Arial" w:cs="Arial" w:eastAsia="Arial" w:hAnsi="Arial"/>
          <w:color w:val="e0e0e0"/>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b85d33" w:sz="30"/>
              <w:bottom w:val="single" w:color="b85d33"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b85d33"/>
                <w:spacing w:val="30"/>
                <w:sz w:val="17"/>
                <w:szCs w:val="17"/>
              </w:rPr>
              <w:t xml:space="preserve">SIGNAL 3 OF 4</w:t>
            </w:r>
          </w:p>
          <w:p>
            <w:pPr>
              <w:shd w:fill="121212" w:color="auto" w:val="clear"/>
              <w:spacing w:after="120"/>
            </w:pPr>
            <w:r>
              <w:rPr>
                <w:rFonts w:ascii="Arial" w:cs="Arial" w:eastAsia="Arial" w:hAnsi="Arial"/>
                <w:b/>
                <w:bCs/>
                <w:color w:val="b85d33"/>
                <w:sz w:val="25"/>
                <w:szCs w:val="25"/>
              </w:rPr>
              <w:t xml:space="preserve">Romance and BEC wires: victims who become mules for other victims</w:t>
            </w:r>
          </w:p>
          <w:p>
            <w:pPr>
              <w:shd w:fill="121212" w:color="auto" w:val="clear"/>
              <w:spacing w:after="100" w:before="0" w:line="276"/>
            </w:pPr>
            <w:r>
              <w:rPr>
                <w:rFonts w:ascii="Arial" w:cs="Arial" w:eastAsia="Arial" w:hAnsi="Arial"/>
                <w:b/>
                <w:bCs/>
                <w:color w:val="b85d33"/>
                <w:spacing w:val="20"/>
                <w:sz w:val="19"/>
                <w:szCs w:val="19"/>
              </w:rPr>
              <w:t xml:space="preserve">CORE DOMAIN   </w:t>
            </w:r>
            <w:r>
              <w:rPr>
                <w:rFonts w:ascii="Arial" w:cs="Arial" w:eastAsia="Arial" w:hAnsi="Arial"/>
                <w:color w:val="e0e0e0"/>
                <w:sz w:val="21"/>
                <w:szCs w:val="21"/>
              </w:rPr>
              <w:t xml:space="preserve">Wire fraud; business email compromise; mule accounts; elder exploitation.</w:t>
            </w:r>
          </w:p>
          <w:p>
            <w:pPr>
              <w:shd w:fill="121212" w:color="auto" w:val="clear"/>
              <w:spacing w:after="100" w:before="0" w:line="276"/>
            </w:pPr>
            <w:r>
              <w:rPr>
                <w:rFonts w:ascii="Arial" w:cs="Arial" w:eastAsia="Arial" w:hAnsi="Arial"/>
                <w:b/>
                <w:bCs/>
                <w:color w:val="b85d33"/>
                <w:spacing w:val="20"/>
                <w:sz w:val="19"/>
                <w:szCs w:val="19"/>
              </w:rPr>
              <w:t xml:space="preserve">MECHANISM   </w:t>
            </w:r>
            <w:r>
              <w:rPr>
                <w:rFonts w:ascii="Arial" w:cs="Arial" w:eastAsia="Arial" w:hAnsi="Arial"/>
                <w:color w:val="e0e0e0"/>
                <w:sz w:val="21"/>
                <w:szCs w:val="21"/>
              </w:rPr>
              <w:t xml:space="preserve">SDNY announced on Oct 29 that Isaac Oduro Boateng ("Kofi Boat") and Inusah Ahmed ("Pascal"), both of Ghana, each pleaded guilty to conspiracy to commit wire fraud (Ahmed on Oct 27, Boateng on Oct 29). Both were described as "chairmen" who helped run the enterprise, which allegedly stole and laundered more than $100 million from dozens of victims. Members used fake identities to build online romantic relationships, often with vulnerable older victims, then got them to send money or to help launder other victims' funds. The group also ran business email compromise schemes that got companies to wire money to the enterprise, and proceeds were laundered to West Africa. Boateng agreed to restitution and forfeiture of about $12.5 million, and Ahmed about $28.6 million. One co-defendant was previously sentenced to 85 months and another remains at large.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the account you are looking at may belong to a victim who is moving someone else's money and does not know it.</w:t>
            </w:r>
          </w:p>
          <w:p>
            <w:pPr>
              <w:shd w:fill="121212" w:color="auto" w:val="clear"/>
              <w:spacing w:after="100" w:before="0" w:line="276"/>
            </w:pPr>
            <w:r>
              <w:rPr>
                <w:rFonts w:ascii="Arial" w:cs="Arial" w:eastAsia="Arial" w:hAnsi="Arial"/>
                <w:b/>
                <w:bCs/>
                <w:color w:val="b85d33"/>
                <w:spacing w:val="20"/>
                <w:sz w:val="19"/>
                <w:szCs w:val="19"/>
              </w:rPr>
              <w:t xml:space="preserve">PIVOT KEYS   </w:t>
            </w:r>
            <w:r>
              <w:rPr>
                <w:rFonts w:ascii="Arial" w:cs="Arial" w:eastAsia="Arial" w:hAnsi="Arial"/>
                <w:color w:val="e0e0e0"/>
                <w:sz w:val="21"/>
                <w:szCs w:val="21"/>
              </w:rPr>
              <w:t xml:space="preserve">Aliases in the SDNY release; first-time international wires from older customers; a newly added beneficiary on a business account right after an email change request; inbound third-party credits to a retiree's account followed by a same-day outbound wire.</w:t>
            </w:r>
          </w:p>
          <w:p>
            <w:pPr>
              <w:shd w:fill="121212" w:color="auto" w:val="clear"/>
              <w:spacing w:after="100" w:before="0" w:line="276"/>
            </w:pPr>
            <w:r>
              <w:rPr>
                <w:rFonts w:ascii="Arial" w:cs="Arial" w:eastAsia="Arial" w:hAnsi="Arial"/>
                <w:b/>
                <w:bCs/>
                <w:color w:val="b85d33"/>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start wire recall the same day for any BEC or romance report, and handle the account holder as a possible victim-mule: ask who asked them to receive or forward money before you decide on closure or SAR language. FinCEN's Sept 3 alert on digital asset investment scam centers (FIN-2026-Alert005) is the matching red-flag list.</w:t>
            </w:r>
          </w:p>
          <w:p>
            <w:pPr>
              <w:shd w:fill="121212" w:color="auto" w:val="clear"/>
              <w:spacing w:after="100" w:before="0" w:line="276"/>
            </w:pPr>
            <w:r>
              <w:rPr>
                <w:rFonts w:ascii="Arial" w:cs="Arial" w:eastAsia="Arial" w:hAnsi="Arial"/>
                <w:b/>
                <w:bCs/>
                <w:color w:val="b85d33"/>
                <w:spacing w:val="20"/>
                <w:sz w:val="19"/>
                <w:szCs w:val="19"/>
              </w:rPr>
              <w:t xml:space="preserve">SOURCE   </w:t>
            </w:r>
            <w:r>
              <w:rPr>
                <w:rFonts w:ascii="Arial" w:cs="Arial" w:eastAsia="Arial" w:hAnsi="Arial"/>
                <w:i/>
                <w:iCs/>
                <w:color w:val="e0e0e0"/>
                <w:sz w:val="21"/>
                <w:szCs w:val="21"/>
              </w:rPr>
              <w:t xml:space="preserve">DOJ, U.S. Attorney's Office SDNY, announcement of Oct 29, 2026 (full text via GhanaWeb); FinCEN Alert FIN-2026-Alert005, Sept 3, 2026.</w:t>
            </w:r>
          </w:p>
        </w:tc>
      </w:tr>
    </w:tbl>
    <w:p>
      <w:pPr>
        <w:shd w:fill="121212" w:color="auto" w:val="clear"/>
        <w:spacing w:after="160" w:before="0" w:line="240"/>
      </w:pPr>
      <w:r>
        <w:rPr>
          <w:rFonts w:ascii="Arial" w:cs="Arial" w:eastAsia="Arial" w:hAnsi="Arial"/>
          <w:color w:val="e0e0e0"/>
          <w:sz w:val="4"/>
          <w:szCs w:val="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121212" w:sz="0"/>
              <w:left w:val="single" w:color="228b22" w:sz="30"/>
              <w:bottom w:val="single" w:color="228b22" w:sz="4"/>
              <w:right w:val="none" w:color="121212" w:sz="0"/>
            </w:tcBorders>
            <w:shd w:fill="121212" w:color="auto" w:val="clear"/>
            <w:tcMar>
              <w:top w:type="dxa" w:w="140"/>
              <w:left w:type="dxa" w:w="220"/>
              <w:bottom w:type="dxa" w:w="80"/>
              <w:right w:type="dxa" w:w="160"/>
            </w:tcMar>
          </w:tcPr>
          <w:p>
            <w:pPr>
              <w:shd w:fill="121212" w:color="auto" w:val="clear"/>
              <w:spacing w:after="40"/>
            </w:pPr>
            <w:r>
              <w:rPr>
                <w:rFonts w:ascii="Arial" w:cs="Arial" w:eastAsia="Arial" w:hAnsi="Arial"/>
                <w:b/>
                <w:bCs/>
                <w:color w:val="228b22"/>
                <w:spacing w:val="30"/>
                <w:sz w:val="17"/>
                <w:szCs w:val="17"/>
              </w:rPr>
              <w:t xml:space="preserve">SIGNAL 4 OF 4</w:t>
            </w:r>
          </w:p>
          <w:p>
            <w:pPr>
              <w:shd w:fill="121212" w:color="auto" w:val="clear"/>
              <w:spacing w:after="120"/>
            </w:pPr>
            <w:r>
              <w:rPr>
                <w:rFonts w:ascii="Arial" w:cs="Arial" w:eastAsia="Arial" w:hAnsi="Arial"/>
                <w:b/>
                <w:bCs/>
                <w:color w:val="228b22"/>
                <w:sz w:val="25"/>
                <w:szCs w:val="25"/>
              </w:rPr>
              <w:t xml:space="preserve">Thinner ownership data, same shell company laundering</w:t>
            </w:r>
          </w:p>
          <w:p>
            <w:pPr>
              <w:shd w:fill="121212" w:color="auto" w:val="clear"/>
              <w:spacing w:after="100" w:before="0" w:line="276"/>
            </w:pPr>
            <w:r>
              <w:rPr>
                <w:rFonts w:ascii="Arial" w:cs="Arial" w:eastAsia="Arial" w:hAnsi="Arial"/>
                <w:b/>
                <w:bCs/>
                <w:color w:val="228b22"/>
                <w:spacing w:val="20"/>
                <w:sz w:val="19"/>
                <w:szCs w:val="19"/>
              </w:rPr>
              <w:t xml:space="preserve">CORE DOMAIN   </w:t>
            </w:r>
            <w:r>
              <w:rPr>
                <w:rFonts w:ascii="Arial" w:cs="Arial" w:eastAsia="Arial" w:hAnsi="Arial"/>
                <w:color w:val="e0e0e0"/>
                <w:sz w:val="21"/>
                <w:szCs w:val="21"/>
              </w:rPr>
              <w:t xml:space="preserve">Corporate registry anomalies; business account opening; CDD and beneficial ownership.</w:t>
            </w:r>
          </w:p>
          <w:p>
            <w:pPr>
              <w:shd w:fill="121212" w:color="auto" w:val="clear"/>
              <w:spacing w:after="100" w:before="0" w:line="276"/>
            </w:pPr>
            <w:r>
              <w:rPr>
                <w:rFonts w:ascii="Arial" w:cs="Arial" w:eastAsia="Arial" w:hAnsi="Arial"/>
                <w:b/>
                <w:bCs/>
                <w:color w:val="228b22"/>
                <w:spacing w:val="20"/>
                <w:sz w:val="19"/>
                <w:szCs w:val="19"/>
              </w:rPr>
              <w:t xml:space="preserve">MECHANISM   </w:t>
            </w:r>
            <w:r>
              <w:rPr>
                <w:rFonts w:ascii="Arial" w:cs="Arial" w:eastAsia="Arial" w:hAnsi="Arial"/>
                <w:color w:val="e0e0e0"/>
                <w:sz w:val="21"/>
                <w:szCs w:val="21"/>
              </w:rPr>
              <w:t xml:space="preserve">Per InvestmentNews, a FinCEN final rule published Aug 14 made the Corporate Transparency Act reporting exemption for domestic companies permanent, cutting the reporting population from roughly 32.5 million entities to about 28,000 foreign companies, with about 15 million existing reports slated for deletion by February 2027. On Oct 27, 21 states sued in the District of Oregon (State of Oregon v. Bessent) to vacate the exemption and block the deletion, and FinCEN denied an Illinois regulator's request for database access. Meanwhile, a DOJ case reported in a weekly enforcement digest shows the pattern the data was meant to expose: Shu Jun Zhen was sentenced on Oct 21 to nine years and ordered to forfeit about $23 million for laundering more than $92 million by placing bulk cash and deposits into shell-company bank accounts using real and false identities.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for most US shells, your own CDD file is now the only ownership record, and the lawsuit will not change that for months.</w:t>
            </w:r>
          </w:p>
          <w:p>
            <w:pPr>
              <w:shd w:fill="121212" w:color="auto" w:val="clear"/>
              <w:spacing w:after="100" w:before="0" w:line="276"/>
            </w:pPr>
            <w:r>
              <w:rPr>
                <w:rFonts w:ascii="Arial" w:cs="Arial" w:eastAsia="Arial" w:hAnsi="Arial"/>
                <w:b/>
                <w:bCs/>
                <w:color w:val="228b22"/>
                <w:spacing w:val="20"/>
                <w:sz w:val="19"/>
                <w:szCs w:val="19"/>
              </w:rPr>
              <w:t xml:space="preserve">PIVOT KEYS   </w:t>
            </w:r>
            <w:r>
              <w:rPr>
                <w:rFonts w:ascii="Arial" w:cs="Arial" w:eastAsia="Arial" w:hAnsi="Arial"/>
                <w:color w:val="e0e0e0"/>
                <w:sz w:val="21"/>
                <w:szCs w:val="21"/>
              </w:rPr>
              <w:t xml:space="preserve">Registered agent and address shared across unrelated applicants; formation date within weeks of the account application; officers and signers that repeat across entities; one phone number or email across several businesses; cash deposit volume out of line with the stated business.</w:t>
            </w:r>
          </w:p>
          <w:p>
            <w:pPr>
              <w:shd w:fill="121212" w:color="auto" w:val="clear"/>
              <w:spacing w:after="100" w:before="0" w:line="276"/>
            </w:pPr>
            <w:r>
              <w:rPr>
                <w:rFonts w:ascii="Arial" w:cs="Arial" w:eastAsia="Arial" w:hAnsi="Arial"/>
                <w:b/>
                <w:bCs/>
                <w:color w:val="228b22"/>
                <w:spacing w:val="20"/>
                <w:sz w:val="19"/>
                <w:szCs w:val="19"/>
              </w:rPr>
              <w:t xml:space="preserve">FRONTLINE IMPACT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collect and verify beneficial ownership at onboarding, pull the state Secretary of State filing and compare officers, address, and formation date to the application, and set a refresh date for high-risk business accounts. Document what you checked, since that file is what an examiner or investigator will ask for.</w:t>
            </w:r>
          </w:p>
          <w:p>
            <w:pPr>
              <w:shd w:fill="121212" w:color="auto" w:val="clear"/>
              <w:spacing w:after="100" w:before="0" w:line="276"/>
            </w:pPr>
            <w:r>
              <w:rPr>
                <w:rFonts w:ascii="Arial" w:cs="Arial" w:eastAsia="Arial" w:hAnsi="Arial"/>
                <w:b/>
                <w:bCs/>
                <w:color w:val="228b22"/>
                <w:spacing w:val="20"/>
                <w:sz w:val="19"/>
                <w:szCs w:val="19"/>
              </w:rPr>
              <w:t xml:space="preserve">SOURCE   </w:t>
            </w:r>
            <w:r>
              <w:rPr>
                <w:rFonts w:ascii="Arial" w:cs="Arial" w:eastAsia="Arial" w:hAnsi="Arial"/>
                <w:i/>
                <w:iCs/>
                <w:color w:val="e0e0e0"/>
                <w:sz w:val="21"/>
                <w:szCs w:val="21"/>
              </w:rPr>
              <w:t xml:space="preserve">InvestmentNews on the FinCEN BOI rule (Oct 2026); Weekly Enforcement &amp; Compliance Insight Digest, week ending Oct 26, 2026 (DOJ sentencing of Oct 21).</w:t>
            </w:r>
          </w:p>
        </w:tc>
      </w:tr>
    </w:tbl>
    <w:p>
      <w:pPr>
        <w:keepNext/>
        <w:shd w:fill="121212" w:color="auto" w:val="clear"/>
        <w:spacing w:after="100" w:before="240"/>
      </w:pPr>
      <w:r>
        <w:rPr>
          <w:rFonts w:ascii="Arial" w:cs="Arial" w:eastAsia="Arial" w:hAnsi="Arial"/>
          <w:b/>
          <w:bCs/>
          <w:color w:val="d4af37"/>
          <w:spacing w:val="30"/>
          <w:sz w:val="22"/>
          <w:szCs w:val="22"/>
        </w:rPr>
        <w:t xml:space="preserve">WATCH LIST (BELOW THE SIGNAL THRESHOLD)</w:t>
      </w:r>
    </w:p>
    <w:p>
      <w:pPr>
        <w:pStyle w:val="ListParagraph"/>
        <w:numPr>
          <w:ilvl w:val="0"/>
          <w:numId w:val="2"/>
        </w:numPr>
        <w:shd w:fill="121212" w:color="auto" w:val="clear"/>
        <w:spacing w:after="80" w:before="0" w:line="276"/>
      </w:pPr>
      <w:r>
        <w:rPr>
          <w:rFonts w:ascii="Arial" w:cs="Arial" w:eastAsia="Arial" w:hAnsi="Arial"/>
          <w:b/>
          <w:bCs/>
          <w:color w:val="c23b22"/>
          <w:sz w:val="21"/>
          <w:szCs w:val="21"/>
        </w:rPr>
        <w:t xml:space="preserve">FTC impersonation push (Oct 29). </w:t>
      </w:r>
      <w:r>
        <w:rPr>
          <w:rFonts w:ascii="Arial" w:cs="Arial" w:eastAsia="Arial" w:hAnsi="Arial"/>
          <w:color w:val="e0e0e0"/>
          <w:sz w:val="21"/>
          <w:szCs w:val="21"/>
        </w:rPr>
        <w:t xml:space="preserve">The FTC said registrars took down 19 fake FTC websites after its letters, and that it has secured more than $80 million in redress since the Impersonation Rule took effect in 2024, through 14 actions. Eight cases since April 2025 include Credit Glory, a credit repair scheme that impersonated debt collectors and creditors and took about $200 million. The FTC is also seeking public comment on whether to update the rule or write a new one covering platforms' ad-optimization tools that scammers may use; this confirms an item we flagged last week as unconfirmed.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add "the FTC told me to move my money" to your impersonation scripts, since customers get fake agency sites in search results.</w:t>
      </w:r>
    </w:p>
    <w:p>
      <w:pPr>
        <w:pStyle w:val="ListParagraph"/>
        <w:numPr>
          <w:ilvl w:val="0"/>
          <w:numId w:val="2"/>
        </w:numPr>
        <w:shd w:fill="121212" w:color="auto" w:val="clear"/>
        <w:spacing w:after="80" w:before="0" w:line="276"/>
      </w:pPr>
      <w:r>
        <w:rPr>
          <w:rFonts w:ascii="Arial" w:cs="Arial" w:eastAsia="Arial" w:hAnsi="Arial"/>
          <w:b/>
          <w:bCs/>
          <w:color w:val="b85d33"/>
          <w:sz w:val="21"/>
          <w:szCs w:val="21"/>
        </w:rPr>
        <w:t xml:space="preserve">Late catches from last week's window. </w:t>
      </w:r>
      <w:r>
        <w:rPr>
          <w:rFonts w:ascii="Arial" w:cs="Arial" w:eastAsia="Arial" w:hAnsi="Arial"/>
          <w:color w:val="e0e0e0"/>
          <w:sz w:val="21"/>
          <w:szCs w:val="21"/>
        </w:rPr>
        <w:t xml:space="preserve">A weekly enforcement digest lists three DOJ items dated Oct 20–23 that we missed. Robert Wayne Boling Jr. pleaded guilty on Oct 20 to using stolen personal data of thousands of servicemembers and veterans to take over bank and benefits accounts, with mule accounts receiving proceeds and sending remittances to the Philippines. Zheng Zhao was extradited and arraigned on Oct 23 in an alleged crypto investment scam with 174 US victims, with more than $36.9 million moved from US accounts to one Bahamas bank account (charges unproven).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account takeover feeding mule accounts, and one foreign account collecting from many US victims, are the two patterns worth a rule review.</w:t>
      </w:r>
    </w:p>
    <w:p>
      <w:pPr>
        <w:pStyle w:val="ListParagraph"/>
        <w:numPr>
          <w:ilvl w:val="0"/>
          <w:numId w:val="2"/>
        </w:numPr>
        <w:shd w:fill="121212" w:color="auto" w:val="clear"/>
        <w:spacing w:after="80" w:before="0" w:line="276"/>
      </w:pPr>
      <w:r>
        <w:rPr>
          <w:rFonts w:ascii="Arial" w:cs="Arial" w:eastAsia="Arial" w:hAnsi="Arial"/>
          <w:b/>
          <w:bCs/>
          <w:color w:val="228b22"/>
          <w:sz w:val="21"/>
          <w:szCs w:val="21"/>
        </w:rPr>
        <w:t xml:space="preserve">SEC crypto "signals" case (Oct 29). </w:t>
      </w:r>
      <w:r>
        <w:rPr>
          <w:rFonts w:ascii="Arial" w:cs="Arial" w:eastAsia="Arial" w:hAnsi="Arial"/>
          <w:color w:val="e0e0e0"/>
          <w:sz w:val="21"/>
          <w:szCs w:val="21"/>
        </w:rPr>
        <w:t xml:space="preserve">Per a regulatory weekly, the SEC charged BG Wealth Sharing Ltd and DSJ Exchange Pty Ltd with raising more than $130 million from retail investors, alleging false Form ADV and Form D filings and fake certificates bearing the SEC seal. </w:t>
      </w:r>
      <w:r>
        <w:rPr>
          <w:rFonts w:ascii="Arial" w:cs="Arial" w:eastAsia="Arial" w:hAnsi="Arial"/>
          <w:b/>
          <w:bCs/>
          <w:color w:val="e0e0e0"/>
          <w:sz w:val="21"/>
          <w:szCs w:val="21"/>
        </w:rPr>
        <w:t xml:space="preserve">Operational takeaway: </w:t>
      </w:r>
      <w:r>
        <w:rPr>
          <w:rFonts w:ascii="Arial" w:cs="Arial" w:eastAsia="Arial" w:hAnsi="Arial"/>
          <w:color w:val="e0e0e0"/>
          <w:sz w:val="21"/>
          <w:szCs w:val="21"/>
        </w:rPr>
        <w:t xml:space="preserve">a customer showing a certificate with a regulator seal is not evidence of legitimacy; ask where they found the platform.</w:t>
      </w:r>
    </w:p>
    <w:p>
      <w:pPr>
        <w:pStyle w:val="ListParagraph"/>
        <w:numPr>
          <w:ilvl w:val="0"/>
          <w:numId w:val="2"/>
        </w:numPr>
        <w:shd w:fill="121212" w:color="auto" w:val="clear"/>
        <w:spacing w:after="80" w:before="0" w:line="276"/>
      </w:pPr>
      <w:r>
        <w:rPr>
          <w:rFonts w:ascii="Arial" w:cs="Arial" w:eastAsia="Arial" w:hAnsi="Arial"/>
          <w:b/>
          <w:bCs/>
          <w:color w:val="b85d33"/>
          <w:sz w:val="21"/>
          <w:szCs w:val="21"/>
        </w:rPr>
        <w:t xml:space="preserve">Stablecoin issuance opens to community banks. </w:t>
      </w:r>
      <w:r>
        <w:rPr>
          <w:rFonts w:ascii="Arial" w:cs="Arial" w:eastAsia="Arial" w:hAnsi="Arial"/>
          <w:color w:val="e0e0e0"/>
          <w:sz w:val="21"/>
          <w:szCs w:val="21"/>
        </w:rPr>
        <w:t xml:space="preserve">Per the same weekly, the OCC encouraged community banks on Oct 26 to consider becoming permitted payment stablecoin issuers (Bulletin 2026-50), following its Oct 21 GENIUS Act final rule. We could not confirm this against the OCC's own site. </w:t>
      </w:r>
      <w:r>
        <w:rPr>
          <w:rFonts w:ascii="Arial" w:cs="Arial" w:eastAsia="Arial" w:hAnsi="Arial"/>
          <w:b/>
          <w:bCs/>
          <w:color w:val="e0e0e0"/>
          <w:sz w:val="21"/>
          <w:szCs w:val="21"/>
        </w:rPr>
        <w:t xml:space="preserve">Our read: </w:t>
      </w:r>
      <w:r>
        <w:rPr>
          <w:rFonts w:ascii="Arial" w:cs="Arial" w:eastAsia="Arial" w:hAnsi="Arial"/>
          <w:color w:val="e0e0e0"/>
          <w:sz w:val="21"/>
          <w:szCs w:val="21"/>
        </w:rPr>
        <w:t xml:space="preserve">a new product is a new fraud surface; if your institution is considering it, fraud and BSA staff should be in the design room before launch.</w:t>
      </w:r>
    </w:p>
    <w:p>
      <w:pPr>
        <w:pStyle w:val="Heading1"/>
        <w:keepNext/>
        <w:pBdr>
          <w:bottom w:val="single" w:color="c23b22" w:sz="8" w:space="4"/>
        </w:pBdr>
        <w:shd w:fill="121212" w:color="auto" w:val="clear"/>
        <w:spacing w:after="140" w:before="320"/>
      </w:pPr>
      <w:r>
        <w:rPr>
          <w:rFonts w:ascii="Arial" w:cs="Arial" w:eastAsia="Arial" w:hAnsi="Arial"/>
          <w:b/>
          <w:bCs/>
          <w:color w:val="c23b22"/>
          <w:sz w:val="28"/>
          <w:szCs w:val="28"/>
        </w:rPr>
        <w:t xml:space="preserve">🚩 3.  </w:t>
      </w:r>
      <w:r>
        <w:rPr>
          <w:rFonts w:ascii="Arial" w:cs="Arial" w:eastAsia="Arial" w:hAnsi="Arial"/>
          <w:b/>
          <w:bCs/>
          <w:color w:val="c23b22"/>
          <w:sz w:val="28"/>
          <w:szCs w:val="28"/>
        </w:rPr>
        <w:t xml:space="preserve">FRONTLINE RED FLAGS &amp; QUEUE INDICATORS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QUEUE / AREA</w:t>
            </w:r>
          </w:p>
        </w:tc>
        <w:tc>
          <w:tcPr>
            <w:tcW w:type="dxa" w:w="768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WHAT TO WATCH FOR</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d4af37"/>
                <w:sz w:val="20"/>
                <w:szCs w:val="20"/>
              </w:rPr>
              <w:t xml:space="preserve">Branch / teller line</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retiree who asks for a first international wire and mentions an online relationship, or says they are "helping a friend" move money received from someone else.</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customer on an open phone call during the transaction, or one who says someone told them to keep the transfer from family.</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customer who asks about frozen exchange balances or says a "recovery service" called them after a crypto loss. Treat it as a probable second scam.</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b85d33"/>
                <w:sz w:val="20"/>
                <w:szCs w:val="20"/>
              </w:rPr>
              <w:t xml:space="preserve">New accounts / onboarding</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Remote-worker profiles: new account, out-of-area address, direct deposits from several staffing or contracting firms, no local ties, and a stated employer that cannot be reached.</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Business applicants with a registered agent or address that repeats across unrelated entities, a formation date within weeks of the application, or signers who appear on several other entities. Compare the Secretary of State record with the application, and run WHOIS on the business domain.</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shell-type business expecting heavy cash deposits that do not match its stated activity.</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228b22"/>
                <w:sz w:val="20"/>
                <w:szCs w:val="20"/>
              </w:rPr>
              <w:t xml:space="preserve">Digital onboarding / IDV</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ID photo and selfie that disagree on apparent age or sex, or a selfie that looks blended or too smooth.</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Several applications from one device or IP address with different ID documents, VPN or proxy use that conflicts with the stated address, or vendor alerts for virtual camera, emulator, or hooked-app use.</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228b22"/>
                <w:sz w:val="20"/>
                <w:szCs w:val="20"/>
              </w:rPr>
              <w:t xml:space="preserve">Deposit ops / ACH / wire</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BEC pattern: a new beneficiary or changed wire instructions right after an email-change request, with a first-time payee and urgency language. Start recall the same day.</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Recurring payroll-like credits to an individual from a crypto exchange or stablecoin off-ramp, followed by same-day outbound transfers.</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Third-party credits to a retiree's account followed by a same-day outbound wire to a new payee.</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c23b22"/>
                <w:sz w:val="20"/>
                <w:szCs w:val="20"/>
              </w:rPr>
              <w:t xml:space="preserve">Online banking / TM rules</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customer who suddenly funds a new exchange or OTC desk after news of the Binance theft, or receives funds from addresses flagged in public wallet lists.</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First outbound transfer within 24 hours of new-device enrollment, with remote access tool flag, new beneficiary, or an active call in the session.</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Account takeover followed by remittance transfers to a small set of foreign destinations, as in the Boling case.</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d4af37"/>
                <w:sz w:val="20"/>
                <w:szCs w:val="20"/>
              </w:rPr>
              <w:t xml:space="preserve">Dispute / Reg E intake</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Record how contact began (call, text, social post, ad, fake agency website), whether remote access software was installed, who gave the instructions, and what device and credentials were used. That record decides the classification.</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A customer reporting a call or site claiming to be the FTC, FBI, or IC3. Ask whether they saw it in a search result or an ad.</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b85d33"/>
                <w:sz w:val="20"/>
                <w:szCs w:val="20"/>
              </w:rPr>
              <w:t xml:space="preserve">BSA / SAR / crypto / sanctions</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Hits on the Oct 28 designees, the Oct 21 Iran shadow-fleet designees, and any customer with exposure to Garantex-linked addresses.</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Customers moving funds to exchanges, unhosted wallets, or OTC brokers without a documented business reason; document the source and purpose of funds in the file.</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Business-account SARs: state what you checked in the registry and what did not match, so the narrative stands without the BOI database.</w:t>
            </w:r>
          </w:p>
        </w:tc>
      </w:tr>
      <w:tr>
        <w:tc>
          <w:tcPr>
            <w:tcW w:type="dxa" w:w="24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40"/>
            </w:pPr>
            <w:r>
              <w:rPr>
                <w:rFonts w:ascii="Arial" w:cs="Arial" w:eastAsia="Arial" w:hAnsi="Arial"/>
                <w:b/>
                <w:bCs/>
                <w:color w:val="228b22"/>
                <w:sz w:val="20"/>
                <w:szCs w:val="20"/>
              </w:rPr>
              <w:t xml:space="preserve">Workforce / vendor hiring (GRC)</w:t>
            </w:r>
          </w:p>
        </w:tc>
        <w:tc>
          <w:tcPr>
            <w:tcW w:type="dxa" w:w="7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Remote candidates who refuse live video checks, whose résumé fits the posting too closely, or whose equipment ships to an address that does not match their stated location.</w:t>
            </w:r>
          </w:p>
          <w:p>
            <w:pPr>
              <w:pStyle w:val="ListParagraph"/>
              <w:numPr>
                <w:ilvl w:val="0"/>
                <w:numId w:val="2"/>
              </w:numPr>
              <w:shd w:fill="121212" w:color="auto" w:val="clear"/>
              <w:spacing w:after="60" w:before="0" w:line="276"/>
            </w:pPr>
            <w:r>
              <w:rPr>
                <w:rFonts w:ascii="Arial" w:cs="Arial" w:eastAsia="Arial" w:hAnsi="Arial"/>
                <w:color w:val="e0e0e0"/>
                <w:sz w:val="21"/>
                <w:szCs w:val="21"/>
              </w:rPr>
              <w:t xml:space="preserve">Contractors working through a staffing firm you cannot independently verify; ask the staffing firm for its own screening records.</w:t>
            </w:r>
          </w:p>
        </w:tc>
      </w:tr>
    </w:tbl>
    <w:p>
      <w:pPr>
        <w:pStyle w:val="Heading1"/>
        <w:keepNext/>
        <w:pBdr>
          <w:bottom w:val="single" w:color="228b22" w:sz="8" w:space="4"/>
        </w:pBdr>
        <w:shd w:fill="121212" w:color="auto" w:val="clear"/>
        <w:spacing w:after="140" w:before="320"/>
      </w:pPr>
      <w:r>
        <w:rPr>
          <w:rFonts w:ascii="Arial" w:cs="Arial" w:eastAsia="Arial" w:hAnsi="Arial"/>
          <w:b/>
          <w:bCs/>
          <w:color w:val="228b22"/>
          <w:sz w:val="28"/>
          <w:szCs w:val="28"/>
        </w:rPr>
        <w:t xml:space="preserve">🤝 4.  </w:t>
      </w:r>
      <w:r>
        <w:rPr>
          <w:rFonts w:ascii="Arial" w:cs="Arial" w:eastAsia="Arial" w:hAnsi="Arial"/>
          <w:b/>
          <w:bCs/>
          <w:color w:val="228b22"/>
          <w:sz w:val="28"/>
          <w:szCs w:val="28"/>
        </w:rPr>
        <w:t xml:space="preserve">AFTERCARE &amp; HUMAN RISK NOTE</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Know what you may say about a SAR. </w:t>
      </w:r>
      <w:r>
        <w:rPr>
          <w:rFonts w:ascii="Arial" w:cs="Arial" w:eastAsia="Arial" w:hAnsi="Arial"/>
          <w:color w:val="e0e0e0"/>
          <w:sz w:val="21"/>
          <w:szCs w:val="21"/>
        </w:rPr>
        <w:t xml:space="preserve">The Sept 2 joint statement from the Federal Reserve, FDIC, NCUA, and OCC with FinCEN says staff may discuss the underlying facts (dates, amounts, parties), tell a customer that a delay, restriction, or closure may relate to suspected fraud, say a deposit was rejected for that reason, ask due diligence and source-of-funds questions, and give money mule warnings. Staff may not reveal that a SAR exists or was filed. Write that list on one card for the desk, because it removes most of the "I can't say anything" stalling that makes victims angrier.</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Treat romance victims who moved other people's money as victims first. </w:t>
      </w:r>
      <w:r>
        <w:rPr>
          <w:rFonts w:ascii="Arial" w:cs="Arial" w:eastAsia="Arial" w:hAnsi="Arial"/>
          <w:color w:val="e0e0e0"/>
          <w:sz w:val="21"/>
          <w:szCs w:val="21"/>
        </w:rPr>
        <w:t xml:space="preserve">In the SDNY case, victims were asked to forward funds from other victims. Ask how they were asked, keep their chat records, and route through the BSA officer. Tell them plainly that moving someone else's money can carry legal risk, without threatening them.</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Be straight about recovery. </w:t>
      </w:r>
      <w:r>
        <w:rPr>
          <w:rFonts w:ascii="Arial" w:cs="Arial" w:eastAsia="Arial" w:hAnsi="Arial"/>
          <w:color w:val="e0e0e0"/>
          <w:sz w:val="21"/>
          <w:szCs w:val="21"/>
        </w:rPr>
        <w:t xml:space="preserve">Wire recall and ACH return windows are short, so start them the same day. Stablecoin issuers froze billions after the Binance theft, which shows holds are possible when reports are fast, but nothing guarantees a return. Tell the customer what you are doing, what you cannot control, and when they will hear from you next.</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Close the re-victimization door. </w:t>
      </w:r>
      <w:r>
        <w:rPr>
          <w:rFonts w:ascii="Arial" w:cs="Arial" w:eastAsia="Arial" w:hAnsi="Arial"/>
          <w:color w:val="e0e0e0"/>
          <w:sz w:val="21"/>
          <w:szCs w:val="21"/>
        </w:rPr>
        <w:t xml:space="preserve">Tell the customer up front that neither the bank, the FBI, nor the FTC will ask for a fee or reach out on Telegram to "help" with a complaint or a frozen balance (FBI PSA I-072026-PSA, July 20, 2026; FTC release of Oct 29 on fake FTC sites). After a large exchange hack, add "recovery service" and "exchange refund" to the list of things staff ask about at every fraud intake.</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Run mule interviews as fact-finding. </w:t>
      </w:r>
      <w:r>
        <w:rPr>
          <w:rFonts w:ascii="Arial" w:cs="Arial" w:eastAsia="Arial" w:hAnsi="Arial"/>
          <w:color w:val="e0e0e0"/>
          <w:sz w:val="21"/>
          <w:szCs w:val="21"/>
        </w:rPr>
        <w:t xml:space="preserve">Ask how the opportunity reached the customer, what app or handle the recruiter used, and what they were told the money was. Ask them to keep the chat. Keep the tone factual so they will give you the recruiter's handle, and do not discuss charges or closure outcomes at the desk.</w:t>
      </w:r>
    </w:p>
    <w:p>
      <w:pPr>
        <w:pStyle w:val="ListParagraph"/>
        <w:numPr>
          <w:ilvl w:val="0"/>
          <w:numId w:val="2"/>
        </w:numPr>
        <w:shd w:fill="121212" w:color="auto" w:val="clear"/>
        <w:spacing w:after="80" w:before="0" w:line="276"/>
      </w:pPr>
      <w:r>
        <w:rPr>
          <w:rFonts w:ascii="Arial" w:cs="Arial" w:eastAsia="Arial" w:hAnsi="Arial"/>
          <w:b/>
          <w:bCs/>
          <w:color w:val="d4af37"/>
          <w:sz w:val="21"/>
          <w:szCs w:val="21"/>
        </w:rPr>
        <w:t xml:space="preserve">Protect your own front line. </w:t>
      </w:r>
      <w:r>
        <w:rPr>
          <w:rFonts w:ascii="Arial" w:cs="Arial" w:eastAsia="Arial" w:hAnsi="Arial"/>
          <w:color w:val="e0e0e0"/>
          <w:sz w:val="21"/>
          <w:szCs w:val="21"/>
        </w:rPr>
        <w:t xml:space="preserve">Tellers and dispute handlers who processed a transfer later found to be a scam often carry it. Hold a no-blame debrief within the week, confirm the pause-and-ask step they used was the right call, and give them a script for the next hard conversation.</w:t>
      </w:r>
    </w:p>
    <w:p>
      <w:pPr>
        <w:pStyle w:val="Heading1"/>
        <w:keepNext/>
        <w:pBdr>
          <w:bottom w:val="single" w:color="d4af37" w:sz="8" w:space="4"/>
        </w:pBdr>
        <w:shd w:fill="121212" w:color="auto" w:val="clear"/>
        <w:spacing w:after="140" w:before="320"/>
      </w:pPr>
      <w:r>
        <w:rPr>
          <w:rFonts w:ascii="Arial" w:cs="Arial" w:eastAsia="Arial" w:hAnsi="Arial"/>
          <w:b/>
          <w:bCs/>
          <w:color w:val="d4af37"/>
          <w:sz w:val="28"/>
          <w:szCs w:val="28"/>
        </w:rPr>
        <w:t xml:space="preserve">📚 5.  </w:t>
      </w:r>
      <w:r>
        <w:rPr>
          <w:rFonts w:ascii="Arial" w:cs="Arial" w:eastAsia="Arial" w:hAnsi="Arial"/>
          <w:b/>
          <w:bCs/>
          <w:color w:val="d4af37"/>
          <w:sz w:val="28"/>
          <w:szCs w:val="28"/>
        </w:rPr>
        <w:t xml:space="preserve">CURATED RESEARCH &amp; DEEP-DIVE 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4680"/>
      </w:tblGrid>
      <w:tr>
        <w:trPr>
          <w:tblHeader/>
        </w:trPr>
        <w:tc>
          <w:tcPr>
            <w:tcW w:type="dxa" w:w="350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DOCUMENT</w:t>
            </w:r>
          </w:p>
        </w:tc>
        <w:tc>
          <w:tcPr>
            <w:tcW w:type="dxa" w:w="190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SOURCE / DATE</w:t>
            </w:r>
          </w:p>
        </w:tc>
        <w:tc>
          <w:tcPr>
            <w:tcW w:type="dxa" w:w="4680"/>
            <w:tcBorders>
              <w:top w:val="none" w:color="121212" w:sz="0"/>
              <w:left w:val="none" w:color="121212" w:sz="0"/>
              <w:bottom w:val="single" w:color="d4af37"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b/>
                <w:bCs/>
                <w:color w:val="d4af37"/>
                <w:spacing w:val="30"/>
                <w:sz w:val="18"/>
                <w:szCs w:val="18"/>
              </w:rPr>
              <w:t xml:space="preserve">WHY IT IS WORTH YOUR TIME</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hv3jwxtceftyfr3txt5m4">
              <w:r>
                <w:rPr>
                  <w:rFonts w:ascii="Arial" w:cs="Arial" w:eastAsia="Arial" w:hAnsi="Arial"/>
                  <w:color w:val="d4af37"/>
                  <w:sz w:val="19"/>
                  <w:szCs w:val="19"/>
                  <w:u w:val="single"/>
                </w:rPr>
                <w:t xml:space="preserve">Clash Report: North Korean hackers linked to record $6.36B Binance theft, TRM Labs says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Clash Report (TRM Labs), Oct 29–30,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Plain account of the signing-infrastructure attack, the 50 pre-signed authorizations, and the freeze figures.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7i1pxk0twgajurpvae02f">
              <w:r>
                <w:rPr>
                  <w:rFonts w:ascii="Arial" w:cs="Arial" w:eastAsia="Arial" w:hAnsi="Arial"/>
                  <w:color w:val="d4af37"/>
                  <w:sz w:val="19"/>
                  <w:szCs w:val="19"/>
                  <w:u w:val="single"/>
                </w:rPr>
                <w:t xml:space="preserve">The Hacker News: Binance suffers security breach affecting $6.3B</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The Hacker News, Oct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Side-by-side TRM, Chainalysis, and Elliptic figures, the laundering behavior so far, and the shared Ethereum address.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yw6-k8ex2aujxbcj24fwr">
              <w:r>
                <w:rPr>
                  <w:rFonts w:ascii="Arial" w:cs="Arial" w:eastAsia="Arial" w:hAnsi="Arial"/>
                  <w:color w:val="d4af37"/>
                  <w:sz w:val="19"/>
                  <w:szCs w:val="19"/>
                  <w:u w:val="single"/>
                </w:rPr>
                <w:t xml:space="preserve">Chainalysis: OFAC sanctions DPRK IT worker fraud</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Chainalysis, Oct 28,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Names, front companies, and the stablecoin-as-payroll pattern; useful for building monitoring scenarios.</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20j-fim-oolqzf-u5kmrm">
              <w:r>
                <w:rPr>
                  <w:rFonts w:ascii="Arial" w:cs="Arial" w:eastAsia="Arial" w:hAnsi="Arial"/>
                  <w:color w:val="d4af37"/>
                  <w:sz w:val="19"/>
                  <w:szCs w:val="19"/>
                  <w:u w:val="single"/>
                </w:rPr>
                <w:t xml:space="preserve">Tech Times: North Korea's $800M IT fraud ring used AI to pass hiring screens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Tech Times, Oct 29,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Covers the AI and deepfake hiring methods and the first Russian designations; the $800M basis is not explained, so read it as an estimate.</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innscgg2zcyf6yiql36_c">
              <w:r>
                <w:rPr>
                  <w:rFonts w:ascii="Arial" w:cs="Arial" w:eastAsia="Arial" w:hAnsi="Arial"/>
                  <w:color w:val="d4af37"/>
                  <w:sz w:val="19"/>
                  <w:szCs w:val="19"/>
                  <w:u w:val="single"/>
                </w:rPr>
                <w:t xml:space="preserve">GhanaWeb: Two "chairmen" of Ghana romance scam conspiracy plead guilty</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GhanaWeb (SDNY text), Oct 29,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Full text of the SDNY announcement, including victims used to launder other victims' funds and the BEC component.</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_w8atlyidebxtjyqwj0ls">
              <w:r>
                <w:rPr>
                  <w:rFonts w:ascii="Arial" w:cs="Arial" w:eastAsia="Arial" w:hAnsi="Arial"/>
                  <w:color w:val="d4af37"/>
                  <w:sz w:val="19"/>
                  <w:szCs w:val="19"/>
                  <w:u w:val="single"/>
                </w:rPr>
                <w:t xml:space="preserve">InvestmentNews: FinCEN rule "essentially dead" for U.S. firms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InvestmentNews, Oct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Timeline of the beneficial ownership rule, the 21-state lawsuit, and the planned data deletion.</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gghyy_soz1x2pnc0ddu9b">
              <w:r>
                <w:rPr>
                  <w:rFonts w:ascii="Arial" w:cs="Arial" w:eastAsia="Arial" w:hAnsi="Arial"/>
                  <w:color w:val="d4af37"/>
                  <w:sz w:val="19"/>
                  <w:szCs w:val="19"/>
                  <w:u w:val="single"/>
                </w:rPr>
                <w:t xml:space="preserve">FTC: Highlights efforts to combat imposter scams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FTC, Oct 29,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Lists the 19 fake FTC domains and the eight Impersonation Rule cases; the domain list is worth loading into web filtering.</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ovwrczjjwucyaok5mylf7">
              <w:r>
                <w:rPr>
                  <w:rFonts w:ascii="Arial" w:cs="Arial" w:eastAsia="Arial" w:hAnsi="Arial"/>
                  <w:color w:val="d4af37"/>
                  <w:sz w:val="19"/>
                  <w:szCs w:val="19"/>
                  <w:u w:val="single"/>
                </w:rPr>
                <w:t xml:space="preserve">Joint statement on SAR confidentiality in customer communications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Fed, FDIC, NCUA, OCC, FinCEN, Sept 2,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The clearest statement on what staff may tell customers about suspected fraud and closures without revealing a SAR.</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b2_s_ecby51qptmj34kb5">
              <w:r>
                <w:rPr>
                  <w:rFonts w:ascii="Arial" w:cs="Arial" w:eastAsia="Arial" w:hAnsi="Arial"/>
                  <w:color w:val="d4af37"/>
                  <w:sz w:val="19"/>
                  <w:szCs w:val="19"/>
                  <w:u w:val="single"/>
                </w:rPr>
                <w:t xml:space="preserve">FinCEN Alert FIN-2026-Alert005: Digital asset investment scam centers</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FinCEN, Sept 3,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Red flags for the romance and investment scam flows behind this week's SDNY case and the Zhao extradition.</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z0luwlklbmvyl1x5twfuv">
              <w:r>
                <w:rPr>
                  <w:rFonts w:ascii="Arial" w:cs="Arial" w:eastAsia="Arial" w:hAnsi="Arial"/>
                  <w:color w:val="d4af37"/>
                  <w:sz w:val="19"/>
                  <w:szCs w:val="19"/>
                  <w:u w:val="single"/>
                </w:rPr>
                <w:t xml:space="preserve">Weekly Enforcement &amp; Compliance Insight Digest, week ending Oct 26</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Across Oversight, Oct 26,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One-table view of the DOJ, OFAC, and FTC actions from Oct 19–25, including the shell-company laundering sentence.</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0_tckibzevvotbycvioo8">
              <w:r>
                <w:rPr>
                  <w:rFonts w:ascii="Arial" w:cs="Arial" w:eastAsia="Arial" w:hAnsi="Arial"/>
                  <w:color w:val="d4af37"/>
                  <w:sz w:val="19"/>
                  <w:szCs w:val="19"/>
                  <w:u w:val="single"/>
                </w:rPr>
                <w:t xml:space="preserve">Troutman Pepper Locke weekly newsletter, Oct 27</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Troutman Pepper Locke, Oct 27,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Law firm summary including the FCC TCPA consent-revocation rule (effective Nov 25) and SEC FY2027 exam priorities on deepfakes and AML.</w:t>
            </w:r>
          </w:p>
        </w:tc>
      </w:tr>
      <w:tr>
        <w:trPr>
          <w:cantSplit/>
        </w:trPr>
        <w:tc>
          <w:tcPr>
            <w:tcW w:type="dxa" w:w="35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hyperlink w:history="1" r:id="rIdfnprxb_tih98_ij3rciib">
              <w:r>
                <w:rPr>
                  <w:rFonts w:ascii="Arial" w:cs="Arial" w:eastAsia="Arial" w:hAnsi="Arial"/>
                  <w:color w:val="d4af37"/>
                  <w:sz w:val="19"/>
                  <w:szCs w:val="19"/>
                  <w:u w:val="single"/>
                </w:rPr>
                <w:t xml:space="preserve">Help Net Security: Synthetic identities leave US lenders with $2.4B in fraud exposure</w:t>
              </w:r>
            </w:hyperlink>
          </w:p>
        </w:tc>
        <w:tc>
          <w:tcPr>
            <w:tcW w:type="dxa" w:w="190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Help Net Security (TransUnion), Oct 26, 2026</w:t>
            </w:r>
          </w:p>
        </w:tc>
        <w:tc>
          <w:tcPr>
            <w:tcW w:type="dxa" w:w="4680"/>
            <w:tcBorders>
              <w:top w:val="none" w:color="121212" w:sz="0"/>
              <w:left w:val="none" w:color="121212" w:sz="0"/>
              <w:bottom w:val="single" w:color="b85d33" w:sz="4"/>
              <w:right w:val="none" w:color="121212" w:sz="0"/>
            </w:tcBorders>
            <w:shd w:fill="121212" w:color="auto" w:val="clear"/>
            <w:tcMar>
              <w:top w:type="dxa" w:w="100"/>
              <w:left w:type="dxa" w:w="120"/>
              <w:bottom w:type="dxa" w:w="60"/>
              <w:right w:type="dxa" w:w="120"/>
            </w:tcMar>
          </w:tcPr>
          <w:p>
            <w:pPr>
              <w:shd w:fill="121212" w:color="auto" w:val="clear"/>
              <w:spacing w:after="20"/>
            </w:pPr>
            <w:r>
              <w:rPr>
                <w:rFonts w:ascii="Arial" w:cs="Arial" w:eastAsia="Arial" w:hAnsi="Arial"/>
                <w:color w:val="e0e0e0"/>
                <w:sz w:val="18"/>
                <w:szCs w:val="18"/>
              </w:rPr>
              <w:t xml:space="preserve">Adds the auto lending share ($1.5B) and the point that 81% of suspected digital fraud occurs at login and transaction stages.</w:t>
            </w:r>
          </w:p>
        </w:tc>
      </w:tr>
    </w:tbl>
    <w:p>
      <w:pPr>
        <w:pStyle w:val="Heading1"/>
        <w:keepNext/>
        <w:pBdr>
          <w:bottom w:val="single" w:color="b85d33" w:sz="8" w:space="4"/>
        </w:pBdr>
        <w:shd w:fill="121212" w:color="auto" w:val="clear"/>
        <w:spacing w:after="140" w:before="320"/>
      </w:pPr>
      <w:r>
        <w:rPr>
          <w:rFonts w:ascii="Arial" w:cs="Arial" w:eastAsia="Arial" w:hAnsi="Arial"/>
          <w:b/>
          <w:bCs/>
          <w:color w:val="b85d33"/>
          <w:sz w:val="28"/>
          <w:szCs w:val="28"/>
        </w:rPr>
        <w:t xml:space="preserve">📋  </w:t>
      </w:r>
      <w:r>
        <w:rPr>
          <w:rFonts w:ascii="Arial" w:cs="Arial" w:eastAsia="Arial" w:hAnsi="Arial"/>
          <w:b/>
          <w:bCs/>
          <w:color w:val="b85d33"/>
          <w:sz w:val="28"/>
          <w:szCs w:val="28"/>
        </w:rPr>
        <w:t xml:space="preserve">COVERAGE NOTES &amp; DISCLAIMER</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Reviewed, government: </w:t>
      </w:r>
      <w:r>
        <w:rPr>
          <w:rFonts w:ascii="Arial" w:cs="Arial" w:eastAsia="Arial" w:hAnsi="Arial"/>
          <w:color w:val="e0e0e0"/>
          <w:sz w:val="19"/>
          <w:szCs w:val="19"/>
        </w:rPr>
        <w:t xml:space="preserve">FinCEN news page, Treasury and OFAC actions, DOJ and SDNY announcements, FTC press releases, FBI/IC3 PSAs, CFPB, OCC, NCUA, and SEC items. FinCEN's news page showed nothing newer than Oct 21 when we checked, so no new FinCEN alert or advisory is reported this week. We found no new FBI/IC3 PSA in the window. The DOJ press release index and an SEC release page could not be retrieved, and CNBC and Lexology pages failed to load, so DOJ coverage leans on SDNY text and secondary digests.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Reviewed, vendors and industry: </w:t>
      </w:r>
      <w:r>
        <w:rPr>
          <w:rFonts w:ascii="Arial" w:cs="Arial" w:eastAsia="Arial" w:hAnsi="Arial"/>
          <w:color w:val="e0e0e0"/>
          <w:sz w:val="19"/>
          <w:szCs w:val="19"/>
        </w:rPr>
        <w:t xml:space="preserve">TRM Labs, Chainalysis, and Elliptic (through secondary reports and the Chainalysis blog), TransUnion (via Help Net Security), Nasdaq Verafin, and law firm and regulatory newsletters (Troutman Pepper Locke, Across Oversight, Regulatory Intelligence Weekly).</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Missing vendor notes: </w:t>
      </w:r>
      <w:r>
        <w:rPr>
          <w:rFonts w:ascii="Arial" w:cs="Arial" w:eastAsia="Arial" w:hAnsi="Arial"/>
          <w:color w:val="e0e0e0"/>
          <w:sz w:val="19"/>
          <w:szCs w:val="19"/>
        </w:rPr>
        <w:t xml:space="preserve">no in-window posts found for BioCatch, LexisNexis Risk Solutions, Frank on Fraud, About Fraud, IronVest, NoFraud, or a standalone Q6 Cyber report; the Verafin and Q6 Cyber partnership dates to Aug 27. ACAMS and ACFE returned nothing dated in the window. We did not search the ABA's site this week beyond the prior issue.</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OSINT and law firm coverage: </w:t>
      </w:r>
      <w:r>
        <w:rPr>
          <w:rFonts w:ascii="Arial" w:cs="Arial" w:eastAsia="Arial" w:hAnsi="Arial"/>
          <w:color w:val="e0e0e0"/>
          <w:sz w:val="19"/>
          <w:szCs w:val="19"/>
        </w:rPr>
        <w:t xml:space="preserve">no direct darknet or Telegram collection; on-chain details come from analytics firms through secondary press. Law firm newsletters corroborate agency actions and are not primary sources.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Thin spots: </w:t>
      </w:r>
      <w:r>
        <w:rPr>
          <w:rFonts w:ascii="Arial" w:cs="Arial" w:eastAsia="Arial" w:hAnsi="Arial"/>
          <w:color w:val="e0e0e0"/>
          <w:sz w:val="19"/>
          <w:szCs w:val="19"/>
        </w:rPr>
        <w:t xml:space="preserve">check and ACH fraud again lack dated primary reports in the window, and Reg E and CFPB produced no new item, so those areas appear only through the wire, ATO, and intake guidance above. Attribution of the Binance theft rests on blockchain analytics firms. Loss and freeze figures are not reconciled across sources.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Regulatory context: </w:t>
      </w:r>
      <w:r>
        <w:rPr>
          <w:rFonts w:ascii="Arial" w:cs="Arial" w:eastAsia="Arial" w:hAnsi="Arial"/>
          <w:color w:val="e0e0e0"/>
          <w:sz w:val="19"/>
          <w:szCs w:val="19"/>
        </w:rPr>
        <w:t xml:space="preserve">Bank of America's $1.2 billion FinCEN penalty (Oct 13) drew a letter to the Attorney General from Senator Warren on Oct 29; DOJ confirmed receipt but would not confirm or deny an investigation, with a reply requested by Nov 12 (per Regulatory Intelligence Weekly). OFAC issued Iran General License FF-1 on Oct 29 authorizing wind-down of transactions with the International Development Bank for Investment and Finance. The SEC Division of Examinations released FY2027 priorities on Oct 23 that include AI-enabled phishing, deepfakes, SAR obligations, and OFAC risk on foreign omnibus accounts. The FCC's revised TCPA consent-revocation rules, published Oct 26 and effective Nov 25, widen the phone-number sources banks may use for exempt informational calls, including fraud alerts.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Left out: </w:t>
      </w:r>
      <w:r>
        <w:rPr>
          <w:rFonts w:ascii="Arial" w:cs="Arial" w:eastAsia="Arial" w:hAnsi="Arial"/>
          <w:color w:val="e0e0e0"/>
          <w:sz w:val="19"/>
          <w:szCs w:val="19"/>
        </w:rPr>
        <w:t xml:space="preserve">the FOMC decision, an OCC letter on California climate disclosure laws, NCUA deregulation proposals, and DOJ health care and election-related items, none of which are core banking fraud signals.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Sourcing limits: </w:t>
      </w:r>
      <w:r>
        <w:rPr>
          <w:rFonts w:ascii="Arial" w:cs="Arial" w:eastAsia="Arial" w:hAnsi="Arial"/>
          <w:color w:val="e0e0e0"/>
          <w:sz w:val="19"/>
          <w:szCs w:val="19"/>
        </w:rPr>
        <w:t xml:space="preserve">the OFAC action is described through Chainalysis and Tech Times, not the Treasury release itself; the OCC bulletin and SEC case are from a regulatory newsletter and could not be checked against the agencies. The Boling, Zhao, and Zhen items come from a weekly digest. Indictment and complaint details are allegations.</w:t>
      </w:r>
    </w:p>
    <w:p>
      <w:pPr>
        <w:pStyle w:val="ListParagraph"/>
        <w:numPr>
          <w:ilvl w:val="0"/>
          <w:numId w:val="2"/>
        </w:numPr>
        <w:shd w:fill="121212" w:color="auto" w:val="clear"/>
        <w:spacing w:after="70" w:before="0" w:line="276"/>
      </w:pPr>
      <w:r>
        <w:rPr>
          <w:rFonts w:ascii="Arial" w:cs="Arial" w:eastAsia="Arial" w:hAnsi="Arial"/>
          <w:b/>
          <w:bCs/>
          <w:color w:val="d4af37"/>
          <w:sz w:val="21"/>
          <w:szCs w:val="21"/>
        </w:rPr>
        <w:t xml:space="preserve">Format: </w:t>
      </w:r>
      <w:r>
        <w:rPr>
          <w:rFonts w:ascii="Arial" w:cs="Arial" w:eastAsia="Arial" w:hAnsi="Arial"/>
          <w:color w:val="e0e0e0"/>
          <w:sz w:val="19"/>
          <w:szCs w:val="19"/>
        </w:rPr>
        <w:t xml:space="preserve">the dark page background shows in Word and most viewers; some print dialogs and web previews drop it, so text blocks are shaded to stay readable.</w:t>
      </w:r>
    </w:p>
    <w:p>
      <w:pPr>
        <w:shd w:fill="121212" w:color="auto" w:val="clear"/>
        <w:spacing w:after="120" w:before="0" w:line="240"/>
      </w:pPr>
      <w:r>
        <w:rPr>
          <w:rFonts w:ascii="Arial" w:cs="Arial" w:eastAsia="Arial" w:hAnsi="Arial"/>
          <w:color w:val="e0e0e0"/>
          <w:sz w:val="4"/>
          <w:szCs w:val="4"/>
        </w:rPr>
        <w:t xml:space="preserve"/>
      </w:r>
    </w:p>
    <w:p>
      <w:pPr>
        <w:pBdr>
          <w:top w:val="single" w:color="d4af37" w:sz="8" w:space="8"/>
        </w:pBdr>
        <w:shd w:fill="121212" w:color="auto" w:val="clear"/>
        <w:spacing w:after="0" w:before="120"/>
      </w:pPr>
      <w:r>
        <w:rPr>
          <w:rFonts w:ascii="Arial" w:cs="Arial" w:eastAsia="Arial" w:hAnsi="Arial"/>
          <w:i/>
          <w:iCs/>
          <w:color w:val="d4af37"/>
          <w:sz w:val="19"/>
          <w:szCs w:val="19"/>
        </w:rPr>
        <w:t xml:space="preserve">For professional peer intelligence and educational use only. Does not constitute formal legal, regulatory, compliance, or financial advice.</w:t>
      </w:r>
    </w:p>
    <w:sectPr>
      <w:footerReference w:type="default" r:id="rId6"/>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121212" w:color="auto" w:val="clear"/>
      <w:jc w:val="center"/>
    </w:pPr>
    <w:r>
      <w:rPr>
        <w:rFonts w:ascii="Arial" w:cs="Arial" w:eastAsia="Arial" w:hAnsi="Arial"/>
        <w:color w:val="e0e0e0"/>
        <w:sz w:val="16"/>
        <w:szCs w:val="16"/>
      </w:rPr>
      <w:t xml:space="preserve">SHIELD · The 314 Collective · Weekly Intelligence Briefing · Page </w:t>
    </w:r>
    <w:r>
      <w:rPr>
        <w:rFonts w:ascii="Arial" w:cs="Arial" w:eastAsia="Arial" w:hAnsi="Arial"/>
        <w:color w:val="d4af3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rPr>
        <w:color w:val="d4af3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0e0e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d4af37"/>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v3jwxtceftyfr3txt5m4" Type="http://schemas.openxmlformats.org/officeDocument/2006/relationships/hyperlink" Target="https://clashreport.com/world/articles/north-korean-hackers-linked-to-record-6-36-billion-binance-theft-trm-labs-says-0wjiv79ndm9" TargetMode="External"/><Relationship Id="rId7i1pxk0twgajurpvae02f" Type="http://schemas.openxmlformats.org/officeDocument/2006/relationships/hyperlink" Target="https://thehackernews.com/2026/10/binance-suffers-security-breach.html" TargetMode="External"/><Relationship Id="rIdyw6-k8ex2aujxbcj24fwr" Type="http://schemas.openxmlformats.org/officeDocument/2006/relationships/hyperlink" Target="https://www.chainalysis.com/blog/ofac-sanctions-dprk-it-worker-fraud/" TargetMode="External"/><Relationship Id="rId20j-fim-oolqzf-u5kmrm" Type="http://schemas.openxmlformats.org/officeDocument/2006/relationships/hyperlink" Target="https://www.techtimes.com/articles/329671/20261029/north-koreas-800m-it-fraud-ring-used-ai-pass-hiring-screens-russia-sanctioned.htm" TargetMode="External"/><Relationship Id="rIdinnscgg2zcyf6yiql36_c" Type="http://schemas.openxmlformats.org/officeDocument/2006/relationships/hyperlink" Target="https://www.ghanaweb.com/GhanaHomePage/NewsArchive/FULL-TEXT-Two-Chairmen-of-Ghana-romance-scam-conspiracy-plead-guilty-2059081" TargetMode="External"/><Relationship Id="rId_w8atlyidebxtjyqwj0ls" Type="http://schemas.openxmlformats.org/officeDocument/2006/relationships/hyperlink" Target="https://www.investmentnews.com/regulation-legal-compliance/fincen-rule-essentially-dead-for-us-firms-compliance-experts-warn/268789" TargetMode="External"/><Relationship Id="rIdgghyy_soz1x2pnc0ddu9b" Type="http://schemas.openxmlformats.org/officeDocument/2006/relationships/hyperlink" Target="https://www.ftc.gov/news-events/news/press-releases/2026/10/ftc-highlights-efforts-combat-imposter-scams-protect-consumers" TargetMode="External"/><Relationship Id="rIdovwrczjjwucyaok5mylf7" Type="http://schemas.openxmlformats.org/officeDocument/2006/relationships/hyperlink" Target="https://ncua.gov/newsroom/press-release/2026/joint-statement-suspicious-activity-report-confidentiality-considerations-regarding-communications" TargetMode="External"/><Relationship Id="rIdb2_s_ecby51qptmj34kb5" Type="http://schemas.openxmlformats.org/officeDocument/2006/relationships/hyperlink" Target="https://www.fincen.gov/system/files/2026-08/FinCEN-Alert-Scam-Centers.pdf" TargetMode="External"/><Relationship Id="rIdz0luwlklbmvyl1x5twfuv" Type="http://schemas.openxmlformats.org/officeDocument/2006/relationships/hyperlink" Target="https://acrossoversight.com/insights/weekly-enforcement-action-digest-october-26-2026" TargetMode="External"/><Relationship Id="rId0_tckibzevvotbycvioo8" Type="http://schemas.openxmlformats.org/officeDocument/2006/relationships/hyperlink" Target="https://www.consumerfinancialserviceslawmonitor.com/2026/10/troutman-pepper-locke-weekly-consumer-financial-services-newsletter-october-27-2026/" TargetMode="External"/><Relationship Id="rIdfnprxb_tih98_ij3rciib" Type="http://schemas.openxmlformats.org/officeDocument/2006/relationships/hyperlink" Target="https://www.helpnetsecurity.com/2026/10/26/transunion-synthetic-identity-fraud-risks-report/"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 Weekly Intelligence Briefing - Oct 25-30, 2026</dc:title>
  <dc:creator>SHIELD: The 314 Collective</dc:creator>
  <cp:lastModifiedBy>Un-named</cp:lastModifiedBy>
  <cp:revision>1</cp:revision>
  <dcterms:created xsi:type="dcterms:W3CDTF">2026-10-30T17:30:28.554Z</dcterms:created>
  <dcterms:modified xsi:type="dcterms:W3CDTF">2026-10-30T17:30:28.554Z</dcterms:modified>
</cp:coreProperties>
</file>

<file path=docProps/custom.xml><?xml version="1.0" encoding="utf-8"?>
<Properties xmlns="http://schemas.openxmlformats.org/officeDocument/2006/custom-properties" xmlns:vt="http://schemas.openxmlformats.org/officeDocument/2006/docPropsVTypes"/>
</file>