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21212"/>
  <w:body>
    <w:p>
      <w:pPr>
        <w:shd w:fill="121212" w:color="auto" w:val="clear"/>
        <w:spacing w:after="60" w:before="0" w:line="276"/>
      </w:pPr>
      <w:r>
        <w:rPr>
          <w:rFonts w:ascii="Arial" w:cs="Arial" w:eastAsia="Arial" w:hAnsi="Arial"/>
          <w:b/>
          <w:bCs/>
          <w:color w:val="d4af37"/>
          <w:spacing w:val="60"/>
          <w:sz w:val="18"/>
          <w:szCs w:val="18"/>
        </w:rPr>
        <w:t xml:space="preserve">SHIELD: THE 314 COLLECTIVE</w:t>
      </w:r>
    </w:p>
    <w:p>
      <w:pPr>
        <w:pBdr>
          <w:bottom w:val="single" w:color="d4af37" w:sz="12" w:space="6"/>
        </w:pBdr>
        <w:shd w:fill="121212" w:color="auto" w:val="clear"/>
        <w:spacing w:after="140"/>
      </w:pPr>
      <w:r>
        <w:rPr>
          <w:rFonts w:ascii="Arial" w:cs="Arial" w:eastAsia="Arial" w:hAnsi="Arial"/>
          <w:b/>
          <w:bCs/>
          <w:color w:val="d4af37"/>
          <w:sz w:val="44"/>
          <w:szCs w:val="44"/>
        </w:rPr>
        <w:t xml:space="preserve">🛡️ SHIELD Weekly Intelligence Briefing</w:t>
      </w:r>
    </w:p>
    <w:p>
      <w:pPr>
        <w:shd w:fill="121212" w:color="auto" w:val="clear"/>
        <w:spacing w:after="40" w:before="0" w:line="276"/>
      </w:pPr>
      <w:r>
        <w:rPr>
          <w:rFonts w:ascii="Arial" w:cs="Arial" w:eastAsia="Arial" w:hAnsi="Arial"/>
          <w:b/>
          <w:bCs/>
          <w:color w:val="d4af37"/>
          <w:sz w:val="21"/>
          <w:szCs w:val="21"/>
        </w:rPr>
        <w:t xml:space="preserve">Reporting Window: </w:t>
      </w:r>
      <w:r>
        <w:rPr>
          <w:rFonts w:ascii="Arial" w:cs="Arial" w:eastAsia="Arial" w:hAnsi="Arial"/>
          <w:color w:val="e0e0e0"/>
          <w:sz w:val="21"/>
          <w:szCs w:val="21"/>
        </w:rPr>
        <w:t xml:space="preserve">Oct 17 – Oct 24, 2026   |   Issued Oct 25, 2026</w:t>
      </w:r>
    </w:p>
    <w:p>
      <w:pPr>
        <w:shd w:fill="121212" w:color="auto" w:val="clear"/>
        <w:spacing w:after="120" w:before="0" w:line="276"/>
      </w:pPr>
      <w:r>
        <w:rPr>
          <w:rFonts w:ascii="Arial" w:cs="Arial" w:eastAsia="Arial" w:hAnsi="Arial"/>
          <w:b/>
          <w:bCs/>
          <w:color w:val="d4af37"/>
          <w:sz w:val="21"/>
          <w:szCs w:val="21"/>
        </w:rPr>
        <w:t xml:space="preserve">Curated For: </w:t>
      </w:r>
      <w:r>
        <w:rPr>
          <w:rFonts w:ascii="Arial" w:cs="Arial" w:eastAsia="Arial" w:hAnsi="Arial"/>
          <w:color w:val="e0e0e0"/>
          <w:sz w:val="21"/>
          <w:szCs w:val="21"/>
        </w:rPr>
        <w:t xml:space="preserve">Community Banks, Credit Unions, Fintechs, Fraud, BSA/AML, Audit &amp; GRC Practitioners</w:t>
      </w:r>
    </w:p>
    <w:p>
      <w:pPr>
        <w:pStyle w:val="Heading1"/>
        <w:keepNext/>
        <w:pBdr>
          <w:bottom w:val="single" w:color="d4af37" w:sz="8" w:space="4"/>
        </w:pBdr>
        <w:shd w:fill="121212" w:color="auto" w:val="clear"/>
        <w:spacing w:after="140" w:before="320"/>
      </w:pPr>
      <w:r>
        <w:rPr>
          <w:rFonts w:ascii="Arial" w:cs="Arial" w:eastAsia="Arial" w:hAnsi="Arial"/>
          <w:b/>
          <w:bCs/>
          <w:color w:val="d4af37"/>
          <w:sz w:val="28"/>
          <w:szCs w:val="28"/>
        </w:rPr>
        <w:t xml:space="preserve">⚡ 1.  </w:t>
      </w:r>
      <w:r>
        <w:rPr>
          <w:rFonts w:ascii="Arial" w:cs="Arial" w:eastAsia="Arial" w:hAnsi="Arial"/>
          <w:b/>
          <w:bCs/>
          <w:color w:val="d4af37"/>
          <w:sz w:val="28"/>
          <w:szCs w:val="28"/>
        </w:rPr>
        <w:t xml:space="preserve">WEEKLY SIGNAL TL;DR</w:t>
      </w:r>
    </w:p>
    <w:p>
      <w:pPr>
        <w:pStyle w:val="ListParagraph"/>
        <w:numPr>
          <w:ilvl w:val="0"/>
          <w:numId w:val="2"/>
        </w:numPr>
        <w:shd w:fill="121212" w:color="auto" w:val="clear"/>
        <w:spacing w:after="120" w:before="0" w:line="276"/>
      </w:pPr>
      <w:r>
        <w:rPr>
          <w:rFonts w:ascii="Arial" w:cs="Arial" w:eastAsia="Arial" w:hAnsi="Arial"/>
          <w:b/>
          <w:bCs/>
          <w:color w:val="c23b22"/>
          <w:spacing w:val="20"/>
          <w:sz w:val="19"/>
          <w:szCs w:val="19"/>
        </w:rPr>
        <w:t xml:space="preserve">ENFORCEMENT SHIFT   </w:t>
      </w:r>
      <w:r>
        <w:rPr>
          <w:rFonts w:ascii="Arial" w:cs="Arial" w:eastAsia="Arial" w:hAnsi="Arial"/>
          <w:color w:val="e0e0e0"/>
          <w:sz w:val="21"/>
          <w:szCs w:val="21"/>
        </w:rPr>
        <w:t xml:space="preserve">Treasury and FinCEN turned a July student aid alert into a $270 million law enforcement referral in about three months. Banks filed nearly 100 SARs after the alert, and FinCEN's review of those filings found more than 20,000 potentially suspicious transactions since February 2026, which it passed to investigators as tip-and-lead information (Treasury press release, Oct 19). </w:t>
      </w:r>
      <w:r>
        <w:rPr>
          <w:rFonts w:ascii="Arial" w:cs="Arial" w:eastAsia="Arial" w:hAnsi="Arial"/>
          <w:b/>
          <w:bCs/>
          <w:color w:val="e0e0e0"/>
          <w:sz w:val="21"/>
          <w:szCs w:val="21"/>
        </w:rPr>
        <w:t xml:space="preserve">Our read: </w:t>
      </w:r>
      <w:r>
        <w:rPr>
          <w:rFonts w:ascii="Arial" w:cs="Arial" w:eastAsia="Arial" w:hAnsi="Arial"/>
          <w:color w:val="e0e0e0"/>
          <w:sz w:val="21"/>
          <w:szCs w:val="21"/>
        </w:rPr>
        <w:t xml:space="preserve">SARs filed after a FinCEN alert get mined and referred quickly.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build the alert's red-flag language and descriptor strings into monitoring, and file linked-account clusters, not one-off SARs.</w:t>
      </w:r>
    </w:p>
    <w:p>
      <w:pPr>
        <w:pStyle w:val="ListParagraph"/>
        <w:numPr>
          <w:ilvl w:val="0"/>
          <w:numId w:val="2"/>
        </w:numPr>
        <w:shd w:fill="121212" w:color="auto" w:val="clear"/>
        <w:spacing w:after="120" w:before="0" w:line="276"/>
      </w:pPr>
      <w:r>
        <w:rPr>
          <w:rFonts w:ascii="Arial" w:cs="Arial" w:eastAsia="Arial" w:hAnsi="Arial"/>
          <w:b/>
          <w:bCs/>
          <w:color w:val="d4af37"/>
          <w:spacing w:val="20"/>
          <w:sz w:val="19"/>
          <w:szCs w:val="19"/>
        </w:rPr>
        <w:t xml:space="preserve">OPERATIONAL VECTOR   </w:t>
      </w:r>
      <w:r>
        <w:rPr>
          <w:rFonts w:ascii="Arial" w:cs="Arial" w:eastAsia="Arial" w:hAnsi="Arial"/>
          <w:color w:val="e0e0e0"/>
          <w:sz w:val="21"/>
          <w:szCs w:val="21"/>
        </w:rPr>
        <w:t xml:space="preserve">Human-operated mule movement is gaining on automated fraud. BioCatch's US mid-market data shows fraud sessions down 11% and bot activity down 15% while reported mule sessions rose 25%, with 52% of mule sessions coming from new devices. The SDNY indictment unsealed Oct 21 shows the front end of the chain: account holders recruited over social media, then used to deposit counterfeit checks and Treasury notes. Off-ramp detail from this week (a USDT broker sentenced, TRM Labs on exchange holds) shows where the money exits.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the new-device, remote-access, and new-beneficiary combination is a better mule signal than transaction size alone.</w:t>
      </w:r>
    </w:p>
    <w:p>
      <w:pPr>
        <w:pStyle w:val="Heading1"/>
        <w:keepNext/>
        <w:pBdr>
          <w:bottom w:val="single" w:color="d4af37" w:sz="8" w:space="4"/>
        </w:pBdr>
        <w:shd w:fill="121212" w:color="auto" w:val="clear"/>
        <w:spacing w:after="140" w:before="320"/>
      </w:pPr>
      <w:r>
        <w:rPr>
          <w:rFonts w:ascii="Arial" w:cs="Arial" w:eastAsia="Arial" w:hAnsi="Arial"/>
          <w:b/>
          <w:bCs/>
          <w:color w:val="d4af37"/>
          <w:sz w:val="28"/>
          <w:szCs w:val="28"/>
        </w:rPr>
        <w:t xml:space="preserve">🔍 2.  </w:t>
      </w:r>
      <w:r>
        <w:rPr>
          <w:rFonts w:ascii="Arial" w:cs="Arial" w:eastAsia="Arial" w:hAnsi="Arial"/>
          <w:b/>
          <w:bCs/>
          <w:color w:val="d4af37"/>
          <w:sz w:val="28"/>
          <w:szCs w:val="28"/>
        </w:rPr>
        <w:t xml:space="preserve">TOP SIGNALS &amp; TYPOLOGY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121212" w:sz="0"/>
              <w:left w:val="single" w:color="d4af37" w:sz="30"/>
              <w:bottom w:val="single" w:color="d4af37" w:sz="4"/>
              <w:right w:val="none" w:color="121212" w:sz="0"/>
            </w:tcBorders>
            <w:shd w:fill="121212" w:color="auto" w:val="clear"/>
            <w:tcMar>
              <w:top w:type="dxa" w:w="140"/>
              <w:left w:type="dxa" w:w="220"/>
              <w:bottom w:type="dxa" w:w="80"/>
              <w:right w:type="dxa" w:w="160"/>
            </w:tcMar>
          </w:tcPr>
          <w:p>
            <w:pPr>
              <w:shd w:fill="121212" w:color="auto" w:val="clear"/>
              <w:spacing w:after="40"/>
            </w:pPr>
            <w:r>
              <w:rPr>
                <w:rFonts w:ascii="Arial" w:cs="Arial" w:eastAsia="Arial" w:hAnsi="Arial"/>
                <w:b/>
                <w:bCs/>
                <w:color w:val="d4af37"/>
                <w:spacing w:val="30"/>
                <w:sz w:val="17"/>
                <w:szCs w:val="17"/>
              </w:rPr>
              <w:t xml:space="preserve">SIGNAL 1 OF 4</w:t>
            </w:r>
          </w:p>
          <w:p>
            <w:pPr>
              <w:shd w:fill="121212" w:color="auto" w:val="clear"/>
              <w:spacing w:after="120"/>
            </w:pPr>
            <w:r>
              <w:rPr>
                <w:rFonts w:ascii="Arial" w:cs="Arial" w:eastAsia="Arial" w:hAnsi="Arial"/>
                <w:b/>
                <w:bCs/>
                <w:color w:val="d4af37"/>
                <w:sz w:val="25"/>
                <w:szCs w:val="25"/>
              </w:rPr>
              <w:t xml:space="preserve">Student aid refunds as a deposit and ACH mule rail</w:t>
            </w:r>
          </w:p>
          <w:p>
            <w:pPr>
              <w:shd w:fill="121212" w:color="auto" w:val="clear"/>
              <w:spacing w:after="100" w:before="0" w:line="276"/>
            </w:pPr>
            <w:r>
              <w:rPr>
                <w:rFonts w:ascii="Arial" w:cs="Arial" w:eastAsia="Arial" w:hAnsi="Arial"/>
                <w:b/>
                <w:bCs/>
                <w:color w:val="d4af37"/>
                <w:spacing w:val="20"/>
                <w:sz w:val="19"/>
                <w:szCs w:val="19"/>
              </w:rPr>
              <w:t xml:space="preserve">CORE DOMAIN   </w:t>
            </w:r>
            <w:r>
              <w:rPr>
                <w:rFonts w:ascii="Arial" w:cs="Arial" w:eastAsia="Arial" w:hAnsi="Arial"/>
                <w:color w:val="e0e0e0"/>
                <w:sz w:val="21"/>
                <w:szCs w:val="21"/>
              </w:rPr>
              <w:t xml:space="preserve">ACH and deposit fraud; mule accounts; synthetic identity.</w:t>
            </w:r>
          </w:p>
          <w:p>
            <w:pPr>
              <w:shd w:fill="121212" w:color="auto" w:val="clear"/>
              <w:spacing w:after="100" w:before="0" w:line="276"/>
            </w:pPr>
            <w:r>
              <w:rPr>
                <w:rFonts w:ascii="Arial" w:cs="Arial" w:eastAsia="Arial" w:hAnsi="Arial"/>
                <w:b/>
                <w:bCs/>
                <w:color w:val="d4af37"/>
                <w:spacing w:val="20"/>
                <w:sz w:val="19"/>
                <w:szCs w:val="19"/>
              </w:rPr>
              <w:t xml:space="preserve">MECHANISM   </w:t>
            </w:r>
            <w:r>
              <w:rPr>
                <w:rFonts w:ascii="Arial" w:cs="Arial" w:eastAsia="Arial" w:hAnsi="Arial"/>
                <w:color w:val="e0e0e0"/>
                <w:sz w:val="21"/>
                <w:szCs w:val="21"/>
              </w:rPr>
              <w:t xml:space="preserve">Two feeder schemes. In ghost student fraud, criminals enroll fake students using stolen names and SSNs, or synthetic identities built from stolen and invented data, and the real person often never finds out. In straw student fraud, rings pay real people for their identity, enroll them, and keep the refund; corrupt school staff sometimes help recruit straw students and alter records. Schools or their payment contractors send refunds by electronic bank transfer, and the payment description often carries the word "refund" plus the school's name or initials. Proceeds then move through money mules, shell companies, and fake accounts. </w:t>
            </w:r>
            <w:r>
              <w:rPr>
                <w:rFonts w:ascii="Arial" w:cs="Arial" w:eastAsia="Arial" w:hAnsi="Arial"/>
                <w:b/>
                <w:bCs/>
                <w:color w:val="e0e0e0"/>
                <w:sz w:val="21"/>
                <w:szCs w:val="21"/>
              </w:rPr>
              <w:t xml:space="preserve">Our read: </w:t>
            </w:r>
            <w:r>
              <w:rPr>
                <w:rFonts w:ascii="Arial" w:cs="Arial" w:eastAsia="Arial" w:hAnsi="Arial"/>
                <w:color w:val="e0e0e0"/>
                <w:sz w:val="21"/>
                <w:szCs w:val="21"/>
              </w:rPr>
              <w:t xml:space="preserve">the descriptor string is a monitoring key you already own; the harder work is tying credits to accounts opened for the purpose.</w:t>
            </w:r>
          </w:p>
          <w:p>
            <w:pPr>
              <w:shd w:fill="121212" w:color="auto" w:val="clear"/>
              <w:spacing w:after="100" w:before="0" w:line="276"/>
            </w:pPr>
            <w:r>
              <w:rPr>
                <w:rFonts w:ascii="Arial" w:cs="Arial" w:eastAsia="Arial" w:hAnsi="Arial"/>
                <w:b/>
                <w:bCs/>
                <w:color w:val="d4af37"/>
                <w:spacing w:val="20"/>
                <w:sz w:val="19"/>
                <w:szCs w:val="19"/>
              </w:rPr>
              <w:t xml:space="preserve">PIVOT KEYS   </w:t>
            </w:r>
            <w:r>
              <w:rPr>
                <w:rFonts w:ascii="Arial" w:cs="Arial" w:eastAsia="Arial" w:hAnsi="Arial"/>
                <w:color w:val="e0e0e0"/>
                <w:sz w:val="21"/>
                <w:szCs w:val="21"/>
              </w:rPr>
              <w:t xml:space="preserve">ACH/EFT description string ("refund" + school name or initials); multiple unrelated students' refunds landing in one account; a recipient whose profile shows no history consistent with enrollment; newly opened accounts; rapid onward transfers.</w:t>
            </w:r>
          </w:p>
          <w:p>
            <w:pPr>
              <w:shd w:fill="121212" w:color="auto" w:val="clear"/>
              <w:spacing w:after="100" w:before="0" w:line="276"/>
            </w:pPr>
            <w:r>
              <w:rPr>
                <w:rFonts w:ascii="Arial" w:cs="Arial" w:eastAsia="Arial" w:hAnsi="Arial"/>
                <w:b/>
                <w:bCs/>
                <w:color w:val="d4af37"/>
                <w:spacing w:val="20"/>
                <w:sz w:val="19"/>
                <w:szCs w:val="19"/>
              </w:rPr>
              <w:t xml:space="preserve">FRONTLINE IMPACT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search ACH credit history for the descriptor string back to February 2026 and group hits by receiving account and by sending school. File one linked SAR per cluster and cite the July 2026 FinCEN student aid alert (FIN-2026-Alert004). For scale, $270 million over 20,000-plus transactions works out to roughly $13,500 or less per flagged transaction. That is our arithmetic, not a Treasury figure.</w:t>
            </w:r>
          </w:p>
          <w:p>
            <w:pPr>
              <w:shd w:fill="121212" w:color="auto" w:val="clear"/>
              <w:spacing w:after="100" w:before="0" w:line="276"/>
            </w:pPr>
            <w:r>
              <w:rPr>
                <w:rFonts w:ascii="Arial" w:cs="Arial" w:eastAsia="Arial" w:hAnsi="Arial"/>
                <w:b/>
                <w:bCs/>
                <w:color w:val="d4af37"/>
                <w:spacing w:val="20"/>
                <w:sz w:val="19"/>
                <w:szCs w:val="19"/>
              </w:rPr>
              <w:t xml:space="preserve">SOURCE   </w:t>
            </w:r>
            <w:r>
              <w:rPr>
                <w:rFonts w:ascii="Arial" w:cs="Arial" w:eastAsia="Arial" w:hAnsi="Arial"/>
                <w:i/>
                <w:iCs/>
                <w:color w:val="e0e0e0"/>
                <w:sz w:val="21"/>
                <w:szCs w:val="21"/>
              </w:rPr>
              <w:t xml:space="preserve">U.S. Treasury press release, Oct 19, 2026; FinCEN Alert FIN-2026-Alert004, July 24, 2026.</w:t>
            </w:r>
          </w:p>
        </w:tc>
      </w:tr>
    </w:tbl>
    <w:p>
      <w:pPr>
        <w:shd w:fill="121212" w:color="auto" w:val="clear"/>
        <w:spacing w:after="160" w:before="0" w:line="240"/>
      </w:pPr>
      <w:r>
        <w:rPr>
          <w:rFonts w:ascii="Arial" w:cs="Arial" w:eastAsia="Arial" w:hAnsi="Arial"/>
          <w:color w:val="e0e0e0"/>
          <w:sz w:val="4"/>
          <w:szCs w:val="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121212" w:sz="0"/>
              <w:left w:val="single" w:color="c23b22" w:sz="30"/>
              <w:bottom w:val="single" w:color="c23b22" w:sz="4"/>
              <w:right w:val="none" w:color="121212" w:sz="0"/>
            </w:tcBorders>
            <w:shd w:fill="121212" w:color="auto" w:val="clear"/>
            <w:tcMar>
              <w:top w:type="dxa" w:w="140"/>
              <w:left w:type="dxa" w:w="220"/>
              <w:bottom w:type="dxa" w:w="80"/>
              <w:right w:type="dxa" w:w="160"/>
            </w:tcMar>
          </w:tcPr>
          <w:p>
            <w:pPr>
              <w:shd w:fill="121212" w:color="auto" w:val="clear"/>
              <w:spacing w:after="40"/>
            </w:pPr>
            <w:r>
              <w:rPr>
                <w:rFonts w:ascii="Arial" w:cs="Arial" w:eastAsia="Arial" w:hAnsi="Arial"/>
                <w:b/>
                <w:bCs/>
                <w:color w:val="c23b22"/>
                <w:spacing w:val="30"/>
                <w:sz w:val="17"/>
                <w:szCs w:val="17"/>
              </w:rPr>
              <w:t xml:space="preserve">SIGNAL 2 OF 4</w:t>
            </w:r>
          </w:p>
          <w:p>
            <w:pPr>
              <w:shd w:fill="121212" w:color="auto" w:val="clear"/>
              <w:spacing w:after="120"/>
            </w:pPr>
            <w:r>
              <w:rPr>
                <w:rFonts w:ascii="Arial" w:cs="Arial" w:eastAsia="Arial" w:hAnsi="Arial"/>
                <w:b/>
                <w:bCs/>
                <w:color w:val="c23b22"/>
                <w:sz w:val="25"/>
                <w:szCs w:val="25"/>
              </w:rPr>
              <w:t xml:space="preserve">Counterfeit checks and Treasury notes through recruited accounts</w:t>
            </w:r>
          </w:p>
          <w:p>
            <w:pPr>
              <w:shd w:fill="121212" w:color="auto" w:val="clear"/>
              <w:spacing w:after="100" w:before="0" w:line="276"/>
            </w:pPr>
            <w:r>
              <w:rPr>
                <w:rFonts w:ascii="Arial" w:cs="Arial" w:eastAsia="Arial" w:hAnsi="Arial"/>
                <w:b/>
                <w:bCs/>
                <w:color w:val="c23b22"/>
                <w:spacing w:val="20"/>
                <w:sz w:val="19"/>
                <w:szCs w:val="19"/>
              </w:rPr>
              <w:t xml:space="preserve">CORE DOMAIN   </w:t>
            </w:r>
            <w:r>
              <w:rPr>
                <w:rFonts w:ascii="Arial" w:cs="Arial" w:eastAsia="Arial" w:hAnsi="Arial"/>
                <w:color w:val="e0e0e0"/>
                <w:sz w:val="21"/>
                <w:szCs w:val="21"/>
              </w:rPr>
              <w:t xml:space="preserve">Check and deposit fraud; mule recruitment over social media.</w:t>
            </w:r>
          </w:p>
          <w:p>
            <w:pPr>
              <w:shd w:fill="121212" w:color="auto" w:val="clear"/>
              <w:spacing w:after="100" w:before="0" w:line="276"/>
            </w:pPr>
            <w:r>
              <w:rPr>
                <w:rFonts w:ascii="Arial" w:cs="Arial" w:eastAsia="Arial" w:hAnsi="Arial"/>
                <w:b/>
                <w:bCs/>
                <w:color w:val="c23b22"/>
                <w:spacing w:val="20"/>
                <w:sz w:val="19"/>
                <w:szCs w:val="19"/>
              </w:rPr>
              <w:t xml:space="preserve">MECHANISM   </w:t>
            </w:r>
            <w:r>
              <w:rPr>
                <w:rFonts w:ascii="Arial" w:cs="Arial" w:eastAsia="Arial" w:hAnsi="Arial"/>
                <w:color w:val="e0e0e0"/>
                <w:sz w:val="21"/>
                <w:szCs w:val="21"/>
              </w:rPr>
              <w:t xml:space="preserve">SDNY unsealed an indictment on Oct 21 charging eight defendants with bank fraud and conspiracy to commit bank fraud. It alleges that from about 2022 the group defrauded national financial institutions of millions of dollars by recruiting people over social media and other means to give the ring access to their bank accounts, depositing fraudulent checks and U.S. Treasury notes, and withdrawing the money before the banks identified the instruments as counterfeit. Defendants allegedly traded pictures of fraudulent checks, branch locations, and other people's PII on social media and messaging apps. These are allegations; the defendants are presumed innocent. </w:t>
            </w:r>
            <w:r>
              <w:rPr>
                <w:rFonts w:ascii="Arial" w:cs="Arial" w:eastAsia="Arial" w:hAnsi="Arial"/>
                <w:b/>
                <w:bCs/>
                <w:color w:val="e0e0e0"/>
                <w:sz w:val="21"/>
                <w:szCs w:val="21"/>
              </w:rPr>
              <w:t xml:space="preserve">Our read: </w:t>
            </w:r>
            <w:r>
              <w:rPr>
                <w:rFonts w:ascii="Arial" w:cs="Arial" w:eastAsia="Arial" w:hAnsi="Arial"/>
                <w:color w:val="e0e0e0"/>
                <w:sz w:val="21"/>
                <w:szCs w:val="21"/>
              </w:rPr>
              <w:t xml:space="preserve">the account holder is the weak point for both sides. The ring needs a real, aged account, and your best early signal is that account's change in behavior.</w:t>
            </w:r>
          </w:p>
          <w:p>
            <w:pPr>
              <w:shd w:fill="121212" w:color="auto" w:val="clear"/>
              <w:spacing w:after="100" w:before="0" w:line="276"/>
            </w:pPr>
            <w:r>
              <w:rPr>
                <w:rFonts w:ascii="Arial" w:cs="Arial" w:eastAsia="Arial" w:hAnsi="Arial"/>
                <w:b/>
                <w:bCs/>
                <w:color w:val="c23b22"/>
                <w:spacing w:val="20"/>
                <w:sz w:val="19"/>
                <w:szCs w:val="19"/>
              </w:rPr>
              <w:t xml:space="preserve">PIVOT KEYS   </w:t>
            </w:r>
            <w:r>
              <w:rPr>
                <w:rFonts w:ascii="Arial" w:cs="Arial" w:eastAsia="Arial" w:hAnsi="Arial"/>
                <w:color w:val="e0e0e0"/>
                <w:sz w:val="21"/>
                <w:szCs w:val="21"/>
              </w:rPr>
              <w:t xml:space="preserve">Aliases and social handles named in the indictment (a redacted copy is attached to the SDNY release). Suggested internal pivots, inferred from the allegations rather than stated in the release: the same payer or item image appearing across unrelated accounts, and clusters of deposits at the same branches.</w:t>
            </w:r>
          </w:p>
          <w:p>
            <w:pPr>
              <w:shd w:fill="121212" w:color="auto" w:val="clear"/>
              <w:spacing w:after="100" w:before="0" w:line="276"/>
            </w:pPr>
            <w:r>
              <w:rPr>
                <w:rFonts w:ascii="Arial" w:cs="Arial" w:eastAsia="Arial" w:hAnsi="Arial"/>
                <w:b/>
                <w:bCs/>
                <w:color w:val="c23b22"/>
                <w:spacing w:val="20"/>
                <w:sz w:val="19"/>
                <w:szCs w:val="19"/>
              </w:rPr>
              <w:t xml:space="preserve">FRONTLINE IMPACT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treat a deposited Treasury note as an exception item and route it to manual review before funds become available. On any hit, find out whether the account holder was recruited, knowingly or not, before choosing between account closure, SAR language, and law enforcement outreach.</w:t>
            </w:r>
          </w:p>
          <w:p>
            <w:pPr>
              <w:shd w:fill="121212" w:color="auto" w:val="clear"/>
              <w:spacing w:after="100" w:before="0" w:line="276"/>
            </w:pPr>
            <w:r>
              <w:rPr>
                <w:rFonts w:ascii="Arial" w:cs="Arial" w:eastAsia="Arial" w:hAnsi="Arial"/>
                <w:b/>
                <w:bCs/>
                <w:color w:val="c23b22"/>
                <w:spacing w:val="20"/>
                <w:sz w:val="19"/>
                <w:szCs w:val="19"/>
              </w:rPr>
              <w:t xml:space="preserve">SOURCE   </w:t>
            </w:r>
            <w:r>
              <w:rPr>
                <w:rFonts w:ascii="Arial" w:cs="Arial" w:eastAsia="Arial" w:hAnsi="Arial"/>
                <w:i/>
                <w:iCs/>
                <w:color w:val="e0e0e0"/>
                <w:sz w:val="21"/>
                <w:szCs w:val="21"/>
              </w:rPr>
              <w:t xml:space="preserve">DOJ, U.S. Attorney's Office SDNY, Press Release 26-299, Oct 21, 2026.</w:t>
            </w:r>
          </w:p>
        </w:tc>
      </w:tr>
    </w:tbl>
    <w:p>
      <w:pPr>
        <w:shd w:fill="121212" w:color="auto" w:val="clear"/>
        <w:spacing w:after="160" w:before="0" w:line="240"/>
      </w:pPr>
      <w:r>
        <w:rPr>
          <w:rFonts w:ascii="Arial" w:cs="Arial" w:eastAsia="Arial" w:hAnsi="Arial"/>
          <w:color w:val="e0e0e0"/>
          <w:sz w:val="4"/>
          <w:szCs w:val="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121212" w:sz="0"/>
              <w:left w:val="single" w:color="b85d33" w:sz="30"/>
              <w:bottom w:val="single" w:color="b85d33" w:sz="4"/>
              <w:right w:val="none" w:color="121212" w:sz="0"/>
            </w:tcBorders>
            <w:shd w:fill="121212" w:color="auto" w:val="clear"/>
            <w:tcMar>
              <w:top w:type="dxa" w:w="140"/>
              <w:left w:type="dxa" w:w="220"/>
              <w:bottom w:type="dxa" w:w="80"/>
              <w:right w:type="dxa" w:w="160"/>
            </w:tcMar>
          </w:tcPr>
          <w:p>
            <w:pPr>
              <w:shd w:fill="121212" w:color="auto" w:val="clear"/>
              <w:spacing w:after="40"/>
            </w:pPr>
            <w:r>
              <w:rPr>
                <w:rFonts w:ascii="Arial" w:cs="Arial" w:eastAsia="Arial" w:hAnsi="Arial"/>
                <w:b/>
                <w:bCs/>
                <w:color w:val="b85d33"/>
                <w:spacing w:val="30"/>
                <w:sz w:val="17"/>
                <w:szCs w:val="17"/>
              </w:rPr>
              <w:t xml:space="preserve">SIGNAL 3 OF 4</w:t>
            </w:r>
          </w:p>
          <w:p>
            <w:pPr>
              <w:shd w:fill="121212" w:color="auto" w:val="clear"/>
              <w:spacing w:after="120"/>
            </w:pPr>
            <w:r>
              <w:rPr>
                <w:rFonts w:ascii="Arial" w:cs="Arial" w:eastAsia="Arial" w:hAnsi="Arial"/>
                <w:b/>
                <w:bCs/>
                <w:color w:val="b85d33"/>
                <w:sz w:val="25"/>
                <w:szCs w:val="25"/>
              </w:rPr>
              <w:t xml:space="preserve">Attacks on existing customers, new-device mule sessions, and the Reg E classification problem</w:t>
            </w:r>
          </w:p>
          <w:p>
            <w:pPr>
              <w:shd w:fill="121212" w:color="auto" w:val="clear"/>
              <w:spacing w:after="100" w:before="0" w:line="276"/>
            </w:pPr>
            <w:r>
              <w:rPr>
                <w:rFonts w:ascii="Arial" w:cs="Arial" w:eastAsia="Arial" w:hAnsi="Arial"/>
                <w:b/>
                <w:bCs/>
                <w:color w:val="b85d33"/>
                <w:spacing w:val="20"/>
                <w:sz w:val="19"/>
                <w:szCs w:val="19"/>
              </w:rPr>
              <w:t xml:space="preserve">CORE DOMAIN   </w:t>
            </w:r>
            <w:r>
              <w:rPr>
                <w:rFonts w:ascii="Arial" w:cs="Arial" w:eastAsia="Arial" w:hAnsi="Arial"/>
                <w:color w:val="e0e0e0"/>
                <w:sz w:val="21"/>
                <w:szCs w:val="21"/>
              </w:rPr>
              <w:t xml:space="preserve">Account takeover; mule sessions; Reg E dispute handling; synthetic identity exposure.</w:t>
            </w:r>
          </w:p>
          <w:p>
            <w:pPr>
              <w:shd w:fill="121212" w:color="auto" w:val="clear"/>
              <w:spacing w:after="100" w:before="0" w:line="276"/>
            </w:pPr>
            <w:r>
              <w:rPr>
                <w:rFonts w:ascii="Arial" w:cs="Arial" w:eastAsia="Arial" w:hAnsi="Arial"/>
                <w:b/>
                <w:bCs/>
                <w:color w:val="b85d33"/>
                <w:spacing w:val="20"/>
                <w:sz w:val="19"/>
                <w:szCs w:val="19"/>
              </w:rPr>
              <w:t xml:space="preserve">MECHANISM   </w:t>
            </w:r>
            <w:r>
              <w:rPr>
                <w:rFonts w:ascii="Arial" w:cs="Arial" w:eastAsia="Arial" w:hAnsi="Arial"/>
                <w:color w:val="e0e0e0"/>
                <w:sz w:val="21"/>
                <w:szCs w:val="21"/>
              </w:rPr>
              <w:t xml:space="preserve">BioCatch's mid-market report (more than 250 US community bank and credit union customers) compares H1 2026 with H2 2025. Fraud sessions fell 11% and bot activity fell 15%, but reported mule sessions rose 25%, 52% of mule sessions came from new devices (up 17 points year over year), and remote access sessions rose 6%. On average a mule transaction moves 38% of the account balance. BioCatch reads the shift as heavier reliance on human-operated money movement, which is harder for traditional controls to catch. TransUnion's global fraud report (Oct 22) says 81% of suspected digital fraud attacks target existing customer relationships, 51% of US business leaders saw more scam and authorized fraud over the past year, and 53% of respondents name synthetic identity as the threat they are least prepared to address. TransUnion estimates lender exposure to synthetic identities at $2.4 billion as of June 30, 2026. </w:t>
            </w:r>
            <w:r>
              <w:rPr>
                <w:rFonts w:ascii="Arial" w:cs="Arial" w:eastAsia="Arial" w:hAnsi="Arial"/>
                <w:b/>
                <w:bCs/>
                <w:color w:val="e0e0e0"/>
                <w:sz w:val="21"/>
                <w:szCs w:val="21"/>
              </w:rPr>
              <w:t xml:space="preserve">Our read: </w:t>
            </w:r>
            <w:r>
              <w:rPr>
                <w:rFonts w:ascii="Arial" w:cs="Arial" w:eastAsia="Arial" w:hAnsi="Arial"/>
                <w:color w:val="e0e0e0"/>
                <w:sz w:val="21"/>
                <w:szCs w:val="21"/>
              </w:rPr>
              <w:t xml:space="preserve">fewer attacks on the front door, more use of customers already inside it.</w:t>
            </w:r>
          </w:p>
          <w:p>
            <w:pPr>
              <w:shd w:fill="121212" w:color="auto" w:val="clear"/>
              <w:spacing w:after="100" w:before="0" w:line="276"/>
            </w:pPr>
            <w:r>
              <w:rPr>
                <w:rFonts w:ascii="Arial" w:cs="Arial" w:eastAsia="Arial" w:hAnsi="Arial"/>
                <w:b/>
                <w:bCs/>
                <w:color w:val="b85d33"/>
                <w:spacing w:val="20"/>
                <w:sz w:val="19"/>
                <w:szCs w:val="19"/>
              </w:rPr>
              <w:t xml:space="preserve">PIVOT KEYS   </w:t>
            </w:r>
            <w:r>
              <w:rPr>
                <w:rFonts w:ascii="Arial" w:cs="Arial" w:eastAsia="Arial" w:hAnsi="Arial"/>
                <w:color w:val="e0e0e0"/>
                <w:sz w:val="21"/>
                <w:szCs w:val="21"/>
              </w:rPr>
              <w:t xml:space="preserve">Device first seen under 24 hours before the first outbound transfer; remote access tool flag; an active phone call during the session; a newly added beneficiary (BioCatch cites these as case-study markers); inbound-then-outbound flow with the outbound near a third of the balance.</w:t>
            </w:r>
          </w:p>
          <w:p>
            <w:pPr>
              <w:shd w:fill="121212" w:color="auto" w:val="clear"/>
              <w:spacing w:after="100" w:before="0" w:line="276"/>
            </w:pPr>
            <w:r>
              <w:rPr>
                <w:rFonts w:ascii="Arial" w:cs="Arial" w:eastAsia="Arial" w:hAnsi="Arial"/>
                <w:b/>
                <w:bCs/>
                <w:color w:val="b85d33"/>
                <w:spacing w:val="20"/>
                <w:sz w:val="19"/>
                <w:szCs w:val="19"/>
              </w:rPr>
              <w:t xml:space="preserve">FRONTLINE IMPACT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dispute handling splits on who initiated the transfer. When a customer was coached into sending money, intake needs the contact method, whether remote access software was installed, who gave the instructions, and which device was used, because the unauthorized-versus-authorized call under Reg E error resolution turns on those facts. Send classification questions to compliance counsel.</w:t>
            </w:r>
          </w:p>
          <w:p>
            <w:pPr>
              <w:shd w:fill="121212" w:color="auto" w:val="clear"/>
              <w:spacing w:after="100" w:before="0" w:line="276"/>
            </w:pPr>
            <w:r>
              <w:rPr>
                <w:rFonts w:ascii="Arial" w:cs="Arial" w:eastAsia="Arial" w:hAnsi="Arial"/>
                <w:b/>
                <w:bCs/>
                <w:color w:val="b85d33"/>
                <w:spacing w:val="20"/>
                <w:sz w:val="19"/>
                <w:szCs w:val="19"/>
              </w:rPr>
              <w:t xml:space="preserve">SOURCE   </w:t>
            </w:r>
            <w:r>
              <w:rPr>
                <w:rFonts w:ascii="Arial" w:cs="Arial" w:eastAsia="Arial" w:hAnsi="Arial"/>
                <w:i/>
                <w:iCs/>
                <w:color w:val="e0e0e0"/>
                <w:sz w:val="21"/>
                <w:szCs w:val="21"/>
              </w:rPr>
              <w:t xml:space="preserve">BioCatch, 2026 Digital Banking Fraud Trends in the U.S. Mid-Market (reported by Biometric Update, Oct 21, 2026); TransUnion Top Fraud Trends report (GlobeNewswire, Oct 22, 2026).</w:t>
            </w:r>
          </w:p>
        </w:tc>
      </w:tr>
    </w:tbl>
    <w:p>
      <w:pPr>
        <w:shd w:fill="121212" w:color="auto" w:val="clear"/>
        <w:spacing w:after="160" w:before="0" w:line="240"/>
      </w:pPr>
      <w:r>
        <w:rPr>
          <w:rFonts w:ascii="Arial" w:cs="Arial" w:eastAsia="Arial" w:hAnsi="Arial"/>
          <w:color w:val="e0e0e0"/>
          <w:sz w:val="4"/>
          <w:szCs w:val="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121212" w:sz="0"/>
              <w:left w:val="single" w:color="228b22" w:sz="30"/>
              <w:bottom w:val="single" w:color="228b22" w:sz="4"/>
              <w:right w:val="none" w:color="121212" w:sz="0"/>
            </w:tcBorders>
            <w:shd w:fill="121212" w:color="auto" w:val="clear"/>
            <w:tcMar>
              <w:top w:type="dxa" w:w="140"/>
              <w:left w:type="dxa" w:w="220"/>
              <w:bottom w:type="dxa" w:w="80"/>
              <w:right w:type="dxa" w:w="160"/>
            </w:tcMar>
          </w:tcPr>
          <w:p>
            <w:pPr>
              <w:shd w:fill="121212" w:color="auto" w:val="clear"/>
              <w:spacing w:after="40"/>
            </w:pPr>
            <w:r>
              <w:rPr>
                <w:rFonts w:ascii="Arial" w:cs="Arial" w:eastAsia="Arial" w:hAnsi="Arial"/>
                <w:b/>
                <w:bCs/>
                <w:color w:val="228b22"/>
                <w:spacing w:val="30"/>
                <w:sz w:val="17"/>
                <w:szCs w:val="17"/>
              </w:rPr>
              <w:t xml:space="preserve">SIGNAL 4 OF 4</w:t>
            </w:r>
          </w:p>
          <w:p>
            <w:pPr>
              <w:shd w:fill="121212" w:color="auto" w:val="clear"/>
              <w:spacing w:after="120"/>
            </w:pPr>
            <w:r>
              <w:rPr>
                <w:rFonts w:ascii="Arial" w:cs="Arial" w:eastAsia="Arial" w:hAnsi="Arial"/>
                <w:b/>
                <w:bCs/>
                <w:color w:val="228b22"/>
                <w:sz w:val="25"/>
                <w:szCs w:val="25"/>
              </w:rPr>
              <w:t xml:space="preserve">Laundering infrastructure: nominee formation agents, USDT brokers, and exchange holds</w:t>
            </w:r>
          </w:p>
          <w:p>
            <w:pPr>
              <w:shd w:fill="121212" w:color="auto" w:val="clear"/>
              <w:spacing w:after="100" w:before="0" w:line="276"/>
            </w:pPr>
            <w:r>
              <w:rPr>
                <w:rFonts w:ascii="Arial" w:cs="Arial" w:eastAsia="Arial" w:hAnsi="Arial"/>
                <w:b/>
                <w:bCs/>
                <w:color w:val="228b22"/>
                <w:spacing w:val="20"/>
                <w:sz w:val="19"/>
                <w:szCs w:val="19"/>
              </w:rPr>
              <w:t xml:space="preserve">CORE DOMAIN   </w:t>
            </w:r>
            <w:r>
              <w:rPr>
                <w:rFonts w:ascii="Arial" w:cs="Arial" w:eastAsia="Arial" w:hAnsi="Arial"/>
                <w:color w:val="e0e0e0"/>
                <w:sz w:val="21"/>
                <w:szCs w:val="21"/>
              </w:rPr>
              <w:t xml:space="preserve">Sanctions evasion; corporate registry anomalies; fiat-to-crypto off-ramps.</w:t>
            </w:r>
          </w:p>
          <w:p>
            <w:pPr>
              <w:shd w:fill="121212" w:color="auto" w:val="clear"/>
              <w:spacing w:after="100" w:before="0" w:line="276"/>
            </w:pPr>
            <w:r>
              <w:rPr>
                <w:rFonts w:ascii="Arial" w:cs="Arial" w:eastAsia="Arial" w:hAnsi="Arial"/>
                <w:b/>
                <w:bCs/>
                <w:color w:val="228b22"/>
                <w:spacing w:val="20"/>
                <w:sz w:val="19"/>
                <w:szCs w:val="19"/>
              </w:rPr>
              <w:t xml:space="preserve">MECHANISM   </w:t>
            </w:r>
            <w:r>
              <w:rPr>
                <w:rFonts w:ascii="Arial" w:cs="Arial" w:eastAsia="Arial" w:hAnsi="Arial"/>
                <w:color w:val="e0e0e0"/>
                <w:sz w:val="21"/>
                <w:szCs w:val="21"/>
              </w:rPr>
              <w:t xml:space="preserve">On Oct 21 Treasury, under Operation Economic Outcast, designated the law firm Karnakis and Karnakis under E.O. 13902 for registering companies that owned vessels carrying Iranian commodities and for supplying directors and officers who hid beneficial owners. The action also covered five associated people, three companies, and nine vessels, and Treasury said FinCEN used an administrative subpoena in an investigation of an unnamed Greek bank's possible Iran links. Also on Oct 21, SDNY announced a sentence of over thirteen years (160 months) for Leonardo Zuluaga Duque, a Colombia-based broker, for laundering drug proceeds through cryptocurrency; trade press puts the figure at $14.5 million in USDT. A TRM Labs piece published the same day says its exchange alert network (launched Aug 2025) alerts participating crypto platforms when flagged funds arrive, so they can review deposits and hold funds before withdrawal, with no guarantee of a freeze or recovery. TRM also reports the share of scam reports involving AI rose roughly 13-fold from 2022 to 2025. </w:t>
            </w:r>
            <w:r>
              <w:rPr>
                <w:rFonts w:ascii="Arial" w:cs="Arial" w:eastAsia="Arial" w:hAnsi="Arial"/>
                <w:b/>
                <w:bCs/>
                <w:color w:val="e0e0e0"/>
                <w:sz w:val="21"/>
                <w:szCs w:val="21"/>
              </w:rPr>
              <w:t xml:space="preserve">Our read: </w:t>
            </w:r>
            <w:r>
              <w:rPr>
                <w:rFonts w:ascii="Arial" w:cs="Arial" w:eastAsia="Arial" w:hAnsi="Arial"/>
                <w:color w:val="e0e0e0"/>
                <w:sz w:val="21"/>
                <w:szCs w:val="21"/>
              </w:rPr>
              <w:t xml:space="preserve">the bank's clearest view of the crypto leg is the fiat on-ramp debit, and the corporate shell is the other place the trail shows up.</w:t>
            </w:r>
          </w:p>
          <w:p>
            <w:pPr>
              <w:shd w:fill="121212" w:color="auto" w:val="clear"/>
              <w:spacing w:after="100" w:before="0" w:line="276"/>
            </w:pPr>
            <w:r>
              <w:rPr>
                <w:rFonts w:ascii="Arial" w:cs="Arial" w:eastAsia="Arial" w:hAnsi="Arial"/>
                <w:b/>
                <w:bCs/>
                <w:color w:val="228b22"/>
                <w:spacing w:val="20"/>
                <w:sz w:val="19"/>
                <w:szCs w:val="19"/>
              </w:rPr>
              <w:t xml:space="preserve">PIVOT KEYS   </w:t>
            </w:r>
            <w:r>
              <w:rPr>
                <w:rFonts w:ascii="Arial" w:cs="Arial" w:eastAsia="Arial" w:hAnsi="Arial"/>
                <w:color w:val="e0e0e0"/>
                <w:sz w:val="21"/>
                <w:szCs w:val="21"/>
              </w:rPr>
              <w:t xml:space="preserve">Nominee director and officer names that recur across unrelated entities; a shared registered-agent address; vessel-owning entities. For crypto exposure: customer ACH or wire debits to exchanges followed by stablecoin purchases, and counterparties tied to OTC brokers.</w:t>
            </w:r>
          </w:p>
          <w:p>
            <w:pPr>
              <w:shd w:fill="121212" w:color="auto" w:val="clear"/>
              <w:spacing w:after="100" w:before="0" w:line="276"/>
            </w:pPr>
            <w:r>
              <w:rPr>
                <w:rFonts w:ascii="Arial" w:cs="Arial" w:eastAsia="Arial" w:hAnsi="Arial"/>
                <w:b/>
                <w:bCs/>
                <w:color w:val="228b22"/>
                <w:spacing w:val="20"/>
                <w:sz w:val="19"/>
                <w:szCs w:val="19"/>
              </w:rPr>
              <w:t xml:space="preserve">FRONTLINE IMPACT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screen the new SDN entries (firm, individuals, entities, vessels) against customers, beneficial owners, and trade-finance counterparties. Run nominee-overlap checks at onboarding and periodic review for business accounts. For MSB and exchange customers, compare fiat in and out velocity with stated volumes. We could not retrieve the SDNY release text for the USDT sentence, so check it for wallet, exchange, and on-ramp detail.</w:t>
            </w:r>
          </w:p>
          <w:p>
            <w:pPr>
              <w:shd w:fill="121212" w:color="auto" w:val="clear"/>
              <w:spacing w:after="100" w:before="0" w:line="276"/>
            </w:pPr>
            <w:r>
              <w:rPr>
                <w:rFonts w:ascii="Arial" w:cs="Arial" w:eastAsia="Arial" w:hAnsi="Arial"/>
                <w:b/>
                <w:bCs/>
                <w:color w:val="228b22"/>
                <w:spacing w:val="20"/>
                <w:sz w:val="19"/>
                <w:szCs w:val="19"/>
              </w:rPr>
              <w:t xml:space="preserve">SOURCE   </w:t>
            </w:r>
            <w:r>
              <w:rPr>
                <w:rFonts w:ascii="Arial" w:cs="Arial" w:eastAsia="Arial" w:hAnsi="Arial"/>
                <w:i/>
                <w:iCs/>
                <w:color w:val="e0e0e0"/>
                <w:sz w:val="21"/>
                <w:szCs w:val="21"/>
              </w:rPr>
              <w:t xml:space="preserve">U.S. Treasury / OFAC action, Oct 21, 2026 (summary via sanctions.com); DOJ SDNY, Oct 21, 2026; Crypto Briefing report on the sentence; TRM Labs coverage via TokenPost, Oct 21, 2026.</w:t>
            </w:r>
          </w:p>
        </w:tc>
      </w:tr>
    </w:tbl>
    <w:p>
      <w:pPr>
        <w:keepNext/>
        <w:shd w:fill="121212" w:color="auto" w:val="clear"/>
        <w:spacing w:after="100" w:before="240"/>
      </w:pPr>
      <w:r>
        <w:rPr>
          <w:rFonts w:ascii="Arial" w:cs="Arial" w:eastAsia="Arial" w:hAnsi="Arial"/>
          <w:b/>
          <w:bCs/>
          <w:color w:val="d4af37"/>
          <w:spacing w:val="30"/>
          <w:sz w:val="22"/>
          <w:szCs w:val="22"/>
        </w:rPr>
        <w:t xml:space="preserve">WATCH LIST (BELOW THE SIGNAL THRESHOLD)</w:t>
      </w:r>
    </w:p>
    <w:p>
      <w:pPr>
        <w:pStyle w:val="ListParagraph"/>
        <w:numPr>
          <w:ilvl w:val="0"/>
          <w:numId w:val="2"/>
        </w:numPr>
        <w:shd w:fill="121212" w:color="auto" w:val="clear"/>
        <w:spacing w:after="80" w:before="0" w:line="276"/>
      </w:pPr>
      <w:r>
        <w:rPr>
          <w:rFonts w:ascii="Arial" w:cs="Arial" w:eastAsia="Arial" w:hAnsi="Arial"/>
          <w:b/>
          <w:bCs/>
          <w:color w:val="c23b22"/>
          <w:sz w:val="21"/>
          <w:szCs w:val="21"/>
        </w:rPr>
        <w:t xml:space="preserve">Regulatory backdrop (Oct 13, just before the window). </w:t>
      </w:r>
      <w:r>
        <w:rPr>
          <w:rFonts w:ascii="Arial" w:cs="Arial" w:eastAsia="Arial" w:hAnsi="Arial"/>
          <w:color w:val="e0e0e0"/>
          <w:sz w:val="21"/>
          <w:szCs w:val="21"/>
        </w:rPr>
        <w:t xml:space="preserve">Treasury's release on Bank of America lists penalties of $1.2 billion from FinCEN, $750 million from the OCC (the largest in OCC history), and an $11.6 million OFAC settlement; we did not reconcile how the amounts are credited against each other. The release alleges more than $5 billion in suspicious transactions reported late, reliance on law enforcement inquiries and other institutions' referrals instead of the bank's own automated controls, weak customer due diligence on third-party payments, and 475 apparent OFAC violations. It requires a lookback. </w:t>
      </w:r>
      <w:r>
        <w:rPr>
          <w:rFonts w:ascii="Arial" w:cs="Arial" w:eastAsia="Arial" w:hAnsi="Arial"/>
          <w:b/>
          <w:bCs/>
          <w:color w:val="e0e0e0"/>
          <w:sz w:val="21"/>
          <w:szCs w:val="21"/>
        </w:rPr>
        <w:t xml:space="preserve">Our read: </w:t>
      </w:r>
      <w:r>
        <w:rPr>
          <w:rFonts w:ascii="Arial" w:cs="Arial" w:eastAsia="Arial" w:hAnsi="Arial"/>
          <w:color w:val="e0e0e0"/>
          <w:sz w:val="21"/>
          <w:szCs w:val="21"/>
        </w:rPr>
        <w:t xml:space="preserve">examiners are reading SAR timeliness and alert backlog as control failures, not paperwork.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age your alert and case backlog, and test whether your SARs start from your own detection or from outside inquiries.</w:t>
      </w:r>
    </w:p>
    <w:p>
      <w:pPr>
        <w:pStyle w:val="ListParagraph"/>
        <w:numPr>
          <w:ilvl w:val="0"/>
          <w:numId w:val="2"/>
        </w:numPr>
        <w:shd w:fill="121212" w:color="auto" w:val="clear"/>
        <w:spacing w:after="80" w:before="0" w:line="276"/>
      </w:pPr>
      <w:r>
        <w:rPr>
          <w:rFonts w:ascii="Arial" w:cs="Arial" w:eastAsia="Arial" w:hAnsi="Arial"/>
          <w:b/>
          <w:bCs/>
          <w:color w:val="b85d33"/>
          <w:sz w:val="21"/>
          <w:szCs w:val="21"/>
        </w:rPr>
        <w:t xml:space="preserve">Deepfake and synthetic onboarding. </w:t>
      </w:r>
      <w:r>
        <w:rPr>
          <w:rFonts w:ascii="Arial" w:cs="Arial" w:eastAsia="Arial" w:hAnsi="Arial"/>
          <w:color w:val="e0e0e0"/>
          <w:sz w:val="21"/>
          <w:szCs w:val="21"/>
        </w:rPr>
        <w:t xml:space="preserve">An identifAI report summarized by Security Boulevard on Oct 13 puts deepfake-enabled fraud at about $40 billion, says synthetic media accounts for about 1 in 100 identity verification check failures globally, and names identity morphing and virtual-camera injection as methods that beat legacy biometric checks (we saw the summary, not the report). The ABN AMRO case, described in an iProov blog on Apr 24, shows the pattern: 46 accounts opened through mobile onboarding with deepfaked photos built from stolen passport images, exposed only when one woman's ID was paired with a man's selfie. April reporting by MIT Technology Review, relayed by Tech Insider, found 22 Telegram channels selling virtual-camera builds, stolen ID bundles, and institution-specific liveness bypass services.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ask your IDV vendor how it detects camera injection and rooted-device hooking, and add a manual review queue for ID and selfie mismatches on apparent age or sex.</w:t>
      </w:r>
    </w:p>
    <w:p>
      <w:pPr>
        <w:pStyle w:val="ListParagraph"/>
        <w:numPr>
          <w:ilvl w:val="0"/>
          <w:numId w:val="2"/>
        </w:numPr>
        <w:shd w:fill="121212" w:color="auto" w:val="clear"/>
        <w:spacing w:after="80" w:before="0" w:line="276"/>
      </w:pPr>
      <w:r>
        <w:rPr>
          <w:rFonts w:ascii="Arial" w:cs="Arial" w:eastAsia="Arial" w:hAnsi="Arial"/>
          <w:b/>
          <w:bCs/>
          <w:color w:val="228b22"/>
          <w:sz w:val="21"/>
          <w:szCs w:val="21"/>
        </w:rPr>
        <w:t xml:space="preserve">Mule account sourcing, Surat, India (Oct 24). </w:t>
      </w:r>
      <w:r>
        <w:rPr>
          <w:rFonts w:ascii="Arial" w:cs="Arial" w:eastAsia="Arial" w:hAnsi="Arial"/>
          <w:color w:val="e0e0e0"/>
          <w:sz w:val="21"/>
          <w:szCs w:val="21"/>
        </w:rPr>
        <w:t xml:space="preserve">Local police reporting says two men were arrested on Oct 22 over a network that paid people to open accounts, registered a fake trading firm to open business accounts at several banks, converted proceeds to USDT, and sent it to wallets tied to an overseas gang. Police found Telegram chats and details of 96 bank accounts and 30 debit cards on one phone. The reported Rs 410 crore total is not explained in the article. </w:t>
      </w:r>
      <w:r>
        <w:rPr>
          <w:rFonts w:ascii="Arial" w:cs="Arial" w:eastAsia="Arial" w:hAnsi="Arial"/>
          <w:b/>
          <w:bCs/>
          <w:color w:val="e0e0e0"/>
          <w:sz w:val="21"/>
          <w:szCs w:val="21"/>
        </w:rPr>
        <w:t xml:space="preserve">Our read: </w:t>
      </w:r>
      <w:r>
        <w:rPr>
          <w:rFonts w:ascii="Arial" w:cs="Arial" w:eastAsia="Arial" w:hAnsi="Arial"/>
          <w:color w:val="e0e0e0"/>
          <w:sz w:val="21"/>
          <w:szCs w:val="21"/>
        </w:rPr>
        <w:t xml:space="preserve">rented accounts, a business shell, and a stablecoin exit is a pattern your own new business accounts can show too.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review business accounts with trading or "digital" names that take many small inbound transfers from different states and sweep them out the same day.</w:t>
      </w:r>
    </w:p>
    <w:p>
      <w:pPr>
        <w:pStyle w:val="ListParagraph"/>
        <w:numPr>
          <w:ilvl w:val="0"/>
          <w:numId w:val="2"/>
        </w:numPr>
        <w:shd w:fill="121212" w:color="auto" w:val="clear"/>
        <w:spacing w:after="80" w:before="0" w:line="276"/>
      </w:pPr>
      <w:r>
        <w:rPr>
          <w:rFonts w:ascii="Arial" w:cs="Arial" w:eastAsia="Arial" w:hAnsi="Arial"/>
          <w:b/>
          <w:bCs/>
          <w:color w:val="b85d33"/>
          <w:sz w:val="21"/>
          <w:szCs w:val="21"/>
        </w:rPr>
        <w:t xml:space="preserve">Exchange and bank coordination (mid-October). </w:t>
      </w:r>
      <w:r>
        <w:rPr>
          <w:rFonts w:ascii="Arial" w:cs="Arial" w:eastAsia="Arial" w:hAnsi="Arial"/>
          <w:color w:val="e0e0e0"/>
          <w:sz w:val="21"/>
          <w:szCs w:val="21"/>
        </w:rPr>
        <w:t xml:space="preserve">DOJ described a first joint operation on West Africa-based scams, hosted by the UK National Crime Agency with Coinbase, Binance, Chainalysis, Elliptic, TRM Labs, and Meta. Per CoinDesk, 28 people were arrested in Ghana and Nigeria, Meta removed over 3.7 million Facebook and Instagram accounts and groups, and more than $11 million was flagged for a possible freeze; those are flags, not confirmed recoveries.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expect more freeze and information requests tied to crypto investment fraud; confirm who can approve a hold on your side and how fast, and use 314(b) sharing where you have it.</w:t>
      </w:r>
    </w:p>
    <w:p>
      <w:pPr>
        <w:pStyle w:val="Heading1"/>
        <w:keepNext/>
        <w:pBdr>
          <w:bottom w:val="single" w:color="c23b22" w:sz="8" w:space="4"/>
        </w:pBdr>
        <w:shd w:fill="121212" w:color="auto" w:val="clear"/>
        <w:spacing w:after="140" w:before="320"/>
      </w:pPr>
      <w:r>
        <w:rPr>
          <w:rFonts w:ascii="Arial" w:cs="Arial" w:eastAsia="Arial" w:hAnsi="Arial"/>
          <w:b/>
          <w:bCs/>
          <w:color w:val="c23b22"/>
          <w:sz w:val="28"/>
          <w:szCs w:val="28"/>
        </w:rPr>
        <w:t xml:space="preserve">🚩 3.  </w:t>
      </w:r>
      <w:r>
        <w:rPr>
          <w:rFonts w:ascii="Arial" w:cs="Arial" w:eastAsia="Arial" w:hAnsi="Arial"/>
          <w:b/>
          <w:bCs/>
          <w:color w:val="c23b22"/>
          <w:sz w:val="28"/>
          <w:szCs w:val="28"/>
        </w:rPr>
        <w:t xml:space="preserve">FRONTLINE RED FLAGS &amp; QUEUE INDICATORS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none" w:color="121212" w:sz="0"/>
              <w:left w:val="none" w:color="121212" w:sz="0"/>
              <w:bottom w:val="single" w:color="d4af37"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b/>
                <w:bCs/>
                <w:color w:val="d4af37"/>
                <w:spacing w:val="30"/>
                <w:sz w:val="18"/>
                <w:szCs w:val="18"/>
              </w:rPr>
              <w:t xml:space="preserve">QUEUE / AREA</w:t>
            </w:r>
          </w:p>
        </w:tc>
        <w:tc>
          <w:tcPr>
            <w:tcW w:type="dxa" w:w="7680"/>
            <w:tcBorders>
              <w:top w:val="none" w:color="121212" w:sz="0"/>
              <w:left w:val="none" w:color="121212" w:sz="0"/>
              <w:bottom w:val="single" w:color="d4af37"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b/>
                <w:bCs/>
                <w:color w:val="d4af37"/>
                <w:spacing w:val="30"/>
                <w:sz w:val="18"/>
                <w:szCs w:val="18"/>
              </w:rPr>
              <w:t xml:space="preserve">WHAT TO WATCH FOR</w:t>
            </w:r>
          </w:p>
        </w:tc>
      </w:tr>
      <w:tr>
        <w:tc>
          <w:tcPr>
            <w:tcW w:type="dxa" w:w="24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40"/>
            </w:pPr>
            <w:r>
              <w:rPr>
                <w:rFonts w:ascii="Arial" w:cs="Arial" w:eastAsia="Arial" w:hAnsi="Arial"/>
                <w:b/>
                <w:bCs/>
                <w:color w:val="d4af37"/>
                <w:sz w:val="20"/>
                <w:szCs w:val="20"/>
              </w:rPr>
              <w:t xml:space="preserve">Branch / teller line</w:t>
            </w:r>
          </w:p>
        </w:tc>
        <w:tc>
          <w:tcPr>
            <w:tcW w:type="dxa" w:w="7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A Treasury note or a large check that does not fit the customer's stated occupation or source of funds, followed by a request for cash before the item clears.</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A customer on an open phone call during the transaction, or one who says someone told them to keep the transfer from family. The FTC's older-adult report cites a victim told to keep payments secret.</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A wire or cashier's check request from a customer being coached. Pause and ask open questions: who asked you to do this, and how did they contact you?</w:t>
            </w:r>
          </w:p>
        </w:tc>
      </w:tr>
      <w:tr>
        <w:tc>
          <w:tcPr>
            <w:tcW w:type="dxa" w:w="24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40"/>
            </w:pPr>
            <w:r>
              <w:rPr>
                <w:rFonts w:ascii="Arial" w:cs="Arial" w:eastAsia="Arial" w:hAnsi="Arial"/>
                <w:b/>
                <w:bCs/>
                <w:color w:val="b85d33"/>
                <w:sz w:val="20"/>
                <w:szCs w:val="20"/>
              </w:rPr>
              <w:t xml:space="preserve">New accounts / onboarding</w:t>
            </w:r>
          </w:p>
        </w:tc>
        <w:tc>
          <w:tcPr>
            <w:tcW w:type="dxa" w:w="7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Student aid refund credits into an account whose holder shows no enrollment-consistent history, or one account receiving refunds for several unrelated students.</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Business entities with nominee directors or a registered-agent address that repeats across unrelated applicants. Run WHOIS on the applicant's domain and compare its registration date with the account opening date.</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A business account with a trading or "digital" name, opened recently, that takes many small third-party credits from different states.</w:t>
            </w:r>
          </w:p>
        </w:tc>
      </w:tr>
      <w:tr>
        <w:tc>
          <w:tcPr>
            <w:tcW w:type="dxa" w:w="24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40"/>
            </w:pPr>
            <w:r>
              <w:rPr>
                <w:rFonts w:ascii="Arial" w:cs="Arial" w:eastAsia="Arial" w:hAnsi="Arial"/>
                <w:b/>
                <w:bCs/>
                <w:color w:val="228b22"/>
                <w:sz w:val="20"/>
                <w:szCs w:val="20"/>
              </w:rPr>
              <w:t xml:space="preserve">Digital onboarding / IDV</w:t>
            </w:r>
          </w:p>
        </w:tc>
        <w:tc>
          <w:tcPr>
            <w:tcW w:type="dxa" w:w="7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ID photo and selfie that disagree on apparent age or sex, or a selfie that looks blended or too smooth. The ABN AMRO fraud surfaced this way.</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Several applications from one device or IP address with different ID documents, or vendor alerts for virtual camera, emulator, or hooked-app use.</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Applicants who pass liveness on the first try, with identical lighting or backgrounds across unrelated applications (a suggested check, not a vendor standard).</w:t>
            </w:r>
          </w:p>
        </w:tc>
      </w:tr>
      <w:tr>
        <w:tc>
          <w:tcPr>
            <w:tcW w:type="dxa" w:w="24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40"/>
            </w:pPr>
            <w:r>
              <w:rPr>
                <w:rFonts w:ascii="Arial" w:cs="Arial" w:eastAsia="Arial" w:hAnsi="Arial"/>
                <w:b/>
                <w:bCs/>
                <w:color w:val="228b22"/>
                <w:sz w:val="20"/>
                <w:szCs w:val="20"/>
              </w:rPr>
              <w:t xml:space="preserve">Deposit ops / ACH / check</w:t>
            </w:r>
          </w:p>
        </w:tc>
        <w:tc>
          <w:tcPr>
            <w:tcW w:type="dxa" w:w="7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ACH credits with "refund" plus a school name or initials in the description; group by receiving account.</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Large item deposits followed by outflows before the item clears; the same payer or item image across accounts that have no relationship.</w:t>
            </w:r>
          </w:p>
        </w:tc>
      </w:tr>
      <w:tr>
        <w:tc>
          <w:tcPr>
            <w:tcW w:type="dxa" w:w="24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40"/>
            </w:pPr>
            <w:r>
              <w:rPr>
                <w:rFonts w:ascii="Arial" w:cs="Arial" w:eastAsia="Arial" w:hAnsi="Arial"/>
                <w:b/>
                <w:bCs/>
                <w:color w:val="c23b22"/>
                <w:sz w:val="20"/>
                <w:szCs w:val="20"/>
              </w:rPr>
              <w:t xml:space="preserve">Online banking / TM rules</w:t>
            </w:r>
          </w:p>
        </w:tc>
        <w:tc>
          <w:tcPr>
            <w:tcW w:type="dxa" w:w="7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First outbound transfer within 24 hours of new-device enrollment, with the outbound near 30–40% of the balance. BioCatch's 38% average is a starting point for tuning, not a vendor rule.</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Remote access tool flag plus a new beneficiary plus an active call in the same session.</w:t>
            </w:r>
          </w:p>
        </w:tc>
      </w:tr>
      <w:tr>
        <w:tc>
          <w:tcPr>
            <w:tcW w:type="dxa" w:w="24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40"/>
            </w:pPr>
            <w:r>
              <w:rPr>
                <w:rFonts w:ascii="Arial" w:cs="Arial" w:eastAsia="Arial" w:hAnsi="Arial"/>
                <w:b/>
                <w:bCs/>
                <w:color w:val="d4af37"/>
                <w:sz w:val="20"/>
                <w:szCs w:val="20"/>
              </w:rPr>
              <w:t xml:space="preserve">Dispute / Reg E intake</w:t>
            </w:r>
          </w:p>
        </w:tc>
        <w:tc>
          <w:tcPr>
            <w:tcW w:type="dxa" w:w="7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Record how contact began (call, text, social post, ad), whether remote access software was installed, who gave the instructions, and what device and credentials were used. That record decides the classification.</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A customer who reports being contacted by an "FBI" or "IC3 recovery agent" on Telegram or by text. The FBI warned of this re-victimization script in July.</w:t>
            </w:r>
          </w:p>
        </w:tc>
      </w:tr>
      <w:tr>
        <w:tc>
          <w:tcPr>
            <w:tcW w:type="dxa" w:w="24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40"/>
            </w:pPr>
            <w:r>
              <w:rPr>
                <w:rFonts w:ascii="Arial" w:cs="Arial" w:eastAsia="Arial" w:hAnsi="Arial"/>
                <w:b/>
                <w:bCs/>
                <w:color w:val="b85d33"/>
                <w:sz w:val="20"/>
                <w:szCs w:val="20"/>
              </w:rPr>
              <w:t xml:space="preserve">BSA / SAR / crypto / sanctions</w:t>
            </w:r>
          </w:p>
        </w:tc>
        <w:tc>
          <w:tcPr>
            <w:tcW w:type="dxa" w:w="7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Where a FinCEN alert names a SAR key term, put it in the filing as the alert directs; cluster linked accounts in one narrative and quote the descriptor strings and school names.</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Hits on the Oct 21 designees; customers moving funds to exchanges, unhosted wallets, or OTC brokers without a documented business reason.</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Alert and case backlog aging beyond your own timeliness standard (see the Oct 13 Bank of America release).</w:t>
            </w:r>
          </w:p>
        </w:tc>
      </w:tr>
    </w:tbl>
    <w:p>
      <w:pPr>
        <w:pStyle w:val="Heading1"/>
        <w:keepNext/>
        <w:pBdr>
          <w:bottom w:val="single" w:color="228b22" w:sz="8" w:space="4"/>
        </w:pBdr>
        <w:shd w:fill="121212" w:color="auto" w:val="clear"/>
        <w:spacing w:after="140" w:before="320"/>
      </w:pPr>
      <w:r>
        <w:rPr>
          <w:rFonts w:ascii="Arial" w:cs="Arial" w:eastAsia="Arial" w:hAnsi="Arial"/>
          <w:b/>
          <w:bCs/>
          <w:color w:val="228b22"/>
          <w:sz w:val="28"/>
          <w:szCs w:val="28"/>
        </w:rPr>
        <w:t xml:space="preserve">🤝 4.  </w:t>
      </w:r>
      <w:r>
        <w:rPr>
          <w:rFonts w:ascii="Arial" w:cs="Arial" w:eastAsia="Arial" w:hAnsi="Arial"/>
          <w:b/>
          <w:bCs/>
          <w:color w:val="228b22"/>
          <w:sz w:val="28"/>
          <w:szCs w:val="28"/>
        </w:rPr>
        <w:t xml:space="preserve">AFTERCARE &amp; HUMAN RISK NOTE</w:t>
      </w:r>
    </w:p>
    <w:p>
      <w:pPr>
        <w:pStyle w:val="ListParagraph"/>
        <w:numPr>
          <w:ilvl w:val="0"/>
          <w:numId w:val="2"/>
        </w:numPr>
        <w:shd w:fill="121212" w:color="auto" w:val="clear"/>
        <w:spacing w:after="80" w:before="0" w:line="276"/>
      </w:pPr>
      <w:r>
        <w:rPr>
          <w:rFonts w:ascii="Arial" w:cs="Arial" w:eastAsia="Arial" w:hAnsi="Arial"/>
          <w:b/>
          <w:bCs/>
          <w:color w:val="d4af37"/>
          <w:sz w:val="21"/>
          <w:szCs w:val="21"/>
        </w:rPr>
        <w:t xml:space="preserve">Lead with the customer, not the loss. </w:t>
      </w:r>
      <w:r>
        <w:rPr>
          <w:rFonts w:ascii="Arial" w:cs="Arial" w:eastAsia="Arial" w:hAnsi="Arial"/>
          <w:color w:val="e0e0e0"/>
          <w:sz w:val="21"/>
          <w:szCs w:val="21"/>
        </w:rPr>
        <w:t xml:space="preserve">Coached victims often still believe the caller. Skip "you should have known" and "are you being scammed?" Ask who contacted them, what they were told to do, and who else knows. The FTC's Oct 19 report on older adults found that losses over $100,000 were a small share of reports but 70% of total dollars lost.</w:t>
      </w:r>
    </w:p>
    <w:p>
      <w:pPr>
        <w:pStyle w:val="ListParagraph"/>
        <w:numPr>
          <w:ilvl w:val="0"/>
          <w:numId w:val="2"/>
        </w:numPr>
        <w:shd w:fill="121212" w:color="auto" w:val="clear"/>
        <w:spacing w:after="80" w:before="0" w:line="276"/>
      </w:pPr>
      <w:r>
        <w:rPr>
          <w:rFonts w:ascii="Arial" w:cs="Arial" w:eastAsia="Arial" w:hAnsi="Arial"/>
          <w:b/>
          <w:bCs/>
          <w:color w:val="d4af37"/>
          <w:sz w:val="21"/>
          <w:szCs w:val="21"/>
        </w:rPr>
        <w:t xml:space="preserve">Be straight about recovery. </w:t>
      </w:r>
      <w:r>
        <w:rPr>
          <w:rFonts w:ascii="Arial" w:cs="Arial" w:eastAsia="Arial" w:hAnsi="Arial"/>
          <w:color w:val="e0e0e0"/>
          <w:sz w:val="21"/>
          <w:szCs w:val="21"/>
        </w:rPr>
        <w:t xml:space="preserve">Wire recall and ACH return windows are short, so start them the same day. Do not promise money back. Tell the customer what you are doing, what you cannot control, and when they will hear from you next. Exchange holds, as in TRM's exchange alert model, can freeze funds for review but carry no guarantee of recovery.</w:t>
      </w:r>
    </w:p>
    <w:p>
      <w:pPr>
        <w:pStyle w:val="ListParagraph"/>
        <w:numPr>
          <w:ilvl w:val="0"/>
          <w:numId w:val="2"/>
        </w:numPr>
        <w:shd w:fill="121212" w:color="auto" w:val="clear"/>
        <w:spacing w:after="80" w:before="0" w:line="276"/>
      </w:pPr>
      <w:r>
        <w:rPr>
          <w:rFonts w:ascii="Arial" w:cs="Arial" w:eastAsia="Arial" w:hAnsi="Arial"/>
          <w:b/>
          <w:bCs/>
          <w:color w:val="d4af37"/>
          <w:sz w:val="21"/>
          <w:szCs w:val="21"/>
        </w:rPr>
        <w:t xml:space="preserve">Close the re-victimization door. </w:t>
      </w:r>
      <w:r>
        <w:rPr>
          <w:rFonts w:ascii="Arial" w:cs="Arial" w:eastAsia="Arial" w:hAnsi="Arial"/>
          <w:color w:val="e0e0e0"/>
          <w:sz w:val="21"/>
          <w:szCs w:val="21"/>
        </w:rPr>
        <w:t xml:space="preserve">Tell the customer up front that neither the bank nor the FBI will ask for a fee or reach out on Telegram to "help" with a complaint. Scammers use the victim's own threat to report as the cue to send a fake IC3 contact (FBI PSA I-072026-PSA, July 20, 2026). Add "recovery agent" and "IC3 follow-up" to the list of things staff ask about at every fraud intake.</w:t>
      </w:r>
    </w:p>
    <w:p>
      <w:pPr>
        <w:pStyle w:val="ListParagraph"/>
        <w:numPr>
          <w:ilvl w:val="0"/>
          <w:numId w:val="2"/>
        </w:numPr>
        <w:shd w:fill="121212" w:color="auto" w:val="clear"/>
        <w:spacing w:after="80" w:before="0" w:line="276"/>
      </w:pPr>
      <w:r>
        <w:rPr>
          <w:rFonts w:ascii="Arial" w:cs="Arial" w:eastAsia="Arial" w:hAnsi="Arial"/>
          <w:b/>
          <w:bCs/>
          <w:color w:val="d4af37"/>
          <w:sz w:val="21"/>
          <w:szCs w:val="21"/>
        </w:rPr>
        <w:t xml:space="preserve">Run mule interviews as fact-finding. </w:t>
      </w:r>
      <w:r>
        <w:rPr>
          <w:rFonts w:ascii="Arial" w:cs="Arial" w:eastAsia="Arial" w:hAnsi="Arial"/>
          <w:color w:val="e0e0e0"/>
          <w:sz w:val="21"/>
          <w:szCs w:val="21"/>
        </w:rPr>
        <w:t xml:space="preserve">Many account holders in the SDNY-style chain did not know they were moving criminal proceeds. Route through the BSA officer, ask how the opportunity reached them, what app or handle the recruiter used, and what they were told the money was. Ask them to keep the chat. Keep the tone factual so they will give you the recruiter's handle, and do not discuss charges or closure outcomes at the desk.</w:t>
      </w:r>
    </w:p>
    <w:p>
      <w:pPr>
        <w:pStyle w:val="ListParagraph"/>
        <w:numPr>
          <w:ilvl w:val="0"/>
          <w:numId w:val="2"/>
        </w:numPr>
        <w:shd w:fill="121212" w:color="auto" w:val="clear"/>
        <w:spacing w:after="80" w:before="0" w:line="276"/>
      </w:pPr>
      <w:r>
        <w:rPr>
          <w:rFonts w:ascii="Arial" w:cs="Arial" w:eastAsia="Arial" w:hAnsi="Arial"/>
          <w:b/>
          <w:bCs/>
          <w:color w:val="d4af37"/>
          <w:sz w:val="21"/>
          <w:szCs w:val="21"/>
        </w:rPr>
        <w:t xml:space="preserve">Protect your own front line. </w:t>
      </w:r>
      <w:r>
        <w:rPr>
          <w:rFonts w:ascii="Arial" w:cs="Arial" w:eastAsia="Arial" w:hAnsi="Arial"/>
          <w:color w:val="e0e0e0"/>
          <w:sz w:val="21"/>
          <w:szCs w:val="21"/>
        </w:rPr>
        <w:t xml:space="preserve">Tellers and dispute handlers who processed a transfer later found to be a scam often carry it. Hold a no-blame debrief within the week, confirm the pause-and-ask step they used was the right call, and give them a script for the next hard conversation. The ABA relaunched #BanksNeverAskThat and #PracticeSafeChecks on Oct 1 with a focus on AI-powered scams; those materials give staff and customers shared language.</w:t>
      </w:r>
    </w:p>
    <w:p>
      <w:pPr>
        <w:pStyle w:val="Heading1"/>
        <w:keepNext/>
        <w:pBdr>
          <w:bottom w:val="single" w:color="d4af37" w:sz="8" w:space="4"/>
        </w:pBdr>
        <w:shd w:fill="121212" w:color="auto" w:val="clear"/>
        <w:spacing w:after="140" w:before="320"/>
      </w:pPr>
      <w:r>
        <w:rPr>
          <w:rFonts w:ascii="Arial" w:cs="Arial" w:eastAsia="Arial" w:hAnsi="Arial"/>
          <w:b/>
          <w:bCs/>
          <w:color w:val="d4af37"/>
          <w:sz w:val="28"/>
          <w:szCs w:val="28"/>
        </w:rPr>
        <w:t xml:space="preserve">📚 5.  </w:t>
      </w:r>
      <w:r>
        <w:rPr>
          <w:rFonts w:ascii="Arial" w:cs="Arial" w:eastAsia="Arial" w:hAnsi="Arial"/>
          <w:b/>
          <w:bCs/>
          <w:color w:val="d4af37"/>
          <w:sz w:val="28"/>
          <w:szCs w:val="28"/>
        </w:rPr>
        <w:t xml:space="preserve">CURATED RESEARCH &amp; DEEP-DIVE LINKS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4680"/>
      </w:tblGrid>
      <w:tr>
        <w:trPr>
          <w:tblHeader/>
        </w:trPr>
        <w:tc>
          <w:tcPr>
            <w:tcW w:type="dxa" w:w="3500"/>
            <w:tcBorders>
              <w:top w:val="none" w:color="121212" w:sz="0"/>
              <w:left w:val="none" w:color="121212" w:sz="0"/>
              <w:bottom w:val="single" w:color="d4af37"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b/>
                <w:bCs/>
                <w:color w:val="d4af37"/>
                <w:spacing w:val="30"/>
                <w:sz w:val="18"/>
                <w:szCs w:val="18"/>
              </w:rPr>
              <w:t xml:space="preserve">DOCUMENT</w:t>
            </w:r>
          </w:p>
        </w:tc>
        <w:tc>
          <w:tcPr>
            <w:tcW w:type="dxa" w:w="1900"/>
            <w:tcBorders>
              <w:top w:val="none" w:color="121212" w:sz="0"/>
              <w:left w:val="none" w:color="121212" w:sz="0"/>
              <w:bottom w:val="single" w:color="d4af37"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b/>
                <w:bCs/>
                <w:color w:val="d4af37"/>
                <w:spacing w:val="30"/>
                <w:sz w:val="18"/>
                <w:szCs w:val="18"/>
              </w:rPr>
              <w:t xml:space="preserve">SOURCE / DATE</w:t>
            </w:r>
          </w:p>
        </w:tc>
        <w:tc>
          <w:tcPr>
            <w:tcW w:type="dxa" w:w="4680"/>
            <w:tcBorders>
              <w:top w:val="none" w:color="121212" w:sz="0"/>
              <w:left w:val="none" w:color="121212" w:sz="0"/>
              <w:bottom w:val="single" w:color="d4af37"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b/>
                <w:bCs/>
                <w:color w:val="d4af37"/>
                <w:spacing w:val="30"/>
                <w:sz w:val="18"/>
                <w:szCs w:val="18"/>
              </w:rPr>
              <w:t xml:space="preserve">WHY IT IS WORTH YOUR TIME</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1zf4tbbyqgevxmojfkw-z">
              <w:r>
                <w:rPr>
                  <w:rFonts w:ascii="Arial" w:cs="Arial" w:eastAsia="Arial" w:hAnsi="Arial"/>
                  <w:color w:val="d4af37"/>
                  <w:sz w:val="19"/>
                  <w:szCs w:val="19"/>
                  <w:u w:val="single"/>
                </w:rPr>
                <w:t xml:space="preserve">U.S. Treasury: $270M in suspicious activity linked to federal student aid fraud</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Treasury, Oct 19,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Primary source for the ghost versus straw student typology, the refund descriptor, and the SAR-to-referral numbers.</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kx-amvtsj5vem_bvffvdo">
              <w:r>
                <w:rPr>
                  <w:rFonts w:ascii="Arial" w:cs="Arial" w:eastAsia="Arial" w:hAnsi="Arial"/>
                  <w:color w:val="d4af37"/>
                  <w:sz w:val="19"/>
                  <w:szCs w:val="19"/>
                  <w:u w:val="single"/>
                </w:rPr>
                <w:t xml:space="preserve">FinCEN Alert: Fraud Schemes Targeting Federal Student Aid</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FinCEN, July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The red-flag list your monitoring rules should map to, with the SAR language FinCEN asked for.</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gmti18wjcky21w-rg9nd9">
              <w:r>
                <w:rPr>
                  <w:rFonts w:ascii="Arial" w:cs="Arial" w:eastAsia="Arial" w:hAnsi="Arial"/>
                  <w:color w:val="d4af37"/>
                  <w:sz w:val="19"/>
                  <w:szCs w:val="19"/>
                  <w:u w:val="single"/>
                </w:rPr>
                <w:t xml:space="preserve">SDNY: Eight Defendants Charged in Multimillion-Dollar Fraud Scheme</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DOJ SDNY, Oct 21,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Plain description of social-media account recruitment and counterfeit deposit cash-outs, with a redacted indictment attached.</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qqzfznfu4bczw6ouds9du">
              <w:r>
                <w:rPr>
                  <w:rFonts w:ascii="Arial" w:cs="Arial" w:eastAsia="Arial" w:hAnsi="Arial"/>
                  <w:color w:val="d4af37"/>
                  <w:sz w:val="19"/>
                  <w:szCs w:val="19"/>
                  <w:u w:val="single"/>
                </w:rPr>
                <w:t xml:space="preserve">BioCatch: 2026 Digital Banking Fraud Trends in the U.S. Mid-Market</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BioCatch, Oct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Benchmark your mule-session and new-device numbers against 250-plus community banks and credit unions.</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vnhucb2ph2rmvjbon2k_6">
              <w:r>
                <w:rPr>
                  <w:rFonts w:ascii="Arial" w:cs="Arial" w:eastAsia="Arial" w:hAnsi="Arial"/>
                  <w:color w:val="d4af37"/>
                  <w:sz w:val="19"/>
                  <w:szCs w:val="19"/>
                  <w:u w:val="single"/>
                </w:rPr>
                <w:t xml:space="preserve">TransUnion: 81% of suspected digital fraud attacks target existing customer relationships</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TransUnion, Oct 22,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Supports in-session monitoring of established customers and gives synthetic identity exposure figures for lenders.</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expdfvvddv9grcalmezco">
              <w:r>
                <w:rPr>
                  <w:rFonts w:ascii="Arial" w:cs="Arial" w:eastAsia="Arial" w:hAnsi="Arial"/>
                  <w:color w:val="d4af37"/>
                  <w:sz w:val="19"/>
                  <w:szCs w:val="19"/>
                  <w:u w:val="single"/>
                </w:rPr>
                <w:t xml:space="preserve">FTC: Protecting Older Consumers 2025–2026 (report to Congress)</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FTC, Oct 19,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Loss data by scam type and contact method for elder exploitation SAR narratives and branch staff training.</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yhjoznp6vixergb4ovtgc">
              <w:r>
                <w:rPr>
                  <w:rFonts w:ascii="Arial" w:cs="Arial" w:eastAsia="Arial" w:hAnsi="Arial"/>
                  <w:color w:val="d4af37"/>
                  <w:sz w:val="19"/>
                  <w:szCs w:val="19"/>
                  <w:u w:val="single"/>
                </w:rPr>
                <w:t xml:space="preserve">Treasury: Record enforcement actions against Bank of America</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Treasury, Oct 13,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The clearest recent read on how FinCEN, the OCC, and OFAC treat SAR timeliness, monitoring gaps, and correspondent due diligence.</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s57hxrb632oniwb_iaomc">
              <w:r>
                <w:rPr>
                  <w:rFonts w:ascii="Arial" w:cs="Arial" w:eastAsia="Arial" w:hAnsi="Arial"/>
                  <w:color w:val="d4af37"/>
                  <w:sz w:val="19"/>
                  <w:szCs w:val="19"/>
                  <w:u w:val="single"/>
                </w:rPr>
                <w:t xml:space="preserve">TRM Labs on Southeast Asian scam infrastructure (via TokenPost)</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TRM Labs coverage, Oct 21,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Explains the exchange alert-and-hold approach and the rise in AI use across scam reports.</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o9zaa4jya6vm99bjefauh">
              <w:r>
                <w:rPr>
                  <w:rFonts w:ascii="Arial" w:cs="Arial" w:eastAsia="Arial" w:hAnsi="Arial"/>
                  <w:color w:val="d4af37"/>
                  <w:sz w:val="19"/>
                  <w:szCs w:val="19"/>
                  <w:u w:val="single"/>
                </w:rPr>
                <w:t xml:space="preserve">CoinDesk: Exchanges join West Africa scam sweep that flagged $11 million</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CoinDesk, Oct 14,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Shows how exchanges, on-chain analytics firms, and law enforcement now work freezes together, which sets customer expectations on recovery.</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6bon84mmco7h9_0xt4rnz">
              <w:r>
                <w:rPr>
                  <w:rFonts w:ascii="Arial" w:cs="Arial" w:eastAsia="Arial" w:hAnsi="Arial"/>
                  <w:color w:val="d4af37"/>
                  <w:sz w:val="19"/>
                  <w:szCs w:val="19"/>
                  <w:u w:val="single"/>
                </w:rPr>
                <w:t xml:space="preserve">Security Boulevard: Deepfakes are driving $40B of fraudulent transactions</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Security Boulevard (identifAI report), Oct 13,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Summary of injection and identity-morphing attacks on biometric onboarding; the underlying report comes from a vendor, so read the figures with that in mind.</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0y5yrpyfihffonyylcbnt">
              <w:r>
                <w:rPr>
                  <w:rFonts w:ascii="Arial" w:cs="Arial" w:eastAsia="Arial" w:hAnsi="Arial"/>
                  <w:color w:val="d4af37"/>
                  <w:sz w:val="19"/>
                  <w:szCs w:val="19"/>
                  <w:u w:val="single"/>
                </w:rPr>
                <w:t xml:space="preserve">FBI IC3 PSA: Scammers impersonating the IC3</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FBI IC3, July 20,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The re-victimization script to warn customers about at intake.</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ywuw27okqxqe8zqkepqao">
              <w:r>
                <w:rPr>
                  <w:rFonts w:ascii="Arial" w:cs="Arial" w:eastAsia="Arial" w:hAnsi="Arial"/>
                  <w:color w:val="d4af37"/>
                  <w:sz w:val="19"/>
                  <w:szCs w:val="19"/>
                  <w:u w:val="single"/>
                </w:rPr>
                <w:t xml:space="preserve">Federal Reserve Financial Services: 2026 Risk Officer Survey</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Fed Services, published ahead of this window</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Finds two-thirds of mule account fraud involves deceived legitimate customers, and that mule accounts are often found only after funds move.</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lazgorrqklayhj7t-fn99">
              <w:r>
                <w:rPr>
                  <w:rFonts w:ascii="Arial" w:cs="Arial" w:eastAsia="Arial" w:hAnsi="Arial"/>
                  <w:color w:val="d4af37"/>
                  <w:sz w:val="19"/>
                  <w:szCs w:val="19"/>
                  <w:u w:val="single"/>
                </w:rPr>
                <w:t xml:space="preserve">ABA Banking Journal: #BanksNeverAskThat and #PracticeSafeChecks relaunch</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ABA, Oct 1,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Ready-made consumer education on check fraud and bank impersonation, now with an AI scam focus.</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6svfbcmq4hf8fyrxvivkt">
              <w:r>
                <w:rPr>
                  <w:rFonts w:ascii="Arial" w:cs="Arial" w:eastAsia="Arial" w:hAnsi="Arial"/>
                  <w:color w:val="d4af37"/>
                  <w:sz w:val="19"/>
                  <w:szCs w:val="19"/>
                  <w:u w:val="single"/>
                </w:rPr>
                <w:t xml:space="preserve">Karnakis and Karnakis designation summary</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sanctions.com, Oct 21,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Secondary summary of the OFAC action; pull the SDN entries from OFAC before screening.</w:t>
            </w:r>
          </w:p>
        </w:tc>
      </w:tr>
    </w:tbl>
    <w:p>
      <w:pPr>
        <w:pStyle w:val="Heading1"/>
        <w:keepNext/>
        <w:pBdr>
          <w:bottom w:val="single" w:color="b85d33" w:sz="8" w:space="4"/>
        </w:pBdr>
        <w:shd w:fill="121212" w:color="auto" w:val="clear"/>
        <w:spacing w:after="140" w:before="320"/>
      </w:pPr>
      <w:r>
        <w:rPr>
          <w:rFonts w:ascii="Arial" w:cs="Arial" w:eastAsia="Arial" w:hAnsi="Arial"/>
          <w:b/>
          <w:bCs/>
          <w:color w:val="b85d33"/>
          <w:sz w:val="28"/>
          <w:szCs w:val="28"/>
        </w:rPr>
        <w:t xml:space="preserve">📋  </w:t>
      </w:r>
      <w:r>
        <w:rPr>
          <w:rFonts w:ascii="Arial" w:cs="Arial" w:eastAsia="Arial" w:hAnsi="Arial"/>
          <w:b/>
          <w:bCs/>
          <w:color w:val="b85d33"/>
          <w:sz w:val="28"/>
          <w:szCs w:val="28"/>
        </w:rPr>
        <w:t xml:space="preserve">COVERAGE NOTES &amp; DISCLAIMER</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Reviewed, government: </w:t>
      </w:r>
      <w:r>
        <w:rPr>
          <w:rFonts w:ascii="Arial" w:cs="Arial" w:eastAsia="Arial" w:hAnsi="Arial"/>
          <w:color w:val="e0e0e0"/>
          <w:sz w:val="19"/>
          <w:szCs w:val="19"/>
        </w:rPr>
        <w:t xml:space="preserve">FinCEN and Treasury releases, OFAC actions, DOJ press releases (SDNY and Main Justice), FTC press releases and the older-adult report, FBI/IC3 PSAs and joint advisories, CFPB newsroom, and the OCC through the Bank of America release. SEC and FFIEC were searched; the one SEC litigation release page returned by search could not be retrieved, and no FFIEC issuance surfaced for the window, so neither feeds a signal.</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Reviewed, vendors and industry: </w:t>
      </w:r>
      <w:r>
        <w:rPr>
          <w:rFonts w:ascii="Arial" w:cs="Arial" w:eastAsia="Arial" w:hAnsi="Arial"/>
          <w:color w:val="e0e0e0"/>
          <w:sz w:val="19"/>
          <w:szCs w:val="19"/>
        </w:rPr>
        <w:t xml:space="preserve">BioCatch, TransUnion, TRM Labs, identifAI, iProov, Nasdaq Verafin, and ABA Banking Journal. ACAMS and ACFE sites were searched and returned no dated in-window items.</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Missing vendor notes: </w:t>
      </w:r>
      <w:r>
        <w:rPr>
          <w:rFonts w:ascii="Arial" w:cs="Arial" w:eastAsia="Arial" w:hAnsi="Arial"/>
          <w:color w:val="e0e0e0"/>
          <w:sz w:val="19"/>
          <w:szCs w:val="19"/>
        </w:rPr>
        <w:t xml:space="preserve">no in-window posts found for Frank on Fraud, About Fraud, LexisNexis Risk Solutions (award and ranking releases only), IronVest, NoFraud, or a standalone Q6 Cyber report. The Verafin and Q6 Cyber dark web intelligence partnership dates to Aug 27, outside the window. No in-window Chainalysis or Elliptic report was found; TRM Labs and the CoinDesk piece carry the on-chain content.</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OSINT and law firm coverage: </w:t>
      </w:r>
      <w:r>
        <w:rPr>
          <w:rFonts w:ascii="Arial" w:cs="Arial" w:eastAsia="Arial" w:hAnsi="Arial"/>
          <w:color w:val="e0e0e0"/>
          <w:sz w:val="19"/>
          <w:szCs w:val="19"/>
        </w:rPr>
        <w:t xml:space="preserve">Telegram and darknet material rests on April 2026 reporting relayed by a secondary site and on Indian police reporting dated Oct 24, not on direct collection. Law firm notes (Troutman Pepper Locke weekly newsletter of Oct 20, HFS Kramer on the Oct 15 Iran actions) were used to corroborate agency actions, not as primary sources.</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Thin spots: </w:t>
      </w:r>
      <w:r>
        <w:rPr>
          <w:rFonts w:ascii="Arial" w:cs="Arial" w:eastAsia="Arial" w:hAnsi="Arial"/>
          <w:color w:val="e0e0e0"/>
          <w:sz w:val="19"/>
          <w:szCs w:val="19"/>
        </w:rPr>
        <w:t xml:space="preserve">searches on check fraud and mail theft and on Reg E returned no dated primary reports inside Oct 17–24. Check and ACH coverage therefore comes through the student aid refund and SDNY counterfeit deposit cases, and Reg E appears as an intake and classification point, not a new rule or action. Deepfake figures come from vendors that sell detection.</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Regulatory context: </w:t>
      </w:r>
      <w:r>
        <w:rPr>
          <w:rFonts w:ascii="Arial" w:cs="Arial" w:eastAsia="Arial" w:hAnsi="Arial"/>
          <w:color w:val="e0e0e0"/>
          <w:sz w:val="19"/>
          <w:szCs w:val="19"/>
        </w:rPr>
        <w:t xml:space="preserve">the Oct 13 Bank of America orders (above). FinCEN issued FIN-2026-Alert005 on Sept 3 on digital asset investment scam centers (nearly $13 billion identified), the A7 Network alert (FIN-2026-Alert007, Oct 1, SAR key term FIN-2026-A7NETWORK, which includes stablecoin A7A5 red flags), and the Oct 15 alert on Iranian abuse of religious charity networks. FinCEN also withdrew two digital asset proposals (wallet and mixing) in early to mid October, per a Compliance Alliance newsletter, which does not change existing BSA obligations. Trade press reports FinCEN clarified use of mobile driver's licences in onboarding on Oct 14. The CFPB announced on Oct 14 a review of nine large banks' account closures; a third-party tally says the CFPB had filed no enforcement action against any company in 2026 as of Oct 12. GRC teams should check how closures after SAR-driven decisions are documented.</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Left out: </w:t>
      </w:r>
      <w:r>
        <w:rPr>
          <w:rFonts w:ascii="Arial" w:cs="Arial" w:eastAsia="Arial" w:hAnsi="Arial"/>
          <w:color w:val="e0e0e0"/>
          <w:sz w:val="19"/>
          <w:szCs w:val="19"/>
        </w:rPr>
        <w:t xml:space="preserve">DOJ's Oct 22–23 Los Angeles health care fraud takedown ($1.8 billion in claims) and the FBI/CISA election-related PSAs (Oct 15–16), which are not core banking signals.</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Sourcing limits: </w:t>
      </w:r>
      <w:r>
        <w:rPr>
          <w:rFonts w:ascii="Arial" w:cs="Arial" w:eastAsia="Arial" w:hAnsi="Arial"/>
          <w:color w:val="e0e0e0"/>
          <w:sz w:val="19"/>
          <w:szCs w:val="19"/>
        </w:rPr>
        <w:t xml:space="preserve">BioCatch, TransUnion, Karnakis, TRM, identifAI, and the USDT sentence figures come from trade press or press-release excerpts, not full report text. The FTC's Oct 22 actions (GovAssist and a debt relief ban involving bank and card issuer impersonation) were seen only as headlines. Indictment details are allegations.</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Format: </w:t>
      </w:r>
      <w:r>
        <w:rPr>
          <w:rFonts w:ascii="Arial" w:cs="Arial" w:eastAsia="Arial" w:hAnsi="Arial"/>
          <w:color w:val="e0e0e0"/>
          <w:sz w:val="19"/>
          <w:szCs w:val="19"/>
        </w:rPr>
        <w:t xml:space="preserve">the dark page background shows in Word and most viewers; some print dialogs and web previews drop it, so text blocks are shaded to stay readable.</w:t>
      </w:r>
    </w:p>
    <w:p>
      <w:pPr>
        <w:shd w:fill="121212" w:color="auto" w:val="clear"/>
        <w:spacing w:after="120" w:before="0" w:line="240"/>
      </w:pPr>
      <w:r>
        <w:rPr>
          <w:rFonts w:ascii="Arial" w:cs="Arial" w:eastAsia="Arial" w:hAnsi="Arial"/>
          <w:color w:val="e0e0e0"/>
          <w:sz w:val="4"/>
          <w:szCs w:val="4"/>
        </w:rPr>
        <w:t xml:space="preserve"/>
      </w:r>
    </w:p>
    <w:p>
      <w:pPr>
        <w:pBdr>
          <w:top w:val="single" w:color="d4af37" w:sz="8" w:space="8"/>
        </w:pBdr>
        <w:shd w:fill="121212" w:color="auto" w:val="clear"/>
        <w:spacing w:after="0" w:before="120"/>
      </w:pPr>
      <w:r>
        <w:rPr>
          <w:rFonts w:ascii="Arial" w:cs="Arial" w:eastAsia="Arial" w:hAnsi="Arial"/>
          <w:i/>
          <w:iCs/>
          <w:color w:val="d4af37"/>
          <w:sz w:val="19"/>
          <w:szCs w:val="19"/>
        </w:rPr>
        <w:t xml:space="preserve">For professional peer intelligence and educational use only. Does not constitute formal legal, regulatory, compliance, or financial advice.</w:t>
      </w:r>
    </w:p>
    <w:sectPr>
      <w:footerReference w:type="default" r:id="rId6"/>
      <w:pgSz w:w="12240" w:h="15840" w:orient="portrait"/>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121212" w:color="auto" w:val="clear"/>
      <w:jc w:val="center"/>
    </w:pPr>
    <w:r>
      <w:rPr>
        <w:rFonts w:ascii="Arial" w:cs="Arial" w:eastAsia="Arial" w:hAnsi="Arial"/>
        <w:color w:val="e0e0e0"/>
        <w:sz w:val="16"/>
        <w:szCs w:val="16"/>
      </w:rPr>
      <w:t xml:space="preserve">SHIELD · The 314 Collective · Weekly Intelligence Briefing · Page </w:t>
    </w:r>
    <w:r>
      <w:rPr>
        <w:rFonts w:ascii="Arial" w:cs="Arial" w:eastAsia="Arial" w:hAnsi="Arial"/>
        <w:color w:val="d4af3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rPr>
        <w:color w:val="d4af3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0e0e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d4af37"/>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1zf4tbbyqgevxmojfkw-z" Type="http://schemas.openxmlformats.org/officeDocument/2006/relationships/hyperlink" Target="https://home.treasury.gov/news/press-releases/sb0663" TargetMode="External"/><Relationship Id="rIdkx-amvtsj5vem_bvffvdo" Type="http://schemas.openxmlformats.org/officeDocument/2006/relationships/hyperlink" Target="https://www.fincen.gov/system/files/2026-07/FinCEN-Alert-Fraud-Schemes-Targeting-Federal-Student-Aid.pdf" TargetMode="External"/><Relationship Id="rIdgmti18wjcky21w-rg9nd9" Type="http://schemas.openxmlformats.org/officeDocument/2006/relationships/hyperlink" Target="https://www.justice.gov/usao-sdny/pr/eight-defendants-charged-multimillion-dollar-fraud-scheme" TargetMode="External"/><Relationship Id="rIdqqzfznfu4bczw6ouds9du" Type="http://schemas.openxmlformats.org/officeDocument/2006/relationships/hyperlink" Target="https://www.biocatch.com/report-2026-digital-banking-fraud-trends-in-the-usa" TargetMode="External"/><Relationship Id="rIdvnhucb2ph2rmvjbon2k_6" Type="http://schemas.openxmlformats.org/officeDocument/2006/relationships/hyperlink" Target="https://globenewswire.com/news-release/2026/10/22/3386320/0/en/81-of-suspected-digital-fraud-attacks-target-existing-customer-relationships-transunion-finds.html" TargetMode="External"/><Relationship Id="rIdexpdfvvddv9grcalmezco" Type="http://schemas.openxmlformats.org/officeDocument/2006/relationships/hyperlink" Target="https://www.ftc.gov/system/files/ftc_gov/pdf/2026-older-adults-report-10192026.pdf" TargetMode="External"/><Relationship Id="rIdyhjoznp6vixergb4ovtgc" Type="http://schemas.openxmlformats.org/officeDocument/2006/relationships/hyperlink" Target="https://home.treasury.gov/news/press-releases/sb0657" TargetMode="External"/><Relationship Id="rIds57hxrb632oniwb_iaomc" Type="http://schemas.openxmlformats.org/officeDocument/2006/relationships/hyperlink" Target="https://tokenpost.com/news/technology/36830" TargetMode="External"/><Relationship Id="rIdo9zaa4jya6vm99bjefauh" Type="http://schemas.openxmlformats.org/officeDocument/2006/relationships/hyperlink" Target="https://www.coindesk.com/business/2026/10/14/crypto-exchanges-binance-coinbase-join-west-africa-scam-sweep-that-flagged-usd11-million" TargetMode="External"/><Relationship Id="rId6bon84mmco7h9_0xt4rnz" Type="http://schemas.openxmlformats.org/officeDocument/2006/relationships/hyperlink" Target="https://securityboulevard.com/2026/10/report-deepfakes-are-driving-40b-of-fraudulent-transactions/" TargetMode="External"/><Relationship Id="rId0y5yrpyfihffonyylcbnt" Type="http://schemas.openxmlformats.org/officeDocument/2006/relationships/hyperlink" Target="https://www.ic3.gov/PSA/2026/PSA260720" TargetMode="External"/><Relationship Id="rIdywuw27okqxqe8zqkepqao" Type="http://schemas.openxmlformats.org/officeDocument/2006/relationships/hyperlink" Target="https://www.frbservices.org/wp-content/uploads/2026-risk-officer-survey.pdf" TargetMode="External"/><Relationship Id="rIdlazgorrqklayhj7t-fn99" Type="http://schemas.openxmlformats.org/officeDocument/2006/relationships/hyperlink" Target="https://bankingjournal.aba.com/2026/10/abas-nichols-announces-banksneveraskthat-practicesafechecks-relaunch-on-cnbc/" TargetMode="External"/><Relationship Id="rId6svfbcmq4hf8fyrxvivkt" Type="http://schemas.openxmlformats.org/officeDocument/2006/relationships/hyperlink" Target="https://sanctions.com/articles/law-firm-behind-irans-shadow-fleet-sanctioned-by-ofac"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SHIELD Weekly Intelligence Briefing - Oct 17-24, 2026</dc:title>
  <dc:creator>SHIELD: The 314 Collective</dc:creator>
  <cp:lastModifiedBy>Un-named</cp:lastModifiedBy>
  <cp:revision>1</cp:revision>
  <dcterms:created xsi:type="dcterms:W3CDTF">2026-10-25T14:24:33.305Z</dcterms:created>
  <dcterms:modified xsi:type="dcterms:W3CDTF">2026-10-25T14:24:33.305Z</dcterms:modified>
</cp:coreProperties>
</file>

<file path=docProps/custom.xml><?xml version="1.0" encoding="utf-8"?>
<Properties xmlns="http://schemas.openxmlformats.org/officeDocument/2006/custom-properties" xmlns:vt="http://schemas.openxmlformats.org/officeDocument/2006/docPropsVTypes"/>
</file>