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>
  <ns0:body>
    <ns0:p>
      <ns0:pPr>
        <ns0:spacing ns0:before="0" ns0:after="75" ns0:line="230" ns0:lineRule="auto"/>
        <ns0:keepNext/>
      </ns0:pPr>
      <ns0:r>
        <ns0:rPr>
          <ns0:rFonts ns0:ascii="Arial" ns0:hAnsi="Arial" ns0:cs="Arial"/>
          <ns0:color ns0:val="A3337D"/>
          <ns0:sz ns0:val="17"/>
          <ns0:b/>
        </ns0:rPr>
        <ns0:t>BUSINESS MODEL - ONE-PAGE OVERVIEW</ns0:t>
      </ns0:r>
    </ns0:p>
    <ns0:p>
      <ns0:pPr>
        <ns0:spacing ns0:before="0" ns0:after="75" ns0:line="230" ns0:lineRule="auto"/>
        <ns0:keepNext/>
      </ns0:pPr>
      <ns0:r>
        <ns0:rPr>
          <ns0:rFonts ns0:ascii="Arial" ns0:hAnsi="Arial" ns0:cs="Arial"/>
          <ns0:color ns0:val="281A33"/>
          <ns0:sz ns0:val="40"/>
          <ns0:b/>
        </ns0:rPr>
        <ns0:t>LifeSync Lean Canvas</ns0:t>
      </ns0:r>
    </ns0:p>
    <ns0:p>
      <ns0:pPr>
        <ns0:spacing ns0:before="0" ns0:after="190" ns0:line="230" ns0:lineRule="auto"/>
      </ns0:pPr>
      <ns0:r>
        <ns0:rPr>
          <ns0:rFonts ns0:ascii="Arial" ns0:hAnsi="Arial" ns0:cs="Arial"/>
          <ns0:color ns0:val="62596A"/>
          <ns0:sz ns0:val="20"/>
        </ns0:rPr>
        <ns0:t>Initial business hypotheses for a student-focused mobile service. Customer demand, pricing, and impact should be tested through interviews and a small pilot before being treated as proven.</ns0:t>
      </ns0:r>
    </ns0:p>
    <ns0:tbl>
      <ns0:tblPr>
        <ns0:tblW ns0:w="14760" ns0:type="dxa"/>
        <ns0:tblInd ns0:w="0" ns0:type="dxa"/>
        <ns0:tblBorders>
          <ns0:top ns0:val="single" ns0:sz="6" ns0:space="0" ns0:color="D9D2DC"/>
          <ns0:left ns0:val="single" ns0:sz="6" ns0:space="0" ns0:color="D9D2DC"/>
          <ns0:bottom ns0:val="single" ns0:sz="6" ns0:space="0" ns0:color="D9D2DC"/>
          <ns0:right ns0:val="single" ns0:sz="6" ns0:space="0" ns0:color="D9D2DC"/>
          <ns0:insideH ns0:val="single" ns0:sz="6" ns0:space="0" ns0:color="D9D2DC"/>
          <ns0:insideV ns0:val="single" ns0:sz="6" ns0:space="0" ns0:color="D9D2DC"/>
        </ns0:tblBorders>
        <ns0:tblLayout ns0:type="fixed"/>
        <ns0:tblCellMar>
          <ns0:top ns0:w="105" ns0:type="dxa"/>
          <ns0:start ns0:w="125" ns0:type="dxa"/>
          <ns0:bottom ns0:w="95" ns0:type="dxa"/>
          <ns0:end ns0:w="125" ns0:type="dxa"/>
        </ns0:tblCellMar>
      </ns0:tblPr>
      <ns0:tblGrid>
        <ns0:gridCol ns0:w="4920"/>
        <ns0:gridCol ns0:w="4920"/>
        <ns0:gridCol ns0:w="4920"/>
      </ns0:tblGrid>
      <ns0:tr>
        <ns0:trPr>
          <ns0:cantSplit/>
        </ns0:trPr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PROBLEM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Students coordinate routines, schoolwork, spending, meals, and habits across scattered tools or memory.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Important recurring tasks can be missed when daily plans feel difficult to manage.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Students may lack a simple view of how time and everyday spending fit together.</ns0:t>
            </ns0:r>
          </ns0:p>
          <ns0:p>
            <ns0:pPr>
              <ns0:spacing ns0:before="0" ns0:after="30" ns0:line="230" ns0:lineRule="auto"/>
            </ns0:pPr>
            <ns0:r>
              <ns0:rPr>
                <ns0:rFonts ns0:ascii="Arial" ns0:hAnsi="Arial" ns0:cs="Arial"/>
                <ns0:color ns0:val="62596A"/>
                <ns0:sz ns0:val="17"/>
                <ns0:b/>
              </ns0:rPr>
              <ns0:t>Alternatives:</ns0:t>
            </ns0:r>
            <ns0:r>
              <ns0:rPr>
                <ns0:rFonts ns0:ascii="Arial" ns0:hAnsi="Arial" ns0:cs="Arial"/>
                <ns0:color ns0:val="62596A"/>
                <ns0:sz ns0:val="17"/>
              </ns0:rPr>
              <ns0:t xml:space="preserve"> paper planners, calendars, to-do lists, separate budget or habit apps.</ns0:t>
            </ns0:r>
          </ns0:p>
        </ns0:tc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SOLUTION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Daily routine checklist with recurring items and optional reminders.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Study planner and calendar, habit goals, and progress insights.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Budget tracking, weekly meal planning, and grocery checklist.</ns0:t>
            </ns0:r>
          </ns0:p>
          <ns0:p>
            <ns0:pPr>
              <ns0:spacing ns0:before="0" ns0:after="45" ns0:line="230" ns0:lineRule="auto"/>
            </ns0:pPr>
            <ns0:r>
              <ns0:rPr>
                <ns0:rFonts ns0:ascii="Arial" ns0:hAnsi="Arial" ns0:cs="Arial"/>
                <ns0:color ns0:val="62596A"/>
                <ns0:sz ns0:val="17"/>
                <ns0:i/>
              </ns0:rPr>
              <ns0:t>Start with a usable core; validate which connected features students actually use.</ns0:t>
            </ns0:r>
          </ns0:p>
        </ns0:tc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UNIQUE VALUE PROPOSITION</ns0:t>
            </ns0:r>
          </ns0:p>
          <ns0:p>
            <ns0:pPr>
              <ns0:spacing ns0:before="0" ns0:after="60" ns0:line="230" ns0:lineRule="auto"/>
            </ns0:pPr>
            <ns0:r>
              <ns0:rPr>
                <ns0:rFonts ns0:ascii="Arial" ns0:hAnsi="Arial" ns0:cs="Arial"/>
                <ns0:color ns0:val="281A33"/>
                <ns0:sz ns0:val="19"/>
                <ns0:b/>
              </ns0:rPr>
              <ns0:t>"One calm place to keep student life in sync."</ns0:t>
            </ns0:r>
          </ns0:p>
          <ns0:p>
            <ns0:pPr>
              <ns0:spacing ns0:before="0" ns0:after="45" ns0:line="230" ns0:lineRule="auto"/>
            </ns0:pPr>
            <ns0:r>
              <ns0:rPr>
                <ns0:rFonts ns0:ascii="Arial" ns0:hAnsi="Arial" ns0:cs="Arial"/>
                <ns0:color ns0:val="30243A"/>
                <ns0:sz ns0:val="18"/>
              </ns0:rPr>
              <ns0:t>Combines everyday planning and self-management in a mobile app, reducing the need to jump between separate trackers.</ns0:t>
            </ns0:r>
          </ns0:p>
        </ns0:tc>
      </ns0:tr>
      <ns0:tr>
        <ns0:trPr>
          <ns0:cantSplit/>
        </ns0:trPr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CUSTOMER SEGMENTS</ns0:t>
            </ns0:r>
          </ns0:p>
          <ns0:p>
            <ns0:pPr>
              <ns0:spacing ns0:before="0" ns0:after="45" ns0:line="230" ns0:lineRule="auto"/>
              <ns0:ind ns0:left="90" ns0:hanging="180"/>
            </ns0:pPr>
            <ns0:r>
              <ns0:rPr>
                <ns0:rFonts ns0:ascii="Arial" ns0:hAnsi="Arial" ns0:cs="Arial"/>
                <ns0:color ns0:val="30243A"/>
                <ns0:sz ns0:val="18"/>
                <ns0:b/>
              </ns0:rPr>
              <ns0:t>Primary: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 xml:space="preserve"> college students balancing classes with personal routines and a limited budget.</ns0:t>
            </ns0:r>
          </ns0:p>
          <ns0:p>
            <ns0:pPr>
              <ns0:spacing ns0:before="0" ns0:after="45" ns0:line="230" ns0:lineRule="auto"/>
              <ns0:ind ns0:left="90" ns0:hanging="180"/>
            </ns0:pPr>
            <ns0:r>
              <ns0:rPr>
                <ns0:rFonts ns0:ascii="Arial" ns0:hAnsi="Arial" ns0:cs="Arial"/>
                <ns0:color ns0:val="30243A"/>
                <ns0:sz ns0:val="18"/>
                <ns0:b/>
              </ns0:rPr>
              <ns0:t>Early adopters: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 xml:space="preserve"> students who already use planners or habit apps but want fewer disconnected tools.</ns0:t>
            </ns0:r>
          </ns0:p>
          <ns0:p>
            <ns0:pPr>
              <ns0:spacing ns0:before="0" ns0:after="45" ns0:line="230" ns0:lineRule="auto"/>
            </ns0:pPr>
            <ns0:r>
              <ns0:rPr>
                <ns0:rFonts ns0:ascii="Arial" ns0:hAnsi="Arial" ns0:cs="Arial"/>
                <ns0:color ns0:val="62596A"/>
                <ns0:sz ns0:val="17"/>
                <ns0:i/>
              </ns0:rPr>
              <ns0:t>Test need and willingness to use with students from different programs and schedules.</ns0:t>
            </ns0:r>
          </ns0:p>
        </ns0:tc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UNFAIR ADVANTAGE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Potentially trusted campus relationships and student feedback loops.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A locally relevant, student-informed experience across daily planning needs.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Privacy-first design and reliable usability can build trust over time.</ns0:t>
            </ns0:r>
          </ns0:p>
          <ns0:p>
            <ns0:pPr>
              <ns0:spacing ns0:before="0" ns0:after="45" ns0:line="230" ns0:lineRule="auto"/>
            </ns0:pPr>
            <ns0:r>
              <ns0:rPr>
                <ns0:rFonts ns0:ascii="Arial" ns0:hAnsi="Arial" ns0:cs="Arial"/>
                <ns0:color ns0:val="62596A"/>
                <ns0:sz ns0:val="17"/>
                <ns0:i/>
              </ns0:rPr>
              <ns0:t>The features themselves can be copied; this advantage must be earned, not assumed.</ns0:t>
            </ns0:r>
          </ns0:p>
        </ns0:tc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CHANNELS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Campus organizations, student support offices, and peer ambassadors.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Short product demos and student-community social channels.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Mobile app stores and referrals from early users.</ns0:t>
            </ns0:r>
          </ns0:p>
        </ns0:tc>
      </ns0:tr>
      <ns0:tr>
        <ns0:trPr>
          <ns0:cantSplit/>
        </ns0:trPr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KEY METRICS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Weekly active users and 30-day retention.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Routine completion and repeated use of core features.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Onboarding completion, reliability, and user-reported usefulness.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Paid conversion only if a premium tier is tested.</ns0:t>
            </ns0:r>
          </ns0:p>
        </ns0:tc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COST STRUCTURE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App development, testing, accessibility, and ongoing maintenance.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Cloud hosting, database, notifications, and security/privacy work.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Campus outreach, user support, and app-store operations.</ns0:t>
            </ns0:r>
          </ns0:p>
          <ns0:p>
            <ns0:pPr>
              <ns0:spacing ns0:before="0" ns0:after="45" ns0:line="230" ns0:lineRule="auto"/>
            </ns0:pPr>
            <ns0:r>
              <ns0:rPr>
                <ns0:rFonts ns0:ascii="Arial" ns0:hAnsi="Arial" ns0:cs="Arial"/>
                <ns0:color ns0:val="62596A"/>
                <ns0:sz ns0:val="17"/>
                <ns0:i/>
              </ns0:rPr>
              <ns0:t>Control costs with a focused pilot, usage monitoring, and free/low-cost infrastructure where small.</ns0:t>
            </ns0:r>
          </ns0:p>
        </ns0:tc>
        <ns0:tc>
          <ns0:tcPr>
            <ns0:tcW ns0:w="4920" ns0:type="dxa"/>
            <ns0:vAlign ns0:val="top"/>
            <ns0:shd ns0:val="clear" ns0:color="auto" ns0:fill="FCF9FC"/>
          </ns0:tcPr>
          <ns0:p>
            <ns0:pPr>
              <ns0:spacing ns0:before="0" ns0:after="75" ns0:line="230" ns0:lineRule="auto"/>
              <ns0:keepNext/>
            </ns0:pPr>
            <ns0:r>
              <ns0:rPr>
                <ns0:rFonts ns0:ascii="Arial" ns0:hAnsi="Arial" ns0:cs="Arial"/>
                <ns0:color ns0:val="9C347D"/>
                <ns0:sz ns0:val="18"/>
                <ns0:b/>
              </ns0:rPr>
              <ns0:t>REVENUE STREAMS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Free core version to reduce barriers to trial.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Optional low-cost premium features, if interviews confirm willingness to pay.</ns0:t>
            </ns0:r>
          </ns0:p>
          <ns0:p>
            <ns0:pPr>
              <ns0:spacing ns0:before="0" ns0:after="45" ns0:line="230" ns0:lineRule="auto"/>
              <ns0:ind ns0:left="190" ns0:hanging="180"/>
            </ns0:pPr>
            <ns0:r>
              <ns0:rPr>
                <ns0:rFonts ns0:ascii="Arial" ns0:hAnsi="Arial" ns0:cs="Arial"/>
                <ns0:color ns0:val="A3337D"/>
                <ns0:sz ns0:val="18"/>
              </ns0:rPr>
              <ns0:t xml:space="preserve">- </ns0:t>
            </ns0:r>
            <ns0:r>
              <ns0:rPr>
                <ns0:rFonts ns0:ascii="Arial" ns0:hAnsi="Arial" ns0:cs="Arial"/>
                <ns0:color ns0:val="30243A"/>
                <ns0:sz ns0:val="18"/>
              </ns0:rPr>
              <ns0:t>Possible campus licensing or sponsored access, subject to institutional interest.</ns0:t>
            </ns0:r>
          </ns0:p>
          <ns0:p>
            <ns0:pPr>
              <ns0:spacing ns0:before="0" ns0:after="45" ns0:line="230" ns0:lineRule="auto"/>
            </ns0:pPr>
            <ns0:r>
              <ns0:rPr>
                <ns0:rFonts ns0:ascii="Arial" ns0:hAnsi="Arial" ns0:cs="Arial"/>
                <ns0:color ns0:val="62596A"/>
                <ns0:sz ns0:val="17"/>
                <ns0:i/>
              </ns0:rPr>
              <ns0:t>Protect trust: do not sell personal wellbeing or routine data.</ns0:t>
            </ns0:r>
          </ns0:p>
        </ns0:tc>
      </ns0:tr>
    </ns0:tbl>
    <ns0:p>
      <ns0:pPr>
        <ns0:spacing ns0:before="145" ns0:after="0" ns0:line="230" ns0:lineRule="auto"/>
      </ns0:pPr>
      <ns0:r>
        <ns0:rPr>
          <ns0:rFonts ns0:ascii="Arial" ns0:hAnsi="Arial" ns0:cs="Arial"/>
          <ns0:color ns0:val="9C347D"/>
          <ns0:sz ns0:val="17"/>
          <ns0:b/>
        </ns0:rPr>
        <ns0:t xml:space="preserve">How the blocks connect: </ns0:t>
      </ns0:r>
      <ns0:r>
        <ns0:rPr>
          <ns0:rFonts ns0:ascii="Arial" ns0:hAnsi="Arial" ns0:cs="Arial"/>
          <ns0:color ns0:val="62596A"/>
          <ns0:sz ns0:val="17"/>
        </ns0:rPr>
        <ns0:t>a defined student need shapes the integrated solution and value proposition; campus and peer channels reach that segment; retention and usefulness indicate value; carefully tested revenue must cover service costs without compromising privacy.</ns0:t>
      </ns0:r>
    </ns0:p>
    <ns0:sectPr>
      <ns0:pgSz ns0:w="15840" ns0:h="12240" ns0:orient="landscape"/>
      <ns0:pgMar ns0:top="540" ns0:right="540" ns0:bottom="540" ns0:left="540" ns0:header="250" ns0:footer="250" ns0:gutter="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9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