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05FE2">
      <w:pPr>
        <w:pStyle w:val="13"/>
        <w:widowControl/>
        <w:ind w:left="0" w:leftChars="0" w:firstLine="0" w:firstLineChars="0"/>
        <w:jc w:val="center"/>
        <w:rPr>
          <w:rFonts w:hint="default" w:eastAsia="黑体"/>
          <w:lang w:val="en-US" w:eastAsia="zh-CN"/>
        </w:rPr>
      </w:pPr>
      <w:r>
        <w:t>第</w:t>
      </w:r>
      <w:r>
        <w:rPr>
          <w:rFonts w:hint="eastAsia"/>
          <w:lang w:val="en-US" w:eastAsia="zh-CN"/>
        </w:rPr>
        <w:t>七</w:t>
      </w:r>
      <w:r>
        <w:t xml:space="preserve">次实验 </w:t>
      </w:r>
      <w:r>
        <w:rPr>
          <w:rFonts w:hint="eastAsia"/>
          <w:lang w:val="en-US" w:eastAsia="zh-CN"/>
        </w:rPr>
        <w:t xml:space="preserve"> 验证集成</w:t>
      </w:r>
      <w:r>
        <w:t>运算放大器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运算特性</w:t>
      </w:r>
    </w:p>
    <w:p w14:paraId="0E193062">
      <w:pPr>
        <w:pStyle w:val="3"/>
        <w:bidi w:val="0"/>
        <w:jc w:val="center"/>
        <w:rPr>
          <w:rFonts w:hint="default" w:ascii="宋体" w:hAnsi="Calibri" w:eastAsia="宋体" w:cs="Times New Roman"/>
          <w:b/>
          <w:bCs/>
          <w:color w:val="000000"/>
          <w:sz w:val="24"/>
          <w:szCs w:val="24"/>
          <w:lang w:val="en-US" w:eastAsia="zh-CN"/>
        </w:rPr>
      </w:pPr>
      <w:r>
        <w:rPr>
          <w:rFonts w:ascii="宋体" w:hAnsi="Calibri" w:eastAsia="宋体" w:cs="Times New Roman"/>
          <w:b/>
          <w:bCs/>
          <w:color w:val="000000"/>
          <w:sz w:val="24"/>
          <w:szCs w:val="24"/>
        </w:rPr>
        <w:t>组名：第  组 姓名：</w:t>
      </w:r>
      <w:r>
        <w:rPr>
          <w:rFonts w:hint="eastAsia" w:hAnsi="Calibri" w:cs="Times New Roman"/>
          <w:b/>
          <w:bCs/>
          <w:color w:val="000000"/>
          <w:sz w:val="24"/>
          <w:szCs w:val="24"/>
          <w:lang w:val="en-US" w:eastAsia="zh-CN"/>
        </w:rPr>
        <w:t>拾叁</w:t>
      </w:r>
      <w:r>
        <w:rPr>
          <w:rFonts w:ascii="宋体" w:hAnsi="Calibri" w:eastAsia="宋体" w:cs="Times New Roman"/>
          <w:b/>
          <w:bCs/>
          <w:color w:val="000000"/>
          <w:sz w:val="24"/>
          <w:szCs w:val="24"/>
        </w:rPr>
        <w:t xml:space="preserve"> 学号：</w:t>
      </w: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0000000000</w:t>
      </w:r>
    </w:p>
    <w:p w14:paraId="178B7DF9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  <w:sz w:val="24"/>
          <w:szCs w:val="24"/>
        </w:rPr>
      </w:pPr>
      <w:r>
        <w:rPr>
          <w:sz w:val="24"/>
          <w:szCs w:val="24"/>
        </w:rPr>
        <w:t>实验目的</w:t>
      </w:r>
    </w:p>
    <w:p w14:paraId="17E5053D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加深对运算放大器基本特性和工作原理的理解</w:t>
      </w:r>
    </w:p>
    <w:p w14:paraId="39FC2EDF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掌握反向比例放大器和积分电路的电路结构与测试方法</w:t>
      </w:r>
    </w:p>
    <w:p w14:paraId="056E4946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观察运算放大器的输出饱和失真现象，分析其产生原因</w:t>
      </w:r>
    </w:p>
    <w:p w14:paraId="7285B1F9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熟练使用函数信号发生器和双通道示波器进行波形测量与参数分析</w:t>
      </w:r>
    </w:p>
    <w:p w14:paraId="2FB781AF">
      <w:pPr>
        <w:pStyle w:val="2"/>
        <w:widowControl/>
        <w:numPr>
          <w:ilvl w:val="0"/>
          <w:numId w:val="0"/>
        </w:numPr>
        <w:topLinePunct w:val="0"/>
        <w:ind w:left="31" w:leftChars="0"/>
        <w:rPr>
          <w:b/>
          <w:sz w:val="24"/>
          <w:szCs w:val="24"/>
        </w:rPr>
      </w:pPr>
    </w:p>
    <w:p w14:paraId="5BEA01E1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  <w:sz w:val="24"/>
          <w:szCs w:val="24"/>
        </w:rPr>
      </w:pPr>
      <w:r>
        <w:rPr>
          <w:sz w:val="24"/>
          <w:szCs w:val="24"/>
        </w:rPr>
        <w:t>实验原理</w:t>
      </w:r>
    </w:p>
    <w:p w14:paraId="28D907AD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  <w:sz w:val="20"/>
          <w:szCs w:val="20"/>
        </w:rPr>
      </w:pPr>
      <w:r>
        <w:rPr>
          <w:sz w:val="20"/>
          <w:szCs w:val="20"/>
        </w:rPr>
        <w:t>反向比例放大器</w:t>
      </w:r>
    </w:p>
    <w:p w14:paraId="42710F9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反向比例放大器是运算放大器最基本的线性应用电路之一，其电路结构如图 1 所示。根据理想运放 “虚短” 和 “虚断” 的特性，可推导出其电压放大倍数公式：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v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out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in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=−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</m:oMath>
      <w:r>
        <w:rPr>
          <w:rFonts w:ascii="宋体" w:hAnsi="Calibri" w:eastAsia="宋体" w:cs="Times New Roman"/>
          <w:sz w:val="20"/>
        </w:rPr>
        <w:t xml:space="preserve"> 本实验中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</m:t>
        </m:r>
      </m:oMath>
      <w:r>
        <w:rPr>
          <w:rFonts w:ascii="宋体" w:hAnsi="Calibri" w:eastAsia="宋体" w:cs="Times New Roman"/>
          <w:sz w:val="20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=9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</m:t>
        </m:r>
      </m:oMath>
      <w:r>
        <w:rPr>
          <w:rFonts w:ascii="宋体" w:hAnsi="Calibri" w:eastAsia="宋体" w:cs="Times New Roman"/>
          <w:sz w:val="20"/>
        </w:rPr>
        <w:t xml:space="preserve">，因此理论电压放大倍数为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v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=−9</m:t>
        </m:r>
      </m:oMath>
      <w:r>
        <w:rPr>
          <w:rFonts w:ascii="宋体" w:hAnsi="Calibri" w:eastAsia="宋体" w:cs="Times New Roman"/>
          <w:sz w:val="20"/>
        </w:rPr>
        <w:t xml:space="preserve">，输出信号与输入信号相位差为 </w:t>
      </w:r>
      <m:oMath>
        <m:r>
          <m:rPr/>
          <w:rPr>
            <w:rFonts w:ascii="Cambria Math" w:hAnsi="Cambria Math" w:eastAsia="宋体" w:cs="Times New Roman"/>
            <w:sz w:val="20"/>
          </w:rPr>
          <m:t>18</m:t>
        </m:r>
        <m:sSup>
          <m:sSupPr>
            <m:ctrlPr>
              <w:rPr>
                <w:rFonts w:ascii="Cambria Math" w:hAnsi="Cambria Math" w:eastAsia="宋体" w:cs="Times New Roman"/>
                <w:sz w:val="20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0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0"/>
              </w:rPr>
              <m:t>∘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p>
      </m:oMath>
      <w:r>
        <w:rPr>
          <w:rFonts w:ascii="宋体" w:hAnsi="Calibri" w:eastAsia="宋体" w:cs="Times New Roman"/>
          <w:sz w:val="20"/>
        </w:rPr>
        <w:t>。</w:t>
      </w:r>
    </w:p>
    <w:p w14:paraId="7EC4D778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  <w:sz w:val="20"/>
          <w:szCs w:val="20"/>
        </w:rPr>
      </w:pPr>
      <w:r>
        <w:rPr>
          <w:sz w:val="20"/>
          <w:szCs w:val="20"/>
        </w:rPr>
        <w:t>积分电路</w:t>
      </w:r>
    </w:p>
    <w:p w14:paraId="3C465F6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积分电路是利用电容的充放电特性实现积分运算的电路，其电路结构如图 2 所示。理想情况下，积分电路的输出电压与输入电压的积分成正比：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V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out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=−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C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nary>
          <m:naryPr>
            <m:limLoc m:val="subSup"/>
            <m:subHide m:val="1"/>
            <m:supHide m:val="1"/>
            <m:ctrlPr>
              <w:rPr>
                <w:rFonts w:ascii="Cambria Math" w:hAnsi="Cambria Math" w:eastAsia="宋体" w:cs="Times New Roman"/>
                <w:sz w:val="20"/>
              </w:rPr>
            </m:ctrlPr>
          </m:naryPr>
          <m:sub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ctrlPr>
              <w:rPr>
                <w:rFonts w:ascii="Cambria Math" w:hAnsi="Cambria Math" w:eastAsia="宋体" w:cs="Times New Roman"/>
                <w:sz w:val="20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V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in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e>
        </m:nary>
        <m:r>
          <m:rPr/>
          <w:rPr>
            <w:rFonts w:ascii="Cambria Math" w:hAnsi="Cambria Math" w:eastAsia="宋体" w:cs="Times New Roman"/>
            <w:sz w:val="20"/>
          </w:rPr>
          <m:t>dt</m:t>
        </m:r>
      </m:oMath>
      <w:r>
        <w:rPr>
          <w:rFonts w:ascii="宋体" w:hAnsi="Calibri" w:eastAsia="宋体" w:cs="Times New Roman"/>
          <w:sz w:val="20"/>
        </w:rPr>
        <w:t xml:space="preserve"> 当输入为方波信号时，输出为三角波信号：方波高电平期间，电容恒流充电，输出电压线性下降；方波低电平期间，电容恒流放电，输出电压线性上升。本实验中积分时间常数 </w:t>
      </w:r>
      <m:oMath>
        <m:r>
          <m:rPr/>
          <w:rPr>
            <w:rFonts w:ascii="Cambria Math" w:hAnsi="Cambria Math" w:eastAsia="宋体" w:cs="Times New Roman"/>
            <w:sz w:val="20"/>
          </w:rPr>
          <m:t>τ=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Ω×0.1μ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F</m:t>
        </m:r>
        <m:r>
          <m:rPr/>
          <w:rPr>
            <w:rFonts w:ascii="Cambria Math" w:hAnsi="Cambria Math" w:eastAsia="宋体" w:cs="Times New Roman"/>
            <w:sz w:val="20"/>
          </w:rPr>
          <m:t>=1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ms</m:t>
        </m:r>
      </m:oMath>
      <w:r>
        <w:rPr>
          <w:rFonts w:ascii="宋体" w:hAnsi="Calibri" w:eastAsia="宋体" w:cs="Times New Roman"/>
          <w:sz w:val="20"/>
        </w:rPr>
        <w:t>。</w:t>
      </w:r>
    </w:p>
    <w:p w14:paraId="098B05B5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  <w:sz w:val="20"/>
          <w:szCs w:val="20"/>
        </w:rPr>
      </w:pPr>
      <w:r>
        <w:rPr>
          <w:sz w:val="20"/>
          <w:szCs w:val="20"/>
        </w:rPr>
        <w:t>运放的饱和失真</w:t>
      </w:r>
    </w:p>
    <w:p w14:paraId="0CB1F6C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实际运算放大器的输出电压范围受电源电压限制，存在最大输出摆幅。当输入信号幅度过大，理论输出电压超过运放的最大输出摆幅时，运放将进入饱和区，输出波形被钳位在电源电压附近，出现削波失真，即饱和失真。</w:t>
      </w:r>
    </w:p>
    <w:p w14:paraId="30EE137A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  <w:sz w:val="20"/>
          <w:szCs w:val="20"/>
        </w:rPr>
      </w:pPr>
      <w:r>
        <w:rPr>
          <w:sz w:val="20"/>
          <w:szCs w:val="20"/>
        </w:rPr>
        <w:t>实验电路图</w:t>
      </w:r>
    </w:p>
    <w:p w14:paraId="78EDDB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379980"/>
            <wp:effectExtent l="0" t="0" r="6350" b="7620"/>
            <wp:docPr id="1" name="图片 1" descr="反向比例运算放大器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反向比例运算放大器电路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4D7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图1 反向比例运算放大器电路</w:t>
      </w:r>
    </w:p>
    <w:p w14:paraId="3692A76E">
      <w:pPr>
        <w:jc w:val="center"/>
        <w:rPr>
          <w:rFonts w:hint="default"/>
          <w:sz w:val="18"/>
          <w:szCs w:val="18"/>
          <w:lang w:val="en-US" w:eastAsia="zh-CN"/>
        </w:rPr>
      </w:pPr>
    </w:p>
    <w:p w14:paraId="656FC2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477135"/>
            <wp:effectExtent l="0" t="0" r="0" b="12065"/>
            <wp:docPr id="4" name="图片 4" descr="有源积分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有源积分电路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8E37">
      <w:pPr>
        <w:jc w:val="center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图2 积分运算电路</w:t>
      </w:r>
    </w:p>
    <w:p w14:paraId="251E3C55">
      <w:pPr>
        <w:rPr>
          <w:rFonts w:hint="eastAsia" w:eastAsiaTheme="minorEastAsia"/>
          <w:lang w:eastAsia="zh-CN"/>
        </w:rPr>
      </w:pPr>
    </w:p>
    <w:p w14:paraId="4D59B538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  <w:sz w:val="24"/>
          <w:szCs w:val="24"/>
        </w:rPr>
      </w:pPr>
      <w:r>
        <w:rPr>
          <w:sz w:val="24"/>
          <w:szCs w:val="24"/>
        </w:rPr>
        <w:t>实验器件</w:t>
      </w:r>
    </w:p>
    <w:p w14:paraId="09060A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本实验使用的主要器件包括 LM324 四运算放大器芯片 1 片，1kΩ、9kΩ、10kΩ 电阻各 1 个，0.1μF 电容 1 个，以及函数信号发生器、双通道数字示波器、双路输出直流稳压电源、面包板和若干连接导线。</w:t>
      </w:r>
    </w:p>
    <w:p w14:paraId="74DDA1BE">
      <w:pPr>
        <w:pStyle w:val="2"/>
        <w:widowControl/>
        <w:numPr>
          <w:ilvl w:val="0"/>
          <w:numId w:val="0"/>
        </w:numPr>
        <w:topLinePunct w:val="0"/>
        <w:ind w:left="31" w:leftChars="0"/>
        <w:rPr>
          <w:b/>
          <w:sz w:val="24"/>
          <w:szCs w:val="24"/>
        </w:rPr>
      </w:pPr>
    </w:p>
    <w:p w14:paraId="46DF3286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  <w:sz w:val="24"/>
          <w:szCs w:val="24"/>
        </w:rPr>
      </w:pPr>
      <w:r>
        <w:rPr>
          <w:sz w:val="24"/>
          <w:szCs w:val="24"/>
        </w:rPr>
        <w:t>实验步骤</w:t>
      </w:r>
    </w:p>
    <w:p w14:paraId="0F5A4A17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仪器校准：打开函数信号发生器，输出频率为 1000Hz 的正弦波信号。将示波器两个通道同时连接到信号发生器输出端，校准示波器的电压刻度和时间刻度，确保两路信号显示一致。</w:t>
      </w:r>
    </w:p>
    <w:p w14:paraId="0F4388A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反向比例放大器电路搭建：按照电路图在面包板上连接反向比例放大器电路，将直流稳压电源调整为 ±5V，分别连接到 LM324 的 VCC（4 脚）和VEE（11脚）引脚。</w:t>
      </w:r>
    </w:p>
    <w:p w14:paraId="4D542850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反向比例放大器波形测试：将函数信号发生器输出连接到电路输入端，示波器 CH1 接输入信号，CH2 接输出信号。调整输入信号峰峰值 Vpp=0.5V，观察并记录输入输出波形的幅度和相位关系。</w:t>
      </w:r>
    </w:p>
    <w:p w14:paraId="0ADE93A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反向比例放大器增益特性测试：依次调整输入信号 Vpp 为 0.1V、0.3V、0.5V、1V、2V，分别记录对应输出信号的 Vpp 值，填入数据表格。</w:t>
      </w:r>
    </w:p>
    <w:p w14:paraId="23D84B97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饱和失真现象观察：逐渐增大输入信号的幅度，观察输出波形的变化，记录输出波形开始出现失真时的输入电压值，并对失真波形进行拍照。</w:t>
      </w:r>
    </w:p>
    <w:p w14:paraId="5D3CD2E2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积分电路搭建与测试：拆除反向比例放大器电路，按照电路图连接积分电路。将函数信号发生器切换为方波输出，调整方波频率，使输出波形为线性良好的三角波，观察并记录输入输出波形。</w:t>
      </w:r>
    </w:p>
    <w:p w14:paraId="0C8076F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42" w:leftChars="0" w:right="54" w:rightChars="0"/>
        <w:rPr>
          <w:rFonts w:ascii="宋体" w:hAnsi="Calibri" w:eastAsia="宋体" w:cs="Times New Roman"/>
          <w:b w:val="0"/>
          <w:color w:val="000000"/>
          <w:sz w:val="20"/>
        </w:rPr>
      </w:pPr>
    </w:p>
    <w:p w14:paraId="334C4605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  <w:sz w:val="24"/>
          <w:szCs w:val="24"/>
        </w:rPr>
      </w:pPr>
      <w:r>
        <w:rPr>
          <w:sz w:val="24"/>
          <w:szCs w:val="24"/>
        </w:rPr>
        <w:t>实验数据</w:t>
      </w:r>
    </w:p>
    <w:p w14:paraId="1D56D8AD">
      <w:pPr>
        <w:pStyle w:val="3"/>
        <w:widowControl/>
        <w:numPr>
          <w:ilvl w:val="0"/>
          <w:numId w:val="5"/>
        </w:numPr>
        <w:ind w:left="0" w:leftChars="0" w:firstLine="28" w:firstLineChars="0"/>
        <w:rPr>
          <w:rFonts w:ascii="宋体" w:hAnsi="Calibri" w:eastAsia="宋体" w:cs="Times New Roman"/>
          <w:color w:val="000000"/>
          <w:sz w:val="20"/>
        </w:rPr>
      </w:pPr>
      <w:r>
        <w:rPr>
          <w:sz w:val="20"/>
          <w:szCs w:val="20"/>
        </w:rPr>
        <w:t>反向比例放大器增益测试数据</w:t>
      </w:r>
    </w:p>
    <w:p w14:paraId="64C8B80D">
      <w:pPr>
        <w:ind w:firstLine="1800" w:firstLineChars="10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数据表格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2"/>
        <w:gridCol w:w="1397"/>
        <w:gridCol w:w="1075"/>
        <w:gridCol w:w="769"/>
      </w:tblGrid>
      <w:tr w14:paraId="7909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  <w:tblHeader/>
          <w:tblCellSpacing w:w="15" w:type="dxa"/>
        </w:trPr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59EF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输入电压 Vpp（V）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A3B6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理论估算值（Vpp）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56C1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实测值（Vpp）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622D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误差（V）</w:t>
            </w:r>
          </w:p>
        </w:tc>
      </w:tr>
      <w:tr w14:paraId="0CC0C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  <w:tblCellSpacing w:w="15" w:type="dxa"/>
        </w:trPr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7B2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0.1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3F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583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0.98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4D4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0.02</w:t>
            </w:r>
          </w:p>
        </w:tc>
      </w:tr>
      <w:tr w14:paraId="1A673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F88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AF46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7721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2.94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2A0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0.06</w:t>
            </w:r>
          </w:p>
        </w:tc>
      </w:tr>
      <w:tr w14:paraId="79442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CDE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02E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B40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4.84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C8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0.16</w:t>
            </w:r>
          </w:p>
        </w:tc>
      </w:tr>
      <w:tr w14:paraId="184B0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C456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968A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B041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8.00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0C0A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2.00</w:t>
            </w:r>
          </w:p>
        </w:tc>
      </w:tr>
      <w:tr w14:paraId="6BF67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013C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67C7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20.0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CD4B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8.00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CF16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2.00</w:t>
            </w:r>
          </w:p>
        </w:tc>
      </w:tr>
    </w:tbl>
    <w:p w14:paraId="0855BBA0">
      <w:pPr>
        <w:pStyle w:val="3"/>
        <w:widowControl/>
        <w:numPr>
          <w:ilvl w:val="0"/>
          <w:numId w:val="5"/>
        </w:numPr>
        <w:ind w:left="0" w:leftChars="0" w:firstLine="28" w:firstLineChars="0"/>
        <w:rPr>
          <w:b/>
          <w:sz w:val="20"/>
          <w:szCs w:val="20"/>
        </w:rPr>
      </w:pPr>
      <w:r>
        <w:rPr>
          <w:sz w:val="20"/>
          <w:szCs w:val="20"/>
        </w:rPr>
        <w:t>波形记录</w:t>
      </w:r>
    </w:p>
    <w:p w14:paraId="4C4AC95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jc w:val="center"/>
        <w:rPr>
          <w:rFonts w:hint="default" w:ascii="宋体" w:hAnsi="Calibri" w:eastAsia="宋体" w:cs="Times New Roman"/>
          <w:color w:val="000000"/>
          <w:sz w:val="18"/>
          <w:szCs w:val="18"/>
          <w:lang w:val="en-US" w:eastAsia="zh-CN"/>
        </w:rPr>
      </w:pPr>
      <w:r>
        <w:rPr>
          <w:rFonts w:hint="eastAsia" w:ascii="宋体" w:hAnsi="Calibri" w:eastAsia="宋体" w:cs="Times New Roman"/>
          <w:color w:val="000000"/>
          <w:sz w:val="20"/>
          <w:lang w:eastAsia="zh-CN"/>
        </w:rPr>
        <w:drawing>
          <wp:inline distT="0" distB="0" distL="114300" distR="114300">
            <wp:extent cx="5271770" cy="2968625"/>
            <wp:effectExtent l="0" t="0" r="11430" b="3175"/>
            <wp:docPr id="6" name="图片 6" descr="Vpp5mV输入输出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pp5mV输入输出波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000000"/>
          <w:sz w:val="18"/>
          <w:szCs w:val="18"/>
          <w:lang w:val="en-US" w:eastAsia="zh-CN"/>
        </w:rPr>
        <w:t>Vpp=0.5V - 输入输出波形图</w:t>
      </w:r>
    </w:p>
    <w:p w14:paraId="4D311BC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18"/>
          <w:szCs w:val="18"/>
        </w:rPr>
        <w:t>运放输出饱和失真波形</w:t>
      </w:r>
    </w:p>
    <w:p w14:paraId="6817174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eastAsia" w:ascii="宋体" w:hAnsi="Calibri" w:eastAsia="宋体" w:cs="Times New Roman"/>
          <w:color w:val="000000"/>
          <w:sz w:val="20"/>
          <w:lang w:val="en-US" w:eastAsia="zh-CN"/>
        </w:rPr>
      </w:pPr>
      <w:r>
        <w:rPr>
          <w:rFonts w:hint="eastAsia" w:ascii="宋体" w:hAnsi="Calibri" w:eastAsia="宋体" w:cs="Times New Roman"/>
          <w:color w:val="000000"/>
          <w:sz w:val="20"/>
          <w:lang w:eastAsia="zh-CN"/>
        </w:rPr>
        <w:drawing>
          <wp:inline distT="0" distB="0" distL="114300" distR="114300">
            <wp:extent cx="5270500" cy="2356485"/>
            <wp:effectExtent l="0" t="0" r="0" b="5715"/>
            <wp:docPr id="8" name="图片 8" descr="积分输入输出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积分输入输出波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Calibri" w:eastAsia="宋体" w:cs="Times New Roman"/>
          <w:color w:val="000000"/>
          <w:sz w:val="18"/>
          <w:szCs w:val="18"/>
        </w:rPr>
        <w:t>积分电路输入输出波形</w:t>
      </w:r>
      <w:r>
        <w:rPr>
          <w:rFonts w:hint="eastAsia" w:cs="Times New Roman"/>
          <w:color w:val="000000"/>
          <w:sz w:val="18"/>
          <w:szCs w:val="18"/>
          <w:lang w:val="en-US" w:eastAsia="zh-CN"/>
        </w:rPr>
        <w:t>图</w:t>
      </w:r>
    </w:p>
    <w:p w14:paraId="5F5115A0">
      <w:pPr>
        <w:pStyle w:val="2"/>
        <w:widowControl/>
        <w:numPr>
          <w:ilvl w:val="0"/>
          <w:numId w:val="0"/>
        </w:numPr>
        <w:topLinePunct w:val="0"/>
        <w:ind w:left="31" w:leftChars="0"/>
        <w:rPr>
          <w:rFonts w:ascii="宋体" w:hAnsi="Calibri" w:eastAsia="宋体" w:cs="Times New Roman"/>
          <w:color w:val="000000"/>
          <w:sz w:val="20"/>
        </w:rPr>
      </w:pPr>
      <w:r>
        <w:rPr>
          <w:rFonts w:hint="eastAsia"/>
          <w:sz w:val="24"/>
          <w:szCs w:val="24"/>
          <w:lang w:val="en-US" w:eastAsia="zh-CN"/>
        </w:rPr>
        <w:t>六、</w:t>
      </w:r>
      <w:r>
        <w:rPr>
          <w:sz w:val="24"/>
          <w:szCs w:val="24"/>
        </w:rPr>
        <w:t>数据分析</w:t>
      </w:r>
    </w:p>
    <w:p w14:paraId="3B5D5DC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Style w:val="16"/>
          <w:rFonts w:hint="eastAsia" w:cs="Times New Roman"/>
          <w:color w:val="000000"/>
          <w:sz w:val="20"/>
          <w:lang w:val="en-US" w:eastAsia="zh-CN"/>
        </w:rPr>
        <w:t>1.</w:t>
      </w:r>
      <w:r>
        <w:rPr>
          <w:rStyle w:val="16"/>
          <w:rFonts w:ascii="宋体" w:hAnsi="Calibri" w:eastAsia="宋体" w:cs="Times New Roman"/>
          <w:color w:val="000000"/>
          <w:sz w:val="20"/>
        </w:rPr>
        <w:t>反向比例放大器线性特性分析</w:t>
      </w:r>
      <w:r>
        <w:rPr>
          <w:rFonts w:ascii="宋体" w:hAnsi="Calibri" w:eastAsia="宋体" w:cs="Times New Roman"/>
          <w:color w:val="000000"/>
          <w:sz w:val="20"/>
        </w:rPr>
        <w:t xml:space="preserve"> </w:t>
      </w:r>
    </w:p>
    <w:p w14:paraId="7556C7B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由实验数据可知，当输入信号 Vpp 在 0.1V~0.5V 范围内时，输出电压与输入电压基本呈线性关系，实测放大倍数接近理论值 - 9，误差较小（0.02V~0.16V），说明运算放大器工作在线性区，符合反向比例放大的规律。误差主要来源于：电阻的实际阻值与标称值存在偏差；LM324 运算放大器的非理想特性（如输入失调电压、失调电流、有限开环增益）；示波器的测量误差以及电路中的接触电阻。</w:t>
      </w:r>
    </w:p>
    <w:p w14:paraId="5216F5C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Style w:val="16"/>
          <w:rFonts w:hint="eastAsia" w:cs="Times New Roman"/>
          <w:color w:val="000000"/>
          <w:sz w:val="20"/>
          <w:lang w:val="en-US" w:eastAsia="zh-CN"/>
        </w:rPr>
        <w:t>2.</w:t>
      </w:r>
      <w:r>
        <w:rPr>
          <w:rStyle w:val="16"/>
          <w:rFonts w:ascii="宋体" w:hAnsi="Calibri" w:eastAsia="宋体" w:cs="Times New Roman"/>
          <w:color w:val="000000"/>
          <w:sz w:val="20"/>
        </w:rPr>
        <w:t>输出饱和失真现象分析</w:t>
      </w:r>
      <w:r>
        <w:rPr>
          <w:rFonts w:ascii="宋体" w:hAnsi="Calibri" w:eastAsia="宋体" w:cs="Times New Roman"/>
          <w:color w:val="000000"/>
          <w:sz w:val="20"/>
        </w:rPr>
        <w:t xml:space="preserve"> </w:t>
      </w:r>
    </w:p>
    <w:p w14:paraId="0D6ECE2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当输入信号 Vpp 超过约 0.9V 时，输出信号 Vpp 不再随输入信号的增大而线性增加，而是稳定在 8.00V 左右，输出波形出现明显的顶部和底部削波现象。这是因为 LM324 运算放大器的输出电压范围受电源电压限制，在 ±5V 双电源供电下，其最大输出峰峰值约为 8V（考虑运放的输出饱和压降）。当理论输出电压超过这个范围时，运放进入饱和工作区，输出被钳位在接近电源电压的数值，从而产生饱和失真。</w:t>
      </w:r>
    </w:p>
    <w:p w14:paraId="1E0E135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Style w:val="16"/>
          <w:rFonts w:hint="eastAsia" w:cs="Times New Roman"/>
          <w:color w:val="000000"/>
          <w:sz w:val="20"/>
          <w:lang w:val="en-US" w:eastAsia="zh-CN"/>
        </w:rPr>
        <w:t>3.</w:t>
      </w:r>
      <w:r>
        <w:rPr>
          <w:rStyle w:val="16"/>
          <w:rFonts w:ascii="宋体" w:hAnsi="Calibri" w:eastAsia="宋体" w:cs="Times New Roman"/>
          <w:color w:val="000000"/>
          <w:sz w:val="20"/>
        </w:rPr>
        <w:t>积分电路特性分析</w:t>
      </w:r>
      <w:r>
        <w:rPr>
          <w:rFonts w:ascii="宋体" w:hAnsi="Calibri" w:eastAsia="宋体" w:cs="Times New Roman"/>
          <w:color w:val="000000"/>
          <w:sz w:val="20"/>
        </w:rPr>
        <w:t xml:space="preserve"> </w:t>
      </w:r>
    </w:p>
    <w:p w14:paraId="28398AB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当输入为频率合适的方波信号时，积分电路输出为线性良好的三角波信号，符合积分运算的数学规律。方波的上升沿和下降沿对应三角波的转折点，方波的高电平和低电平持续时间对应三角波的线性下降和上升段。实验中选择的方波频率与积分时间常数匹配，因此输出三角波的线性度较好，验证了积分电路的功能。</w:t>
      </w:r>
    </w:p>
    <w:p w14:paraId="55F02B6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</w:p>
    <w:p w14:paraId="29793D5F">
      <w:pPr>
        <w:pStyle w:val="2"/>
        <w:widowControl/>
        <w:numPr>
          <w:ilvl w:val="0"/>
          <w:numId w:val="0"/>
        </w:numPr>
        <w:topLinePunct w:val="0"/>
        <w:ind w:left="31"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七、</w:t>
      </w:r>
      <w:r>
        <w:rPr>
          <w:sz w:val="24"/>
          <w:szCs w:val="24"/>
        </w:rPr>
        <w:t>所搭电路 + 一卡通拍照留念</w:t>
      </w:r>
    </w:p>
    <w:p w14:paraId="6A0880E6">
      <w:pPr>
        <w:rPr>
          <w:sz w:val="24"/>
          <w:szCs w:val="24"/>
        </w:rPr>
      </w:pPr>
    </w:p>
    <w:p w14:paraId="001A2DC1">
      <w:pPr>
        <w:rPr>
          <w:sz w:val="24"/>
          <w:szCs w:val="24"/>
        </w:rPr>
      </w:pPr>
    </w:p>
    <w:p w14:paraId="0D33131A">
      <w:pPr>
        <w:rPr>
          <w:rFonts w:hint="eastAsia" w:eastAsiaTheme="minorEastAsia"/>
          <w:lang w:eastAsia="zh-CN"/>
        </w:rPr>
      </w:pPr>
    </w:p>
    <w:p w14:paraId="089EB9A4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35C69D47">
      <w:pPr>
        <w:rPr>
          <w:rFonts w:hint="eastAsia" w:eastAsiaTheme="minorEastAsia"/>
          <w:lang w:eastAsia="zh-CN"/>
        </w:rPr>
      </w:pPr>
    </w:p>
    <w:p w14:paraId="1090BAA2">
      <w:pPr>
        <w:rPr>
          <w:rFonts w:hint="eastAsia" w:eastAsiaTheme="minorEastAsia"/>
          <w:lang w:eastAsia="zh-CN"/>
        </w:rPr>
      </w:pPr>
    </w:p>
    <w:p w14:paraId="37B4D2B3">
      <w:pPr>
        <w:rPr>
          <w:rFonts w:hint="eastAsia" w:eastAsiaTheme="minorEastAsia"/>
          <w:lang w:eastAsia="zh-CN"/>
        </w:rPr>
      </w:pPr>
    </w:p>
    <w:p w14:paraId="2800A0B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E7A51"/>
    <w:multiLevelType w:val="singleLevel"/>
    <w:tmpl w:val="9C8E7A51"/>
    <w:lvl w:ilvl="0" w:tentative="0">
      <w:start w:val="1"/>
      <w:numFmt w:val="decimal"/>
      <w:suff w:val="space"/>
      <w:lvlText w:val="5.%1"/>
      <w:lvlJc w:val="left"/>
      <w:pPr>
        <w:ind w:left="0" w:firstLine="28"/>
      </w:pPr>
      <w:rPr>
        <w:rFonts w:hint="default"/>
      </w:rPr>
    </w:lvl>
  </w:abstractNum>
  <w:abstractNum w:abstractNumId="1">
    <w:nsid w:val="CC7C5695"/>
    <w:multiLevelType w:val="singleLevel"/>
    <w:tmpl w:val="CC7C5695"/>
    <w:lvl w:ilvl="0" w:tentative="0">
      <w:start w:val="1"/>
      <w:numFmt w:val="decimal"/>
      <w:suff w:val="space"/>
      <w:lvlText w:val="2.%1"/>
      <w:lvlJc w:val="left"/>
      <w:pPr>
        <w:ind w:left="0" w:firstLine="28"/>
      </w:pPr>
      <w:rPr>
        <w:rFonts w:hint="default"/>
      </w:rPr>
    </w:lvl>
  </w:abstractNum>
  <w:abstractNum w:abstractNumId="2">
    <w:nsid w:val="F9D5C11F"/>
    <w:multiLevelType w:val="singleLevel"/>
    <w:tmpl w:val="F9D5C11F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3">
    <w:nsid w:val="0D5A2461"/>
    <w:multiLevelType w:val="singleLevel"/>
    <w:tmpl w:val="0D5A2461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4">
    <w:nsid w:val="6C8F8AFF"/>
    <w:multiLevelType w:val="singleLevel"/>
    <w:tmpl w:val="6C8F8AFF"/>
    <w:lvl w:ilvl="0" w:tentative="0">
      <w:start w:val="1"/>
      <w:numFmt w:val="chineseCounting"/>
      <w:suff w:val="nothing"/>
      <w:lvlText w:val="%1、"/>
      <w:lvlJc w:val="left"/>
      <w:pPr>
        <w:ind w:left="0" w:firstLine="31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D24D6"/>
    <w:rsid w:val="09A9069A"/>
    <w:rsid w:val="24D171E9"/>
    <w:rsid w:val="270D24D6"/>
    <w:rsid w:val="2C016968"/>
    <w:rsid w:val="40B414F2"/>
    <w:rsid w:val="43F75E45"/>
    <w:rsid w:val="48F372EA"/>
    <w:rsid w:val="51E24C0A"/>
    <w:rsid w:val="56AB2A55"/>
    <w:rsid w:val="66C20911"/>
    <w:rsid w:val="7D65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insoku w:val="0"/>
      <w:autoSpaceDE w:val="0"/>
      <w:autoSpaceDN w:val="0"/>
      <w:adjustRightInd w:val="0"/>
      <w:spacing w:before="161" w:line="221" w:lineRule="auto"/>
      <w:ind w:left="31"/>
      <w:jc w:val="left"/>
      <w:textAlignment w:val="baseline"/>
      <w:outlineLvl w:val="0"/>
    </w:pPr>
    <w:rPr>
      <w:rFonts w:ascii="宋体" w:hAnsi="宋体" w:eastAsia="宋体" w:cs="宋体"/>
      <w:b/>
      <w:bCs/>
      <w:color w:val="000000"/>
      <w:spacing w:val="-5"/>
      <w:kern w:val="0"/>
      <w:sz w:val="28"/>
      <w:szCs w:val="28"/>
      <w:lang w:bidi="ar-SA"/>
    </w:rPr>
  </w:style>
  <w:style w:type="paragraph" w:styleId="3">
    <w:name w:val="heading 2"/>
    <w:next w:val="1"/>
    <w:unhideWhenUsed/>
    <w:qFormat/>
    <w:uiPriority w:val="0"/>
    <w:pPr>
      <w:kinsoku w:val="0"/>
      <w:autoSpaceDE w:val="0"/>
      <w:autoSpaceDN w:val="0"/>
      <w:adjustRightInd w:val="0"/>
      <w:spacing w:before="153" w:line="219" w:lineRule="auto"/>
      <w:ind w:left="28"/>
      <w:jc w:val="left"/>
      <w:textAlignment w:val="baseline"/>
      <w:outlineLvl w:val="1"/>
    </w:pPr>
    <w:rPr>
      <w:rFonts w:ascii="宋体" w:hAnsi="宋体" w:eastAsia="宋体" w:cs="宋体"/>
      <w:b/>
      <w:bCs/>
      <w:color w:val="000000"/>
      <w:spacing w:val="-5"/>
      <w:kern w:val="0"/>
      <w:sz w:val="24"/>
      <w:szCs w:val="24"/>
      <w:lang w:bidi="ar-SA"/>
    </w:rPr>
  </w:style>
  <w:style w:type="paragraph" w:styleId="4">
    <w:name w:val="heading 3"/>
    <w:next w:val="1"/>
    <w:semiHidden/>
    <w:unhideWhenUsed/>
    <w:qFormat/>
    <w:uiPriority w:val="0"/>
    <w:pPr>
      <w:kinsoku w:val="0"/>
      <w:autoSpaceDE w:val="0"/>
      <w:autoSpaceDN w:val="0"/>
      <w:adjustRightInd w:val="0"/>
      <w:spacing w:before="215" w:line="221" w:lineRule="auto"/>
      <w:ind w:left="34"/>
      <w:jc w:val="left"/>
      <w:textAlignment w:val="baseline"/>
      <w:outlineLvl w:val="2"/>
    </w:pPr>
    <w:rPr>
      <w:rFonts w:ascii="宋体" w:hAnsi="宋体" w:eastAsia="宋体" w:cs="宋体"/>
      <w:b/>
      <w:bCs/>
      <w:color w:val="000000"/>
      <w:spacing w:val="-10"/>
      <w:kern w:val="0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insoku w:val="0"/>
      <w:autoSpaceDE w:val="0"/>
      <w:autoSpaceDN w:val="0"/>
      <w:adjustRightInd w:val="0"/>
      <w:spacing w:before="142" w:line="364" w:lineRule="auto"/>
      <w:ind w:left="22" w:right="54" w:firstLine="420"/>
      <w:jc w:val="both"/>
      <w:textAlignment w:val="baseline"/>
      <w:outlineLvl w:val="9"/>
    </w:pPr>
    <w:rPr>
      <w:rFonts w:ascii="宋体" w:hAnsi="Calibri" w:eastAsia="宋体" w:cs="Times New Roman"/>
      <w:spacing w:val="9"/>
      <w:sz w:val="20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insoku w:val="0"/>
      <w:autoSpaceDE w:val="0"/>
      <w:autoSpaceDN w:val="0"/>
      <w:adjustRightInd w:val="0"/>
      <w:spacing w:before="181" w:line="222" w:lineRule="auto"/>
      <w:ind w:left="1975"/>
      <w:jc w:val="left"/>
      <w:textAlignment w:val="baseline"/>
      <w:outlineLvl w:val="9"/>
    </w:pPr>
    <w:rPr>
      <w:rFonts w:ascii="黑体" w:hAnsi="黑体" w:eastAsia="黑体" w:cs="黑体"/>
      <w:color w:val="000000"/>
      <w:spacing w:val="-4"/>
      <w:kern w:val="0"/>
      <w:sz w:val="28"/>
      <w:szCs w:val="28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1713</Words>
  <Characters>1914</Characters>
  <Lines>0</Lines>
  <Paragraphs>0</Paragraphs>
  <TotalTime>8</TotalTime>
  <ScaleCrop>false</ScaleCrop>
  <LinksUpToDate>false</LinksUpToDate>
  <CharactersWithSpaces>1992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2026-06-16T06:16:00Z</dcterms:created>
  <dc:creator>往矣</dc:creator>
  <cp:lastModifiedBy>往矣</cp:lastModifiedBy>
  <dcterms:modified xsi:type="dcterms:W3CDTF">2026-09-02T13:14:16Z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864D2CC246F0412592179BB295096E33_11</vt:lpwstr>
  </property>
  <property fmtid="{D5CDD505-2E9C-101B-9397-08002B2CF9AE}" pid="4" name="KSOTemplateDocerSaveRecord">
    <vt:lpwstr>eyJoZGlkIjoiM2ZlZGNlNzhkMDdkZWE5MWE0ZWEzZThhOWY2MzhjY2UiLCJ1c2VySWQiOiIxMTM5ODU1NjcxIn0=</vt:lpwstr>
  </property>
</Properties>
</file>