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C6889">
      <w:pPr>
        <w:spacing w:before="3" w:line="876" w:lineRule="exact"/>
        <w:ind w:firstLine="229"/>
      </w:pPr>
      <w:r>
        <w:rPr>
          <w:position w:val="-17"/>
        </w:rPr>
        <w:drawing>
          <wp:inline distT="0" distB="0" distL="0" distR="0">
            <wp:extent cx="1778000" cy="55562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1778507" cy="556259"/>
                    </a:xfrm>
                    <a:prstGeom prst="rect">
                      <a:avLst/>
                    </a:prstGeom>
                  </pic:spPr>
                </pic:pic>
              </a:graphicData>
            </a:graphic>
          </wp:inline>
        </w:drawing>
      </w:r>
    </w:p>
    <w:p w14:paraId="0DC3245E">
      <w:pPr>
        <w:spacing w:line="241" w:lineRule="auto"/>
      </w:pPr>
    </w:p>
    <w:p w14:paraId="1256E066">
      <w:pPr>
        <w:spacing w:line="241" w:lineRule="auto"/>
      </w:pPr>
    </w:p>
    <w:p w14:paraId="29EB7003">
      <w:pPr>
        <w:spacing w:line="241" w:lineRule="auto"/>
      </w:pPr>
    </w:p>
    <w:p w14:paraId="4834FD74">
      <w:pPr>
        <w:spacing w:line="241" w:lineRule="auto"/>
      </w:pPr>
    </w:p>
    <w:p w14:paraId="33EC273B">
      <w:pPr>
        <w:spacing w:line="241" w:lineRule="auto"/>
      </w:pPr>
    </w:p>
    <w:p w14:paraId="05A9BEFB">
      <w:pPr>
        <w:spacing w:line="241" w:lineRule="auto"/>
      </w:pPr>
    </w:p>
    <w:p w14:paraId="5C104DAB">
      <w:pPr>
        <w:spacing w:line="241" w:lineRule="auto"/>
      </w:pPr>
    </w:p>
    <w:p w14:paraId="78807295">
      <w:pPr>
        <w:spacing w:line="241" w:lineRule="auto"/>
      </w:pPr>
    </w:p>
    <w:p w14:paraId="72B8B9AF">
      <w:pPr>
        <w:spacing w:line="241" w:lineRule="auto"/>
      </w:pPr>
    </w:p>
    <w:p w14:paraId="33B85CA5">
      <w:pPr>
        <w:spacing w:line="241" w:lineRule="auto"/>
      </w:pPr>
    </w:p>
    <w:p w14:paraId="42C6F956">
      <w:pPr>
        <w:pStyle w:val="2"/>
        <w:spacing w:before="202" w:line="221" w:lineRule="auto"/>
        <w:ind w:left="1393"/>
        <w:outlineLvl w:val="0"/>
        <w:rPr>
          <w:rFonts w:hint="eastAsia"/>
          <w:sz w:val="62"/>
          <w:szCs w:val="62"/>
          <w:lang w:eastAsia="zh-CN"/>
        </w:rPr>
      </w:pPr>
      <w:r>
        <w:rPr>
          <w:b/>
          <w:bCs/>
          <w:spacing w:val="-58"/>
          <w:w w:val="92"/>
          <w:sz w:val="62"/>
          <w:szCs w:val="62"/>
          <w:lang w:eastAsia="zh-CN"/>
        </w:rPr>
        <w:t>《军事理论》课程报告册</w:t>
      </w:r>
    </w:p>
    <w:p w14:paraId="66583873">
      <w:pPr>
        <w:spacing w:line="246" w:lineRule="auto"/>
        <w:rPr>
          <w:lang w:eastAsia="zh-CN"/>
        </w:rPr>
      </w:pPr>
    </w:p>
    <w:p w14:paraId="617A764E">
      <w:pPr>
        <w:spacing w:line="246" w:lineRule="auto"/>
        <w:rPr>
          <w:lang w:eastAsia="zh-CN"/>
        </w:rPr>
      </w:pPr>
    </w:p>
    <w:p w14:paraId="32198912">
      <w:pPr>
        <w:spacing w:line="246" w:lineRule="auto"/>
        <w:rPr>
          <w:lang w:eastAsia="zh-CN"/>
        </w:rPr>
      </w:pPr>
    </w:p>
    <w:p w14:paraId="18AC3F40">
      <w:pPr>
        <w:spacing w:line="246" w:lineRule="auto"/>
        <w:rPr>
          <w:lang w:eastAsia="zh-CN"/>
        </w:rPr>
      </w:pPr>
    </w:p>
    <w:p w14:paraId="23032736">
      <w:pPr>
        <w:spacing w:line="246" w:lineRule="auto"/>
        <w:rPr>
          <w:lang w:eastAsia="zh-CN"/>
        </w:rPr>
      </w:pPr>
    </w:p>
    <w:p w14:paraId="4B03F57E">
      <w:pPr>
        <w:spacing w:line="246" w:lineRule="auto"/>
        <w:rPr>
          <w:lang w:eastAsia="zh-CN"/>
        </w:rPr>
      </w:pPr>
    </w:p>
    <w:p w14:paraId="71EDC96C">
      <w:pPr>
        <w:spacing w:line="246" w:lineRule="auto"/>
        <w:rPr>
          <w:lang w:eastAsia="zh-CN"/>
        </w:rPr>
      </w:pPr>
    </w:p>
    <w:p w14:paraId="4A552E98">
      <w:pPr>
        <w:spacing w:line="246" w:lineRule="auto"/>
        <w:rPr>
          <w:lang w:eastAsia="zh-CN"/>
        </w:rPr>
      </w:pPr>
    </w:p>
    <w:p w14:paraId="40E94886">
      <w:pPr>
        <w:pStyle w:val="2"/>
        <w:spacing w:before="97" w:line="225" w:lineRule="auto"/>
        <w:ind w:left="722"/>
        <w:rPr>
          <w:rFonts w:hint="eastAsia"/>
          <w:b/>
          <w:bCs/>
          <w:sz w:val="30"/>
          <w:szCs w:val="30"/>
          <w:lang w:eastAsia="zh-CN"/>
        </w:rPr>
      </w:pPr>
      <w:r>
        <w:rPr>
          <w:b/>
          <w:bCs/>
          <w:spacing w:val="4"/>
          <w:sz w:val="30"/>
          <w:szCs w:val="30"/>
          <w:lang w:eastAsia="zh-CN"/>
        </w:rPr>
        <w:t>学生姓名</w:t>
      </w:r>
      <w:r>
        <w:rPr>
          <w:spacing w:val="12"/>
          <w:sz w:val="30"/>
          <w:szCs w:val="30"/>
          <w:lang w:eastAsia="zh-CN"/>
        </w:rPr>
        <w:t xml:space="preserve">   </w:t>
      </w:r>
      <w:r>
        <w:rPr>
          <w:b/>
          <w:bCs/>
          <w:sz w:val="30"/>
          <w:szCs w:val="30"/>
          <w:u w:val="single"/>
          <w:lang w:eastAsia="zh-CN"/>
        </w:rPr>
        <w:t xml:space="preserve">                                         </w:t>
      </w:r>
    </w:p>
    <w:p w14:paraId="50900536">
      <w:pPr>
        <w:spacing w:line="435" w:lineRule="auto"/>
        <w:rPr>
          <w:b/>
          <w:bCs/>
          <w:lang w:eastAsia="zh-CN"/>
        </w:rPr>
      </w:pPr>
    </w:p>
    <w:p w14:paraId="4024BBDD">
      <w:pPr>
        <w:pStyle w:val="2"/>
        <w:spacing w:before="98" w:line="227" w:lineRule="auto"/>
        <w:ind w:left="710"/>
        <w:rPr>
          <w:rFonts w:hint="eastAsia"/>
          <w:b/>
          <w:bCs/>
          <w:sz w:val="30"/>
          <w:szCs w:val="30"/>
          <w:lang w:eastAsia="zh-CN"/>
        </w:rPr>
      </w:pPr>
      <w:r>
        <w:rPr>
          <w:b/>
          <w:bCs/>
          <w:spacing w:val="6"/>
          <w:sz w:val="30"/>
          <w:szCs w:val="30"/>
          <w:lang w:eastAsia="zh-CN"/>
        </w:rPr>
        <w:t>学生学号</w:t>
      </w:r>
      <w:r>
        <w:rPr>
          <w:b/>
          <w:bCs/>
          <w:spacing w:val="12"/>
          <w:sz w:val="30"/>
          <w:szCs w:val="30"/>
          <w:lang w:eastAsia="zh-CN"/>
        </w:rPr>
        <w:t xml:space="preserve">   </w:t>
      </w:r>
      <w:r>
        <w:rPr>
          <w:b/>
          <w:bCs/>
          <w:sz w:val="30"/>
          <w:szCs w:val="30"/>
          <w:u w:val="single"/>
          <w:lang w:eastAsia="zh-CN"/>
        </w:rPr>
        <w:t xml:space="preserve">               </w:t>
      </w:r>
      <w:r>
        <w:rPr>
          <w:rFonts w:hint="eastAsia"/>
          <w:b/>
          <w:bCs/>
          <w:sz w:val="30"/>
          <w:szCs w:val="30"/>
          <w:u w:val="single"/>
          <w:lang w:val="en-US" w:eastAsia="zh-CN"/>
        </w:rPr>
        <w:t xml:space="preserve">                   </w:t>
      </w:r>
      <w:r>
        <w:rPr>
          <w:b/>
          <w:bCs/>
          <w:sz w:val="30"/>
          <w:szCs w:val="30"/>
          <w:u w:val="single"/>
          <w:lang w:eastAsia="zh-CN"/>
        </w:rPr>
        <w:t xml:space="preserve">                          </w:t>
      </w:r>
    </w:p>
    <w:p w14:paraId="5C47DF8E">
      <w:pPr>
        <w:spacing w:line="433" w:lineRule="auto"/>
        <w:rPr>
          <w:b/>
          <w:bCs/>
          <w:lang w:eastAsia="zh-CN"/>
        </w:rPr>
      </w:pPr>
    </w:p>
    <w:p w14:paraId="4C58355C">
      <w:pPr>
        <w:pStyle w:val="2"/>
        <w:spacing w:before="98" w:line="227" w:lineRule="auto"/>
        <w:ind w:left="706"/>
        <w:rPr>
          <w:rFonts w:hint="eastAsia"/>
          <w:b/>
          <w:bCs/>
          <w:sz w:val="30"/>
          <w:szCs w:val="30"/>
          <w:lang w:eastAsia="zh-CN"/>
        </w:rPr>
      </w:pPr>
      <w:r>
        <w:rPr>
          <w:b/>
          <w:bCs/>
          <w:spacing w:val="7"/>
          <w:sz w:val="30"/>
          <w:szCs w:val="30"/>
          <w:lang w:eastAsia="zh-CN"/>
        </w:rPr>
        <w:t>上课班号</w:t>
      </w:r>
      <w:r>
        <w:rPr>
          <w:b/>
          <w:bCs/>
          <w:spacing w:val="12"/>
          <w:sz w:val="30"/>
          <w:szCs w:val="30"/>
          <w:lang w:eastAsia="zh-CN"/>
        </w:rPr>
        <w:t xml:space="preserve">   </w:t>
      </w:r>
      <w:r>
        <w:rPr>
          <w:b/>
          <w:bCs/>
          <w:sz w:val="30"/>
          <w:szCs w:val="30"/>
          <w:u w:val="single"/>
          <w:lang w:eastAsia="zh-CN"/>
        </w:rPr>
        <w:t xml:space="preserve">                                      </w:t>
      </w:r>
    </w:p>
    <w:p w14:paraId="6F03DE0A">
      <w:pPr>
        <w:spacing w:line="434" w:lineRule="auto"/>
        <w:rPr>
          <w:b/>
          <w:bCs/>
          <w:lang w:eastAsia="zh-CN"/>
        </w:rPr>
      </w:pPr>
    </w:p>
    <w:p w14:paraId="026A1AC0">
      <w:pPr>
        <w:pStyle w:val="2"/>
        <w:spacing w:before="97" w:line="225" w:lineRule="auto"/>
        <w:ind w:left="708"/>
        <w:rPr>
          <w:rFonts w:hint="eastAsia"/>
          <w:b/>
          <w:bCs/>
          <w:sz w:val="30"/>
          <w:szCs w:val="30"/>
          <w:lang w:eastAsia="zh-CN"/>
        </w:rPr>
      </w:pPr>
      <w:r>
        <w:rPr>
          <w:b/>
          <w:bCs/>
          <w:spacing w:val="6"/>
          <w:sz w:val="30"/>
          <w:szCs w:val="30"/>
          <w:lang w:eastAsia="zh-CN"/>
        </w:rPr>
        <w:t xml:space="preserve">教师姓名   </w:t>
      </w:r>
      <w:r>
        <w:rPr>
          <w:b/>
          <w:bCs/>
          <w:sz w:val="30"/>
          <w:szCs w:val="30"/>
          <w:u w:val="single"/>
          <w:lang w:eastAsia="zh-CN"/>
        </w:rPr>
        <w:t xml:space="preserve">                 </w:t>
      </w:r>
      <w:r>
        <w:rPr>
          <w:rFonts w:hint="eastAsia"/>
          <w:b/>
          <w:bCs/>
          <w:sz w:val="30"/>
          <w:szCs w:val="30"/>
          <w:u w:val="single"/>
          <w:lang w:val="en-US" w:eastAsia="zh-CN"/>
        </w:rPr>
        <w:t xml:space="preserve">   </w:t>
      </w:r>
      <w:r>
        <w:rPr>
          <w:rFonts w:hint="eastAsia"/>
          <w:b/>
          <w:bCs/>
          <w:sz w:val="30"/>
          <w:szCs w:val="30"/>
          <w:u w:val="single"/>
          <w:lang w:eastAsia="zh-CN"/>
        </w:rPr>
        <w:t xml:space="preserve"> </w:t>
      </w:r>
      <w:bookmarkStart w:id="1" w:name="_GoBack"/>
      <w:bookmarkEnd w:id="1"/>
      <w:r>
        <w:rPr>
          <w:b/>
          <w:bCs/>
          <w:sz w:val="30"/>
          <w:szCs w:val="30"/>
          <w:u w:val="single"/>
          <w:lang w:eastAsia="zh-CN"/>
        </w:rPr>
        <w:t xml:space="preserve">            </w:t>
      </w:r>
      <w:r>
        <w:rPr>
          <w:rFonts w:hint="eastAsia"/>
          <w:b/>
          <w:bCs/>
          <w:sz w:val="30"/>
          <w:szCs w:val="30"/>
          <w:u w:val="single"/>
          <w:lang w:val="en-US" w:eastAsia="zh-CN"/>
        </w:rPr>
        <w:t xml:space="preserve">               </w:t>
      </w:r>
      <w:r>
        <w:rPr>
          <w:b/>
          <w:bCs/>
          <w:sz w:val="30"/>
          <w:szCs w:val="30"/>
          <w:u w:val="single"/>
          <w:lang w:eastAsia="zh-CN"/>
        </w:rPr>
        <w:t xml:space="preserve">       </w:t>
      </w:r>
    </w:p>
    <w:p w14:paraId="5950E71C">
      <w:pPr>
        <w:spacing w:line="225" w:lineRule="auto"/>
        <w:rPr>
          <w:rFonts w:eastAsiaTheme="minorEastAsia"/>
          <w:b/>
          <w:bCs/>
          <w:sz w:val="30"/>
          <w:szCs w:val="30"/>
          <w:lang w:eastAsia="zh-CN"/>
        </w:rPr>
      </w:pPr>
    </w:p>
    <w:p w14:paraId="2E6A04FE">
      <w:pPr>
        <w:spacing w:line="225" w:lineRule="auto"/>
        <w:rPr>
          <w:rFonts w:eastAsiaTheme="minorEastAsia"/>
          <w:sz w:val="30"/>
          <w:szCs w:val="30"/>
          <w:lang w:eastAsia="zh-CN"/>
        </w:rPr>
      </w:pPr>
    </w:p>
    <w:p w14:paraId="3C1040A2">
      <w:pPr>
        <w:spacing w:line="225" w:lineRule="auto"/>
        <w:rPr>
          <w:rFonts w:eastAsiaTheme="minorEastAsia"/>
          <w:sz w:val="30"/>
          <w:szCs w:val="30"/>
          <w:lang w:eastAsia="zh-CN"/>
        </w:rPr>
      </w:pPr>
    </w:p>
    <w:p w14:paraId="6046F06A">
      <w:pPr>
        <w:spacing w:line="225" w:lineRule="auto"/>
        <w:rPr>
          <w:rFonts w:eastAsiaTheme="minorEastAsia"/>
          <w:sz w:val="30"/>
          <w:szCs w:val="30"/>
          <w:lang w:eastAsia="zh-CN"/>
        </w:rPr>
      </w:pPr>
    </w:p>
    <w:p w14:paraId="410130BC">
      <w:pPr>
        <w:spacing w:line="225" w:lineRule="auto"/>
        <w:rPr>
          <w:rFonts w:eastAsiaTheme="minorEastAsia"/>
          <w:sz w:val="30"/>
          <w:szCs w:val="30"/>
          <w:lang w:eastAsia="zh-CN"/>
        </w:rPr>
      </w:pPr>
    </w:p>
    <w:p w14:paraId="4A220F8D">
      <w:pPr>
        <w:spacing w:line="225" w:lineRule="auto"/>
        <w:rPr>
          <w:rFonts w:eastAsiaTheme="minorEastAsia"/>
          <w:sz w:val="30"/>
          <w:szCs w:val="30"/>
          <w:lang w:eastAsia="zh-CN"/>
        </w:rPr>
      </w:pPr>
    </w:p>
    <w:p w14:paraId="0C381076">
      <w:pPr>
        <w:spacing w:line="225" w:lineRule="auto"/>
        <w:rPr>
          <w:rFonts w:eastAsiaTheme="minorEastAsia"/>
          <w:sz w:val="30"/>
          <w:szCs w:val="30"/>
          <w:lang w:eastAsia="zh-CN"/>
        </w:rPr>
      </w:pPr>
    </w:p>
    <w:p w14:paraId="586496F8">
      <w:pPr>
        <w:spacing w:line="225" w:lineRule="auto"/>
        <w:rPr>
          <w:rFonts w:eastAsiaTheme="minorEastAsia"/>
          <w:sz w:val="30"/>
          <w:szCs w:val="30"/>
          <w:lang w:eastAsia="zh-CN"/>
        </w:rPr>
      </w:pPr>
    </w:p>
    <w:p w14:paraId="26008442">
      <w:pPr>
        <w:spacing w:before="240" w:beforeLines="100" w:after="120" w:afterLines="50" w:line="384" w:lineRule="auto"/>
        <w:jc w:val="center"/>
        <w:rPr>
          <w:rFonts w:hint="eastAsia" w:ascii="黑体" w:hAnsi="黑体" w:eastAsia="黑体"/>
          <w:b/>
          <w:bCs/>
          <w:sz w:val="28"/>
          <w:szCs w:val="24"/>
          <w:lang w:eastAsia="zh-CN"/>
        </w:rPr>
      </w:pPr>
      <w:r>
        <w:rPr>
          <w:rFonts w:hint="eastAsia" w:ascii="黑体" w:hAnsi="黑体" w:eastAsia="黑体"/>
          <w:b/>
          <w:bCs/>
          <w:spacing w:val="94"/>
          <w:kern w:val="0"/>
          <w:sz w:val="28"/>
          <w:szCs w:val="24"/>
          <w:fitText w:val="1827" w:id="-631491328"/>
          <w:lang w:eastAsia="zh-CN"/>
        </w:rPr>
        <w:t>202</w:t>
      </w:r>
      <w:r>
        <w:rPr>
          <w:rFonts w:hint="eastAsia" w:ascii="黑体" w:hAnsi="黑体" w:eastAsia="黑体"/>
          <w:b/>
          <w:bCs/>
          <w:spacing w:val="94"/>
          <w:kern w:val="0"/>
          <w:sz w:val="28"/>
          <w:szCs w:val="24"/>
          <w:fitText w:val="1827" w:id="-631491328"/>
          <w:lang w:val="en-US" w:eastAsia="zh-CN"/>
        </w:rPr>
        <w:t>6</w:t>
      </w:r>
      <w:r>
        <w:rPr>
          <w:rFonts w:hint="eastAsia" w:ascii="黑体" w:hAnsi="黑体" w:eastAsia="黑体"/>
          <w:b/>
          <w:bCs/>
          <w:spacing w:val="94"/>
          <w:kern w:val="0"/>
          <w:sz w:val="28"/>
          <w:szCs w:val="24"/>
          <w:fitText w:val="1827" w:id="-631491328"/>
          <w:lang w:eastAsia="zh-CN"/>
        </w:rPr>
        <w:t>年</w:t>
      </w:r>
      <w:r>
        <w:rPr>
          <w:rFonts w:hint="eastAsia" w:ascii="黑体" w:hAnsi="黑体" w:eastAsia="黑体"/>
          <w:b/>
          <w:bCs/>
          <w:spacing w:val="94"/>
          <w:kern w:val="0"/>
          <w:sz w:val="28"/>
          <w:szCs w:val="24"/>
          <w:fitText w:val="1827" w:id="-631491328"/>
          <w:lang w:val="en-US" w:eastAsia="zh-CN"/>
        </w:rPr>
        <w:t>6</w:t>
      </w:r>
      <w:r>
        <w:rPr>
          <w:rFonts w:hint="eastAsia" w:ascii="黑体" w:hAnsi="黑体" w:eastAsia="黑体"/>
          <w:b/>
          <w:bCs/>
          <w:spacing w:val="3"/>
          <w:kern w:val="0"/>
          <w:sz w:val="28"/>
          <w:szCs w:val="24"/>
          <w:fitText w:val="1827" w:id="-631491328"/>
          <w:lang w:eastAsia="zh-CN"/>
        </w:rPr>
        <w:t>月</w:t>
      </w:r>
    </w:p>
    <w:p w14:paraId="3B90E7A1">
      <w:pPr>
        <w:spacing w:line="225" w:lineRule="auto"/>
        <w:rPr>
          <w:rFonts w:eastAsiaTheme="minorEastAsia"/>
          <w:sz w:val="30"/>
          <w:szCs w:val="30"/>
          <w:lang w:eastAsia="zh-CN"/>
        </w:rPr>
        <w:sectPr>
          <w:footerReference r:id="rId3" w:type="default"/>
          <w:pgSz w:w="11912" w:h="16841"/>
          <w:pgMar w:top="1431" w:right="1323" w:bottom="2753" w:left="1786" w:header="0" w:footer="2419" w:gutter="0"/>
          <w:cols w:space="720" w:num="1"/>
        </w:sectPr>
      </w:pPr>
    </w:p>
    <w:p w14:paraId="4112E7F4">
      <w:pPr>
        <w:spacing w:line="302" w:lineRule="auto"/>
        <w:rPr>
          <w:lang w:eastAsia="zh-CN"/>
        </w:rPr>
      </w:pPr>
    </w:p>
    <w:tbl>
      <w:tblPr>
        <w:tblStyle w:val="6"/>
        <w:tblpPr w:leftFromText="180" w:rightFromText="180" w:vertAnchor="text" w:horzAnchor="page" w:tblpX="1761" w:tblpY="162"/>
        <w:tblOverlap w:val="never"/>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4"/>
      </w:tblGrid>
      <w:tr w14:paraId="6434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07" w:hRule="atLeast"/>
        </w:trPr>
        <w:tc>
          <w:tcPr>
            <w:tcW w:w="8784" w:type="dxa"/>
          </w:tcPr>
          <w:p w14:paraId="52116F52">
            <w:pPr>
              <w:pStyle w:val="2"/>
              <w:spacing w:after="120" w:afterLines="50" w:line="360" w:lineRule="auto"/>
              <w:jc w:val="center"/>
              <w:rPr>
                <w:rFonts w:hint="eastAsia" w:ascii="Times New Roman" w:hAnsi="Times New Roman"/>
                <w:b w:val="0"/>
                <w:bCs w:val="0"/>
                <w:sz w:val="24"/>
                <w:szCs w:val="48"/>
                <w:lang w:eastAsia="zh-CN"/>
              </w:rPr>
            </w:pPr>
            <w:bookmarkStart w:id="0" w:name="_Hlk185327039"/>
            <w:r>
              <w:rPr>
                <w:rFonts w:hint="eastAsia" w:ascii="Times New Roman" w:hAnsi="Times New Roman"/>
                <w:b w:val="0"/>
                <w:bCs w:val="0"/>
                <w:sz w:val="24"/>
                <w:szCs w:val="48"/>
                <w:lang w:eastAsia="zh-CN"/>
              </w:rPr>
              <w:t>《从概率杀伤到确定性摧毁——</w:t>
            </w:r>
            <w:r>
              <w:rPr>
                <w:rFonts w:hint="eastAsia" w:ascii="Times New Roman" w:hAnsi="Times New Roman"/>
                <w:b w:val="0"/>
                <w:bCs w:val="0"/>
                <w:sz w:val="24"/>
                <w:szCs w:val="48"/>
                <w:lang w:val="en-US" w:eastAsia="zh-CN"/>
              </w:rPr>
              <w:t>浅</w:t>
            </w:r>
            <w:r>
              <w:rPr>
                <w:rFonts w:hint="eastAsia" w:ascii="Times New Roman" w:hAnsi="Times New Roman"/>
                <w:b w:val="0"/>
                <w:bCs w:val="0"/>
                <w:sz w:val="24"/>
                <w:szCs w:val="48"/>
                <w:lang w:eastAsia="zh-CN"/>
              </w:rPr>
              <w:t>论激光武器如何重塑未来战场的攻防规则》</w:t>
            </w:r>
          </w:p>
          <w:p w14:paraId="161DBADE">
            <w:pPr>
              <w:pStyle w:val="2"/>
              <w:spacing w:after="120" w:afterLines="50" w:line="360" w:lineRule="auto"/>
              <w:ind w:firstLine="200"/>
              <w:jc w:val="center"/>
              <w:rPr>
                <w:rFonts w:hint="eastAsia" w:ascii="Times New Roman" w:hAnsi="Times New Roman"/>
                <w:b w:val="0"/>
                <w:bCs w:val="0"/>
                <w:sz w:val="24"/>
                <w:szCs w:val="48"/>
                <w:lang w:eastAsia="zh-CN"/>
              </w:rPr>
            </w:pPr>
          </w:p>
          <w:p w14:paraId="17B5E341">
            <w:pPr>
              <w:pStyle w:val="2"/>
              <w:spacing w:after="120" w:afterLines="50" w:line="360" w:lineRule="auto"/>
              <w:ind w:firstLine="480" w:firstLineChars="200"/>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军训中接触的传统枪炮遵循一套朴素逻辑：计算弹道、预判提前量、管理弹药基数——杀伤力取决于物理弹丸的命中概率。9.3阅兵式亮相的LY-1舰载激光武器，却以"瞄准即命中、弹药近乎无限"的特性，从根基上动摇了这套逻辑。追问"光之利刃"如何改变未来战场的攻防规则，答案不仅在于它更快，更在于它迫使我们将大气物理约束与光速时间尺度一并纳入作战方程。</w:t>
            </w:r>
          </w:p>
          <w:p w14:paraId="2C5F3FAD">
            <w:pPr>
              <w:pStyle w:val="2"/>
              <w:spacing w:after="120" w:afterLines="50" w:line="360" w:lineRule="auto"/>
              <w:ind w:firstLine="480" w:firstLineChars="200"/>
              <w:jc w:val="both"/>
              <w:rPr>
                <w:rFonts w:hint="eastAsia" w:ascii="Times New Roman" w:hAnsi="Times New Roman"/>
                <w:b w:val="0"/>
                <w:bCs w:val="0"/>
                <w:sz w:val="24"/>
                <w:szCs w:val="48"/>
                <w:lang w:eastAsia="zh-CN"/>
              </w:rPr>
            </w:pPr>
          </w:p>
          <w:p w14:paraId="465566AC">
            <w:pPr>
              <w:pStyle w:val="2"/>
              <w:spacing w:after="120" w:afterLines="50" w:line="360" w:lineRule="auto"/>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 xml:space="preserve"> 一、作战逻辑的颠覆：三个假设的瓦解</w:t>
            </w:r>
          </w:p>
          <w:p w14:paraId="56196FE8">
            <w:pPr>
              <w:pStyle w:val="2"/>
              <w:spacing w:after="120" w:afterLines="50" w:line="360" w:lineRule="auto"/>
              <w:ind w:firstLine="480" w:firstLineChars="200"/>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传统攻防体系建立在三个核心假设之上：弹药是物理实体，依赖生产与后勤补给；弹丸飞行存在延迟，目标可机动规避；攻防存在可计算的成本交换比。激光武器使三者同时瓦解。单次发射成本降至数美元量级，"弹药"取决于持续供电而非库存。激光以光速传播，传统"探测—跟踪—交战—评估"杀伤链被压缩为"捕获—照射—摧毁"的瞬时闭环。攻击从"概率杀伤"推向"确定性摧毁"——一旦被稳定跟踪，激光束可在数秒内烧蚀目标关键结构，饱和攻击不再是确保杀伤的必要条件。三个假设的崩塌，构成了攻防规则重建的逻辑起点。</w:t>
            </w:r>
          </w:p>
          <w:p w14:paraId="47032C6A">
            <w:pPr>
              <w:pStyle w:val="2"/>
              <w:spacing w:after="120" w:afterLines="50" w:line="360" w:lineRule="auto"/>
              <w:ind w:firstLine="480" w:firstLineChars="200"/>
              <w:jc w:val="both"/>
              <w:rPr>
                <w:rFonts w:hint="eastAsia" w:ascii="Times New Roman" w:hAnsi="Times New Roman"/>
                <w:b w:val="0"/>
                <w:bCs w:val="0"/>
                <w:sz w:val="24"/>
                <w:szCs w:val="48"/>
                <w:lang w:eastAsia="zh-CN"/>
              </w:rPr>
            </w:pPr>
          </w:p>
          <w:p w14:paraId="045DC207">
            <w:pPr>
              <w:pStyle w:val="2"/>
              <w:spacing w:after="120" w:afterLines="50" w:line="360" w:lineRule="auto"/>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二、大气的"否决权"：物理定律如何划定光速利刃的边界</w:t>
            </w:r>
          </w:p>
          <w:p w14:paraId="289613CC">
            <w:pPr>
              <w:pStyle w:val="2"/>
              <w:spacing w:after="120" w:afterLines="50" w:line="360" w:lineRule="auto"/>
              <w:ind w:firstLine="468" w:firstLineChars="195"/>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"瞄准即命中"存在一个根本前提——激光必须穿越大气。传输服从Lambert-Beer定律：</w:t>
            </w:r>
            <m:oMath>
              <m:r>
                <m:rPr/>
                <w:rPr>
                  <w:rFonts w:hint="default" w:ascii="Cambria Math" w:hAnsi="Cambria Math" w:eastAsia="宋体" w:cs="Cambria Math"/>
                  <w:sz w:val="24"/>
                </w:rPr>
                <m:t>I</m:t>
              </m:r>
              <m:r>
                <m:rPr>
                  <m:sty m:val="p"/>
                </m:rPr>
                <w:rPr>
                  <w:rFonts w:hint="default" w:ascii="Cambria Math" w:hAnsi="Cambria Math" w:eastAsia="宋体" w:cs="Cambria Math"/>
                  <w:sz w:val="24"/>
                </w:rPr>
                <m:t>=</m:t>
              </m:r>
              <m:sSub>
                <m:sSubPr>
                  <m:ctrlPr>
                    <w:rPr>
                      <w:rFonts w:hint="default" w:ascii="Cambria Math" w:hAnsi="Cambria Math" w:eastAsia="宋体" w:cs="Cambria Math"/>
                      <w:sz w:val="24"/>
                    </w:rPr>
                  </m:ctrlPr>
                </m:sSubPr>
                <m:e>
                  <m:r>
                    <m:rPr/>
                    <w:rPr>
                      <w:rFonts w:hint="default" w:ascii="Cambria Math" w:hAnsi="Cambria Math" w:eastAsia="宋体" w:cs="Cambria Math"/>
                      <w:sz w:val="24"/>
                    </w:rPr>
                    <m:t>I</m:t>
                  </m:r>
                  <m:ctrlPr>
                    <w:rPr>
                      <w:rFonts w:hint="default" w:ascii="Cambria Math" w:hAnsi="Cambria Math" w:eastAsia="宋体" w:cs="Cambria Math"/>
                      <w:sz w:val="24"/>
                    </w:rPr>
                  </m:ctrlPr>
                </m:e>
                <m:sub>
                  <m:r>
                    <m:rPr>
                      <m:sty m:val="p"/>
                    </m:rPr>
                    <w:rPr>
                      <w:rFonts w:hint="default" w:ascii="Cambria Math" w:hAnsi="Cambria Math" w:eastAsia="宋体" w:cs="Cambria Math"/>
                      <w:sz w:val="24"/>
                    </w:rPr>
                    <m:t>0</m:t>
                  </m:r>
                  <m:ctrlPr>
                    <w:rPr>
                      <w:rFonts w:hint="default" w:ascii="Cambria Math" w:hAnsi="Cambria Math" w:eastAsia="宋体" w:cs="Cambria Math"/>
                      <w:sz w:val="24"/>
                    </w:rPr>
                  </m:ctrlPr>
                </m:sub>
              </m:sSub>
              <m:r>
                <m:rPr>
                  <m:sty m:val="p"/>
                </m:rPr>
                <w:rPr>
                  <w:rFonts w:hint="default" w:ascii="Cambria Math" w:hAnsi="Cambria Math" w:eastAsia="宋体" w:cs="Cambria Math"/>
                  <w:sz w:val="24"/>
                </w:rPr>
                <m:t>⋅</m:t>
              </m:r>
              <m:sSup>
                <m:sSupPr>
                  <m:ctrlPr>
                    <w:rPr>
                      <w:rFonts w:hint="default" w:ascii="Cambria Math" w:hAnsi="Cambria Math" w:eastAsia="宋体" w:cs="Cambria Math"/>
                      <w:sz w:val="24"/>
                    </w:rPr>
                  </m:ctrlPr>
                </m:sSupPr>
                <m:e>
                  <m:r>
                    <m:rPr/>
                    <w:rPr>
                      <w:rFonts w:hint="default" w:ascii="Cambria Math" w:hAnsi="Cambria Math" w:eastAsia="宋体" w:cs="Cambria Math"/>
                      <w:sz w:val="24"/>
                    </w:rPr>
                    <m:t>e</m:t>
                  </m:r>
                  <m:ctrlPr>
                    <w:rPr>
                      <w:rFonts w:hint="default" w:ascii="Cambria Math" w:hAnsi="Cambria Math" w:eastAsia="宋体" w:cs="Cambria Math"/>
                      <w:sz w:val="24"/>
                    </w:rPr>
                  </m:ctrlPr>
                </m:e>
                <m:sup>
                  <m:r>
                    <m:rPr>
                      <m:sty m:val="p"/>
                    </m:rPr>
                    <w:rPr>
                      <w:rFonts w:hint="default" w:ascii="Cambria Math" w:hAnsi="Cambria Math" w:eastAsia="宋体" w:cs="Cambria Math"/>
                      <w:sz w:val="24"/>
                    </w:rPr>
                    <m:t>−</m:t>
                  </m:r>
                  <m:r>
                    <m:rPr/>
                    <w:rPr>
                      <w:rFonts w:hint="default" w:ascii="Cambria Math" w:hAnsi="Cambria Math" w:eastAsia="宋体" w:cs="Cambria Math"/>
                      <w:sz w:val="24"/>
                    </w:rPr>
                    <m:t>βL</m:t>
                  </m:r>
                  <m:ctrlPr>
                    <w:rPr>
                      <w:rFonts w:hint="default" w:ascii="Cambria Math" w:hAnsi="Cambria Math" w:eastAsia="宋体" w:cs="Cambria Math"/>
                      <w:sz w:val="24"/>
                    </w:rPr>
                  </m:ctrlPr>
                </m:sup>
              </m:sSup>
            </m:oMath>
            <w:r>
              <w:rPr>
                <w:rFonts w:hint="eastAsia" w:hAnsi="Cambria Math" w:cs="Cambria Math"/>
                <w:i w:val="0"/>
                <w:sz w:val="24"/>
                <w:lang w:eastAsia="zh-CN"/>
              </w:rPr>
              <w:t>，</w:t>
            </w:r>
            <w:r>
              <w:rPr>
                <w:rFonts w:hint="eastAsia" w:ascii="Times New Roman" w:hAnsi="Times New Roman"/>
                <w:b w:val="0"/>
                <w:bCs w:val="0"/>
                <w:sz w:val="24"/>
                <w:szCs w:val="48"/>
                <w:lang w:eastAsia="zh-CN"/>
              </w:rPr>
              <w:t>其中β为衰减系数，L为传输距离</w:t>
            </w:r>
            <w:r>
              <w:rPr>
                <w:rFonts w:hint="default" w:ascii="Times New Roman" w:hAnsi="Times New Roman" w:cs="Times New Roman"/>
                <w:kern w:val="0"/>
                <w:sz w:val="24"/>
                <w:vertAlign w:val="superscript"/>
              </w:rPr>
              <w:t>[</w:t>
            </w:r>
            <w:r>
              <w:rPr>
                <w:rFonts w:hint="default" w:ascii="Times New Roman" w:hAnsi="Times New Roman" w:cs="Times New Roman"/>
                <w:kern w:val="0"/>
                <w:sz w:val="24"/>
                <w:vertAlign w:val="superscript"/>
                <w:lang w:val="en-US" w:eastAsia="zh-CN"/>
              </w:rPr>
              <w:t>1</w:t>
            </w:r>
            <w:r>
              <w:rPr>
                <w:rFonts w:hint="default" w:ascii="Times New Roman" w:hAnsi="Times New Roman" w:cs="Times New Roman"/>
                <w:kern w:val="0"/>
                <w:sz w:val="24"/>
                <w:vertAlign w:val="superscript"/>
              </w:rPr>
              <w:t>]</w:t>
            </w:r>
            <w:r>
              <w:rPr>
                <w:rFonts w:hint="eastAsia" w:ascii="Times New Roman" w:hAnsi="Times New Roman"/>
                <w:b w:val="0"/>
                <w:bCs w:val="0"/>
                <w:sz w:val="24"/>
                <w:szCs w:val="48"/>
                <w:lang w:eastAsia="zh-CN"/>
              </w:rPr>
              <w:t>。β由分子吸收、气溶胶散射和大气湍流共同决定，构成激光武器实战效能的"物理天花板"。</w:t>
            </w:r>
          </w:p>
          <w:p w14:paraId="66FD8816">
            <w:pPr>
              <w:pStyle w:val="2"/>
              <w:spacing w:after="120" w:afterLines="50" w:line="360" w:lineRule="auto"/>
              <w:ind w:firstLine="468" w:firstLineChars="195"/>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分子吸收主要源于水汽和CO₂对红外波段的选择性吸收。McClatchey等的计算表明，HF激光P₂(8)谱线在中纬度海平面夏季吸收系数高达1.424 km⁻¹，冬季则降至0.221 km⁻¹</w:t>
            </w:r>
            <w:r>
              <w:rPr>
                <w:rFonts w:hint="eastAsia" w:ascii="Times New Roman" w:hAnsi="Times New Roman"/>
                <w:b w:val="0"/>
                <w:bCs w:val="0"/>
                <w:sz w:val="24"/>
                <w:szCs w:val="48"/>
                <w:vertAlign w:val="superscript"/>
                <w:lang w:eastAsia="zh-CN"/>
              </w:rPr>
              <w:t>[1]</w:t>
            </w:r>
            <w:r>
              <w:rPr>
                <w:rFonts w:hint="eastAsia" w:ascii="Times New Roman" w:hAnsi="Times New Roman"/>
                <w:b w:val="0"/>
                <w:bCs w:val="0"/>
                <w:sz w:val="24"/>
                <w:szCs w:val="48"/>
                <w:lang w:eastAsia="zh-CN"/>
              </w:rPr>
              <w:t>——仅季节更替就使有效射程相差近七倍。这意味着激光武器的"射程表"不取决于装药量，而取决于实时大气水汽分布。更为棘手的是热晕效应——高能激光加热沿途大气形成折射率梯度，光束扩散、光斑漂移，出现"越打越散"的非线性困境。Bradley-Herrmann热畸变参数ND正比于激光功率与吸收系数之积，反比于风速与发射口径</w:t>
            </w:r>
            <w:r>
              <w:rPr>
                <w:rFonts w:hint="eastAsia" w:ascii="Times New Roman" w:hAnsi="Times New Roman"/>
                <w:b w:val="0"/>
                <w:bCs w:val="0"/>
                <w:sz w:val="24"/>
                <w:szCs w:val="48"/>
                <w:vertAlign w:val="superscript"/>
                <w:lang w:eastAsia="zh-CN"/>
              </w:rPr>
              <w:t>[</w:t>
            </w:r>
            <w:r>
              <w:rPr>
                <w:rFonts w:hint="eastAsia" w:ascii="Times New Roman" w:hAnsi="Times New Roman"/>
                <w:b w:val="0"/>
                <w:bCs w:val="0"/>
                <w:sz w:val="24"/>
                <w:szCs w:val="48"/>
                <w:vertAlign w:val="superscript"/>
                <w:lang w:val="en-US" w:eastAsia="zh-CN"/>
              </w:rPr>
              <w:t>2</w:t>
            </w:r>
            <w:r>
              <w:rPr>
                <w:rFonts w:hint="eastAsia" w:ascii="Times New Roman" w:hAnsi="Times New Roman"/>
                <w:b w:val="0"/>
                <w:bCs w:val="0"/>
                <w:sz w:val="24"/>
                <w:szCs w:val="48"/>
                <w:vertAlign w:val="superscript"/>
                <w:lang w:eastAsia="zh-CN"/>
              </w:rPr>
              <w:t>]</w:t>
            </w:r>
            <w:r>
              <w:rPr>
                <w:rFonts w:hint="eastAsia" w:ascii="Times New Roman" w:hAnsi="Times New Roman"/>
                <w:b w:val="0"/>
                <w:bCs w:val="0"/>
                <w:sz w:val="24"/>
                <w:szCs w:val="48"/>
                <w:lang w:eastAsia="zh-CN"/>
              </w:rPr>
              <w:t>；实验表明ND超过300时，即便采用自适应光学补偿，远场Strehl比也会从0.4以上迅速跌落</w:t>
            </w:r>
            <w:r>
              <w:rPr>
                <w:rFonts w:hint="eastAsia" w:ascii="Times New Roman" w:hAnsi="Times New Roman"/>
                <w:b w:val="0"/>
                <w:bCs w:val="0"/>
                <w:sz w:val="24"/>
                <w:szCs w:val="48"/>
                <w:vertAlign w:val="superscript"/>
                <w:lang w:eastAsia="zh-CN"/>
              </w:rPr>
              <w:t>[</w:t>
            </w:r>
            <w:r>
              <w:rPr>
                <w:rFonts w:hint="eastAsia" w:ascii="Times New Roman" w:hAnsi="Times New Roman"/>
                <w:b w:val="0"/>
                <w:bCs w:val="0"/>
                <w:sz w:val="24"/>
                <w:szCs w:val="48"/>
                <w:vertAlign w:val="superscript"/>
                <w:lang w:val="en-US" w:eastAsia="zh-CN"/>
              </w:rPr>
              <w:t>2</w:t>
            </w:r>
            <w:r>
              <w:rPr>
                <w:rFonts w:hint="eastAsia" w:ascii="Times New Roman" w:hAnsi="Times New Roman"/>
                <w:b w:val="0"/>
                <w:bCs w:val="0"/>
                <w:sz w:val="24"/>
                <w:szCs w:val="48"/>
                <w:vertAlign w:val="superscript"/>
                <w:lang w:eastAsia="zh-CN"/>
              </w:rPr>
              <w:t>]</w:t>
            </w:r>
            <w:r>
              <w:rPr>
                <w:rFonts w:hint="eastAsia" w:ascii="Times New Roman" w:hAnsi="Times New Roman"/>
                <w:b w:val="0"/>
                <w:bCs w:val="0"/>
                <w:sz w:val="24"/>
                <w:szCs w:val="48"/>
                <w:lang w:eastAsia="zh-CN"/>
              </w:rPr>
              <w:t>。</w:t>
            </w:r>
          </w:p>
          <w:p w14:paraId="0301BB06">
            <w:pPr>
              <w:pStyle w:val="2"/>
              <w:spacing w:after="120" w:afterLines="50" w:line="360" w:lineRule="auto"/>
              <w:ind w:firstLine="468" w:firstLineChars="195"/>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由此催生一条全新攻防规则：天气从作战"背景"升级为武器开火的"准入证"，气象情报从辅助信息变为火控输入。谁能精确预报大气透过率分布，谁就能在对手激光武器"失明"时率先开火。激光武器的作战效能不再仅由功率决定，而是由"功率×大气窗口"决定。</w:t>
            </w:r>
          </w:p>
          <w:p w14:paraId="7315F150">
            <w:pPr>
              <w:pStyle w:val="2"/>
              <w:spacing w:after="120" w:afterLines="50" w:line="360" w:lineRule="auto"/>
              <w:ind w:firstLine="468" w:firstLineChars="195"/>
              <w:jc w:val="both"/>
              <w:rPr>
                <w:rFonts w:hint="eastAsia" w:ascii="Times New Roman" w:hAnsi="Times New Roman"/>
                <w:b w:val="0"/>
                <w:bCs w:val="0"/>
                <w:sz w:val="24"/>
                <w:szCs w:val="48"/>
                <w:lang w:eastAsia="zh-CN"/>
              </w:rPr>
            </w:pPr>
          </w:p>
          <w:p w14:paraId="020EACBF">
            <w:pPr>
              <w:pStyle w:val="2"/>
              <w:spacing w:after="120" w:afterLines="50" w:line="360" w:lineRule="auto"/>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三、横向映照：激光武器改变攻防规则的全球实践</w:t>
            </w:r>
          </w:p>
          <w:p w14:paraId="603FF51B">
            <w:pPr>
              <w:pStyle w:val="2"/>
              <w:spacing w:after="120" w:afterLines="50" w:line="360" w:lineRule="auto"/>
              <w:ind w:firstLine="468" w:firstLineChars="195"/>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LY-1并非孤例。2014年，美国海军AN/SEQ-3激光武器系统（LaWS）部署于"庞塞"号两栖船坞运输舰，在波斯湾成功拦截无人机和小型快艇，据美国海军研究办公室主任Klunder透露，单次脉冲发射成本不足1美元</w:t>
            </w:r>
            <w:r>
              <w:rPr>
                <w:rFonts w:hint="eastAsia" w:ascii="Times New Roman" w:hAnsi="Times New Roman"/>
                <w:b w:val="0"/>
                <w:bCs w:val="0"/>
                <w:sz w:val="24"/>
                <w:szCs w:val="48"/>
                <w:vertAlign w:val="superscript"/>
                <w:lang w:eastAsia="zh-CN"/>
              </w:rPr>
              <w:t>[4][6]</w:t>
            </w:r>
            <w:r>
              <w:rPr>
                <w:rFonts w:hint="eastAsia" w:ascii="Times New Roman" w:hAnsi="Times New Roman"/>
                <w:b w:val="0"/>
                <w:bCs w:val="0"/>
                <w:sz w:val="24"/>
                <w:szCs w:val="48"/>
                <w:lang w:eastAsia="zh-CN"/>
              </w:rPr>
              <w:t>。系统采用六台商用光纤激光器经合束器集成，总功率约30 kW</w:t>
            </w:r>
            <w:r>
              <w:rPr>
                <w:rFonts w:hint="eastAsia" w:ascii="Times New Roman" w:hAnsi="Times New Roman"/>
                <w:b w:val="0"/>
                <w:bCs w:val="0"/>
                <w:sz w:val="24"/>
                <w:szCs w:val="48"/>
                <w:vertAlign w:val="superscript"/>
                <w:lang w:eastAsia="zh-CN"/>
              </w:rPr>
              <w:t>[5][7]</w:t>
            </w:r>
            <w:r>
              <w:rPr>
                <w:rFonts w:hint="eastAsia" w:ascii="Times New Roman" w:hAnsi="Times New Roman"/>
                <w:b w:val="0"/>
                <w:bCs w:val="0"/>
                <w:sz w:val="24"/>
                <w:szCs w:val="48"/>
                <w:lang w:eastAsia="zh-CN"/>
              </w:rPr>
              <w:t>。同期，以色列"铁束"100 kW级激光防空系统、美国陆军DE M-SHORAD（50 kW激光集成于"斯特赖克"装甲车）也相继推进。三者的共同指向清晰：激光武器正从实验室走向战术部署，核心驱动力正是攻防经济学的根本逆转——防御方边际拦截成本趋零，传统"饱和攻击消耗防御"战略面临失效。</w:t>
            </w:r>
          </w:p>
          <w:p w14:paraId="6922EFCA">
            <w:pPr>
              <w:pStyle w:val="2"/>
              <w:spacing w:after="120" w:afterLines="50" w:line="360" w:lineRule="auto"/>
              <w:ind w:firstLine="468" w:firstLineChars="195"/>
              <w:jc w:val="both"/>
              <w:rPr>
                <w:rFonts w:hint="eastAsia" w:ascii="Times New Roman" w:hAnsi="Times New Roman"/>
                <w:b w:val="0"/>
                <w:bCs w:val="0"/>
                <w:sz w:val="24"/>
                <w:szCs w:val="48"/>
                <w:lang w:eastAsia="zh-CN"/>
              </w:rPr>
            </w:pPr>
          </w:p>
          <w:p w14:paraId="5C8A3392">
            <w:pPr>
              <w:pStyle w:val="2"/>
              <w:spacing w:after="120" w:afterLines="50" w:line="360" w:lineRule="auto"/>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四、"光速思维"：当时间从作战方程中被消去</w:t>
            </w:r>
          </w:p>
          <w:p w14:paraId="229CD50A">
            <w:pPr>
              <w:pStyle w:val="2"/>
              <w:spacing w:after="120" w:afterLines="50" w:line="360" w:lineRule="auto"/>
              <w:ind w:firstLine="468" w:firstLineChars="195"/>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激光对攻防规则最深远的改写，或许在于时间维度。传统OODA循环以分钟乃至小时计，激光武器将其坍缩为秒级——"发现"与"命中"的间隔趋近于零。这不仅带来战术效率的提升，更构成对指挥哲学的根本挑战：当交战节奏超越人类决策速度，"人在回路"的传统模式将被迫让位于AI自主交战系统。激光武器操作者不再是扣扳机的"射手"，而是设定交战规则、监督自主系统运行的"决策管理者"——"光速思维"的核心，在于认识到时间本身已从作战变量变为作战常数。</w:t>
            </w:r>
          </w:p>
          <w:p w14:paraId="7A23D726">
            <w:pPr>
              <w:pStyle w:val="2"/>
              <w:spacing w:after="120" w:afterLines="50" w:line="360" w:lineRule="auto"/>
              <w:ind w:firstLine="468" w:firstLineChars="195"/>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与此同时，攻防辩证法在新维度展开：攻击方追逐更高功率、更优波长与自适应光学以克服大气衰减；防御方发展高反射率涂层、烧蚀性热防护材料及气溶胶遮蔽</w:t>
            </w:r>
            <w:r>
              <w:rPr>
                <w:rFonts w:hint="eastAsia" w:ascii="Times New Roman" w:hAnsi="Times New Roman"/>
                <w:b w:val="0"/>
                <w:bCs w:val="0"/>
                <w:sz w:val="24"/>
                <w:szCs w:val="48"/>
                <w:vertAlign w:val="superscript"/>
                <w:lang w:eastAsia="zh-CN"/>
              </w:rPr>
              <w:t>[</w:t>
            </w:r>
            <w:r>
              <w:rPr>
                <w:rFonts w:hint="eastAsia" w:ascii="Times New Roman" w:hAnsi="Times New Roman"/>
                <w:b w:val="0"/>
                <w:bCs w:val="0"/>
                <w:sz w:val="24"/>
                <w:szCs w:val="48"/>
                <w:vertAlign w:val="superscript"/>
                <w:lang w:val="en-US" w:eastAsia="zh-CN"/>
              </w:rPr>
              <w:t>3</w:t>
            </w:r>
            <w:r>
              <w:rPr>
                <w:rFonts w:hint="eastAsia" w:ascii="Times New Roman" w:hAnsi="Times New Roman"/>
                <w:b w:val="0"/>
                <w:bCs w:val="0"/>
                <w:sz w:val="24"/>
                <w:szCs w:val="48"/>
                <w:vertAlign w:val="superscript"/>
                <w:lang w:eastAsia="zh-CN"/>
              </w:rPr>
              <w:t>]</w:t>
            </w:r>
            <w:r>
              <w:rPr>
                <w:rFonts w:hint="eastAsia" w:ascii="Times New Roman" w:hAnsi="Times New Roman"/>
                <w:b w:val="0"/>
                <w:bCs w:val="0"/>
                <w:sz w:val="24"/>
                <w:szCs w:val="48"/>
                <w:lang w:eastAsia="zh-CN"/>
              </w:rPr>
              <w:t>。攻防双方围绕"大气窗口"的争夺——精确预报、选择波长、计算最佳发射时机——正成为新的作战维度。激光武器没有终结攻防博弈，而是将博弈重心从"弹药消耗"转向了"能量管理"与"时间压缩"。</w:t>
            </w:r>
          </w:p>
          <w:p w14:paraId="5779C9F2">
            <w:pPr>
              <w:pStyle w:val="2"/>
              <w:spacing w:after="120" w:afterLines="50" w:line="360" w:lineRule="auto"/>
              <w:ind w:firstLine="468" w:firstLineChars="195"/>
              <w:jc w:val="both"/>
              <w:rPr>
                <w:rFonts w:hint="eastAsia" w:ascii="Times New Roman" w:hAnsi="Times New Roman"/>
                <w:b w:val="0"/>
                <w:bCs w:val="0"/>
                <w:sz w:val="24"/>
                <w:szCs w:val="48"/>
                <w:lang w:eastAsia="zh-CN"/>
              </w:rPr>
            </w:pPr>
          </w:p>
          <w:p w14:paraId="7D780CEE">
            <w:pPr>
              <w:pStyle w:val="2"/>
              <w:spacing w:after="120" w:afterLines="50" w:line="360" w:lineRule="auto"/>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结语</w:t>
            </w:r>
          </w:p>
          <w:p w14:paraId="5BC0ACC2">
            <w:pPr>
              <w:pStyle w:val="2"/>
              <w:spacing w:after="120" w:afterLines="50" w:line="360" w:lineRule="auto"/>
              <w:ind w:firstLine="468" w:firstLineChars="195"/>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从军训场的模拟枪械到阅兵式的LY-1激光炮，我们正亲历战争底层逻辑的范式转移。"光之利刃"揭示了未来战场攻防规则的两个新轴心：物理轴心——大气窗口决定开火时机与有效射程；时间轴心——光速交战迫使人类从"操作者"转型为"决策管理者"。理解这一双重变革，是我们在新军事革命浪潮中应有的认知准备。</w:t>
            </w:r>
          </w:p>
          <w:p w14:paraId="22259553">
            <w:pPr>
              <w:pStyle w:val="2"/>
              <w:spacing w:after="120" w:afterLines="50" w:line="360" w:lineRule="auto"/>
              <w:jc w:val="both"/>
              <w:rPr>
                <w:rFonts w:hint="eastAsia" w:ascii="Times New Roman" w:hAnsi="Times New Roman"/>
                <w:b w:val="0"/>
                <w:bCs w:val="0"/>
                <w:sz w:val="24"/>
                <w:szCs w:val="48"/>
                <w:lang w:eastAsia="zh-CN"/>
              </w:rPr>
            </w:pPr>
          </w:p>
          <w:p w14:paraId="3ED64181">
            <w:pPr>
              <w:pStyle w:val="2"/>
              <w:spacing w:after="120" w:afterLines="50" w:line="360" w:lineRule="auto"/>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参考文献：</w:t>
            </w:r>
          </w:p>
          <w:p w14:paraId="52151184">
            <w:pPr>
              <w:pStyle w:val="2"/>
              <w:spacing w:after="120" w:afterLines="50" w:line="360" w:lineRule="auto"/>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[1] Wu Jihua et al., "Atmospheric Attenuation of Common Applied Lasers," *China Laser*, 1983, 10(11): 792-794; McClatchey R.A., Selby J.E.A., "Atmospheric Attenuation of HF and DF Laser Radiation," AD747010, 1972.</w:t>
            </w:r>
          </w:p>
          <w:p w14:paraId="0F9C9EE0">
            <w:pPr>
              <w:pStyle w:val="2"/>
              <w:spacing w:after="120" w:afterLines="50" w:line="360" w:lineRule="auto"/>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w:t>
            </w:r>
            <w:r>
              <w:rPr>
                <w:rFonts w:hint="eastAsia" w:ascii="Times New Roman" w:hAnsi="Times New Roman"/>
                <w:b w:val="0"/>
                <w:bCs w:val="0"/>
                <w:sz w:val="24"/>
                <w:szCs w:val="48"/>
                <w:lang w:val="en-US" w:eastAsia="zh-CN"/>
              </w:rPr>
              <w:t>2</w:t>
            </w:r>
            <w:r>
              <w:rPr>
                <w:rFonts w:hint="eastAsia" w:ascii="Times New Roman" w:hAnsi="Times New Roman"/>
                <w:b w:val="0"/>
                <w:bCs w:val="0"/>
                <w:sz w:val="24"/>
                <w:szCs w:val="48"/>
                <w:lang w:eastAsia="zh-CN"/>
              </w:rPr>
              <w:t>] Bradley L.C., Herrmann J., "Phase Compensation for Thermal Blooming," *Applied Optics*, 1974, 13(2): 331-334.</w:t>
            </w:r>
          </w:p>
          <w:p w14:paraId="54BF2F77">
            <w:pPr>
              <w:pStyle w:val="2"/>
              <w:spacing w:after="120" w:afterLines="50" w:line="360" w:lineRule="auto"/>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w:t>
            </w:r>
            <w:r>
              <w:rPr>
                <w:rFonts w:hint="eastAsia" w:ascii="Times New Roman" w:hAnsi="Times New Roman"/>
                <w:b w:val="0"/>
                <w:bCs w:val="0"/>
                <w:sz w:val="24"/>
                <w:szCs w:val="48"/>
                <w:lang w:val="en-US" w:eastAsia="zh-CN"/>
              </w:rPr>
              <w:t>3</w:t>
            </w:r>
            <w:r>
              <w:rPr>
                <w:rFonts w:hint="eastAsia" w:ascii="Times New Roman" w:hAnsi="Times New Roman"/>
                <w:b w:val="0"/>
                <w:bCs w:val="0"/>
                <w:sz w:val="24"/>
                <w:szCs w:val="48"/>
                <w:lang w:eastAsia="zh-CN"/>
              </w:rPr>
              <w:t>] Smith D.C., "High-Power Laser Propagation: Thermal Blooming," *Proceedings of the IEEE*, 1977, 65(12): 1679-1715.</w:t>
            </w:r>
          </w:p>
          <w:p w14:paraId="70FEF5B5">
            <w:pPr>
              <w:pStyle w:val="2"/>
              <w:spacing w:after="120" w:afterLines="50" w:line="360" w:lineRule="auto"/>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[4] LaGrone S. U.S. Navy Allowed to Use Persian Gulf Laser for Defense. *USNI News*, December 10, 2014.</w:t>
            </w:r>
          </w:p>
          <w:p w14:paraId="0F62AEEF">
            <w:pPr>
              <w:pStyle w:val="2"/>
              <w:spacing w:after="120" w:afterLines="50" w:line="360" w:lineRule="auto"/>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[5] AN/SEQ-3 (XN-1) Laser Weapon System (LaWS). *GlobalSecurity.org*.</w:t>
            </w:r>
          </w:p>
          <w:p w14:paraId="1CF9345A">
            <w:pPr>
              <w:pStyle w:val="2"/>
              <w:spacing w:after="120" w:afterLines="50" w:line="360" w:lineRule="auto"/>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[6] Futuristic Laser Weapon Ready for Action, US Navy Says. *NBC News*, December 10, 2014.</w:t>
            </w:r>
          </w:p>
          <w:p w14:paraId="1BF9AF59">
            <w:pPr>
              <w:pStyle w:val="2"/>
              <w:spacing w:after="120" w:afterLines="50" w:line="360" w:lineRule="auto"/>
              <w:jc w:val="both"/>
              <w:rPr>
                <w:rFonts w:hint="eastAsia" w:ascii="Times New Roman" w:hAnsi="Times New Roman"/>
                <w:b w:val="0"/>
                <w:bCs w:val="0"/>
                <w:sz w:val="24"/>
                <w:szCs w:val="48"/>
                <w:lang w:eastAsia="zh-CN"/>
              </w:rPr>
            </w:pPr>
            <w:r>
              <w:rPr>
                <w:rFonts w:hint="eastAsia" w:ascii="Times New Roman" w:hAnsi="Times New Roman"/>
                <w:b w:val="0"/>
                <w:bCs w:val="0"/>
                <w:sz w:val="24"/>
                <w:szCs w:val="48"/>
                <w:lang w:eastAsia="zh-CN"/>
              </w:rPr>
              <w:t>[7] 美军激光武器系统部署"庞塞"号 可击落无人机. *中国新闻网*, 2014年11月25日.</w:t>
            </w:r>
          </w:p>
          <w:p w14:paraId="5A545F55">
            <w:pPr>
              <w:pStyle w:val="2"/>
              <w:spacing w:after="120" w:afterLines="50" w:line="360" w:lineRule="auto"/>
              <w:ind w:firstLine="200"/>
              <w:jc w:val="both"/>
              <w:rPr>
                <w:rFonts w:hint="eastAsia" w:ascii="Times New Roman" w:hAnsi="Times New Roman"/>
                <w:b/>
                <w:bCs/>
                <w:sz w:val="24"/>
                <w:szCs w:val="48"/>
                <w:lang w:eastAsia="zh-CN"/>
              </w:rPr>
            </w:pPr>
          </w:p>
        </w:tc>
      </w:tr>
      <w:bookmarkEnd w:id="0"/>
    </w:tbl>
    <w:p w14:paraId="7D4D78C9">
      <w:pPr>
        <w:spacing w:line="302" w:lineRule="auto"/>
        <w:rPr>
          <w:lang w:eastAsia="zh-CN"/>
        </w:rPr>
      </w:pPr>
    </w:p>
    <w:p w14:paraId="35B8924C">
      <w:pPr>
        <w:spacing w:line="302" w:lineRule="auto"/>
        <w:rPr>
          <w:lang w:eastAsia="zh-CN"/>
        </w:rPr>
      </w:pPr>
    </w:p>
    <w:p w14:paraId="43541AA4">
      <w:pPr>
        <w:kinsoku/>
        <w:autoSpaceDE/>
        <w:autoSpaceDN/>
        <w:adjustRightInd/>
        <w:snapToGrid/>
        <w:spacing w:line="360" w:lineRule="auto"/>
        <w:textAlignment w:val="auto"/>
        <w:rPr>
          <w:sz w:val="30"/>
          <w:szCs w:val="30"/>
          <w:lang w:eastAsia="zh-CN"/>
        </w:rPr>
      </w:pPr>
    </w:p>
    <w:p w14:paraId="0230B4D5">
      <w:pPr>
        <w:pStyle w:val="2"/>
        <w:spacing w:before="163" w:line="218" w:lineRule="auto"/>
        <w:ind w:left="35"/>
        <w:rPr>
          <w:rFonts w:hint="eastAsia"/>
          <w:b/>
          <w:bCs/>
          <w:spacing w:val="-8"/>
          <w:sz w:val="24"/>
          <w:szCs w:val="24"/>
          <w:lang w:eastAsia="zh-CN"/>
        </w:rPr>
      </w:pPr>
      <w:r>
        <w:drawing>
          <wp:inline distT="0" distB="0" distL="114300" distR="114300">
            <wp:extent cx="5579110" cy="6205855"/>
            <wp:effectExtent l="0" t="0" r="889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579110" cy="6205855"/>
                    </a:xfrm>
                    <a:prstGeom prst="rect">
                      <a:avLst/>
                    </a:prstGeom>
                    <a:noFill/>
                    <a:ln>
                      <a:noFill/>
                    </a:ln>
                  </pic:spPr>
                </pic:pic>
              </a:graphicData>
            </a:graphic>
          </wp:inline>
        </w:drawing>
      </w:r>
    </w:p>
    <w:p w14:paraId="1828905A">
      <w:pPr>
        <w:pStyle w:val="2"/>
        <w:spacing w:before="163" w:line="218" w:lineRule="auto"/>
        <w:ind w:left="35"/>
        <w:rPr>
          <w:rFonts w:hint="eastAsia"/>
          <w:sz w:val="24"/>
          <w:szCs w:val="24"/>
          <w:lang w:eastAsia="zh-CN"/>
        </w:rPr>
      </w:pPr>
    </w:p>
    <w:p w14:paraId="65175E5B">
      <w:pPr>
        <w:pStyle w:val="2"/>
        <w:spacing w:before="163" w:line="218" w:lineRule="auto"/>
        <w:ind w:left="35"/>
        <w:rPr>
          <w:rFonts w:hint="eastAsia"/>
          <w:sz w:val="24"/>
          <w:szCs w:val="24"/>
          <w:lang w:eastAsia="zh-CN"/>
        </w:rPr>
      </w:pPr>
    </w:p>
    <w:p w14:paraId="25A16FF5">
      <w:pPr>
        <w:pStyle w:val="2"/>
        <w:spacing w:before="163" w:line="218" w:lineRule="auto"/>
        <w:ind w:left="35"/>
        <w:rPr>
          <w:rFonts w:hint="eastAsia"/>
          <w:sz w:val="24"/>
          <w:szCs w:val="24"/>
          <w:lang w:eastAsia="zh-CN"/>
        </w:rPr>
      </w:pPr>
    </w:p>
    <w:p w14:paraId="081B9CFF">
      <w:pPr>
        <w:pStyle w:val="2"/>
        <w:spacing w:before="163" w:line="218" w:lineRule="auto"/>
        <w:ind w:left="35"/>
        <w:rPr>
          <w:rFonts w:hint="eastAsia"/>
          <w:sz w:val="24"/>
          <w:szCs w:val="24"/>
          <w:lang w:eastAsia="zh-CN"/>
        </w:rPr>
      </w:pPr>
    </w:p>
    <w:p w14:paraId="31C929D1">
      <w:pPr>
        <w:pStyle w:val="2"/>
        <w:spacing w:before="163" w:line="218" w:lineRule="auto"/>
        <w:ind w:left="35"/>
        <w:rPr>
          <w:rFonts w:hint="eastAsia"/>
          <w:sz w:val="24"/>
          <w:szCs w:val="24"/>
          <w:lang w:eastAsia="zh-CN"/>
        </w:rPr>
      </w:pPr>
    </w:p>
    <w:p w14:paraId="385571D1">
      <w:pPr>
        <w:pStyle w:val="2"/>
        <w:spacing w:before="163" w:line="218" w:lineRule="auto"/>
        <w:ind w:left="35"/>
        <w:rPr>
          <w:rFonts w:hint="eastAsia"/>
          <w:sz w:val="24"/>
          <w:szCs w:val="24"/>
          <w:lang w:eastAsia="zh-CN"/>
        </w:rPr>
      </w:pPr>
    </w:p>
    <w:p w14:paraId="2773A4DE">
      <w:pPr>
        <w:pStyle w:val="2"/>
        <w:spacing w:before="163" w:line="218" w:lineRule="auto"/>
        <w:ind w:left="35"/>
        <w:rPr>
          <w:rFonts w:hint="eastAsia"/>
          <w:sz w:val="24"/>
          <w:szCs w:val="24"/>
          <w:lang w:eastAsia="zh-CN"/>
        </w:rPr>
      </w:pPr>
    </w:p>
    <w:p w14:paraId="073D2DB8">
      <w:pPr>
        <w:pStyle w:val="2"/>
        <w:spacing w:before="163" w:line="218" w:lineRule="auto"/>
        <w:ind w:left="35"/>
        <w:rPr>
          <w:rFonts w:hint="eastAsia"/>
          <w:sz w:val="24"/>
          <w:szCs w:val="24"/>
          <w:lang w:eastAsia="zh-CN"/>
        </w:rPr>
      </w:pPr>
    </w:p>
    <w:p w14:paraId="5E268C8E">
      <w:pPr>
        <w:pStyle w:val="2"/>
        <w:spacing w:before="163" w:line="218" w:lineRule="auto"/>
        <w:ind w:left="35"/>
        <w:rPr>
          <w:rFonts w:hint="eastAsia"/>
          <w:sz w:val="24"/>
          <w:szCs w:val="24"/>
          <w:lang w:eastAsia="zh-CN"/>
        </w:rPr>
      </w:pPr>
    </w:p>
    <w:p w14:paraId="3E2B96B8">
      <w:pPr>
        <w:pStyle w:val="2"/>
        <w:spacing w:before="163" w:line="218" w:lineRule="auto"/>
        <w:rPr>
          <w:rFonts w:hint="eastAsia"/>
          <w:sz w:val="24"/>
          <w:szCs w:val="24"/>
          <w:lang w:eastAsia="zh-CN"/>
        </w:rPr>
      </w:pPr>
    </w:p>
    <w:sectPr>
      <w:footerReference r:id="rId4" w:type="default"/>
      <w:pgSz w:w="11912" w:h="16841"/>
      <w:pgMar w:top="850" w:right="1528" w:bottom="400" w:left="1588"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C1895">
    <w:pPr>
      <w:pStyle w:val="2"/>
      <w:spacing w:line="213" w:lineRule="auto"/>
      <w:ind w:left="3512"/>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3A1CA">
    <w:pPr>
      <w:spacing w:line="14" w:lineRule="auto"/>
      <w:rPr>
        <w:sz w:val="2"/>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characterSpacingControl w:val="doNotCompress"/>
  <w:compat>
    <w:spaceForUL/>
    <w:ulTrailSpace/>
    <w:useFELayout/>
    <w:compatSetting w:name="compatibilityMode" w:uri="http://schemas.microsoft.com/office/word" w:val="14"/>
  </w:compat>
  <w:rsids>
    <w:rsidRoot w:val="00914FB6"/>
    <w:rsid w:val="00034584"/>
    <w:rsid w:val="00053EE7"/>
    <w:rsid w:val="00234108"/>
    <w:rsid w:val="0041063C"/>
    <w:rsid w:val="00437548"/>
    <w:rsid w:val="005D3512"/>
    <w:rsid w:val="00656023"/>
    <w:rsid w:val="00762CE4"/>
    <w:rsid w:val="007A0F39"/>
    <w:rsid w:val="00914FB6"/>
    <w:rsid w:val="00A322FD"/>
    <w:rsid w:val="00AD5BD2"/>
    <w:rsid w:val="00C7196A"/>
    <w:rsid w:val="00CE4148"/>
    <w:rsid w:val="00E27D90"/>
    <w:rsid w:val="00F77898"/>
    <w:rsid w:val="01E366C0"/>
    <w:rsid w:val="07CA1119"/>
    <w:rsid w:val="0C000890"/>
    <w:rsid w:val="0EAD121E"/>
    <w:rsid w:val="0F670FFA"/>
    <w:rsid w:val="0FFC3E38"/>
    <w:rsid w:val="11D0227C"/>
    <w:rsid w:val="14691905"/>
    <w:rsid w:val="1478040E"/>
    <w:rsid w:val="1C677519"/>
    <w:rsid w:val="1CD736DF"/>
    <w:rsid w:val="1D0B7945"/>
    <w:rsid w:val="27520F90"/>
    <w:rsid w:val="392F151F"/>
    <w:rsid w:val="39FF3A59"/>
    <w:rsid w:val="3C8D359F"/>
    <w:rsid w:val="3FED6752"/>
    <w:rsid w:val="4361391A"/>
    <w:rsid w:val="451C0B6B"/>
    <w:rsid w:val="473E4B6F"/>
    <w:rsid w:val="4EFC5CCA"/>
    <w:rsid w:val="506F2B46"/>
    <w:rsid w:val="545270A8"/>
    <w:rsid w:val="56490020"/>
    <w:rsid w:val="5F9BE05A"/>
    <w:rsid w:val="69FE6844"/>
    <w:rsid w:val="6FED3D79"/>
    <w:rsid w:val="721245F9"/>
    <w:rsid w:val="7A03260F"/>
    <w:rsid w:val="7DD4215E"/>
    <w:rsid w:val="7F325EED"/>
    <w:rsid w:val="7F7EED30"/>
    <w:rsid w:val="9EFF79FC"/>
    <w:rsid w:val="E717340E"/>
    <w:rsid w:val="FFEF47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1"/>
    <w:semiHidden/>
    <w:qFormat/>
    <w:uiPriority w:val="0"/>
    <w:rPr>
      <w:rFonts w:ascii="宋体" w:hAnsi="宋体" w:eastAsia="宋体" w:cs="宋体"/>
      <w:sz w:val="28"/>
      <w:szCs w:val="28"/>
    </w:rPr>
  </w:style>
  <w:style w:type="paragraph" w:styleId="3">
    <w:name w:val="footer"/>
    <w:basedOn w:val="1"/>
    <w:link w:val="14"/>
    <w:qFormat/>
    <w:uiPriority w:val="0"/>
    <w:pPr>
      <w:tabs>
        <w:tab w:val="center" w:pos="4153"/>
        <w:tab w:val="right" w:pos="8306"/>
      </w:tabs>
    </w:pPr>
    <w:rPr>
      <w:sz w:val="18"/>
      <w:szCs w:val="18"/>
    </w:rPr>
  </w:style>
  <w:style w:type="paragraph" w:styleId="4">
    <w:name w:val="header"/>
    <w:basedOn w:val="1"/>
    <w:link w:val="13"/>
    <w:qFormat/>
    <w:uiPriority w:val="0"/>
    <w:pPr>
      <w:tabs>
        <w:tab w:val="center" w:pos="4153"/>
        <w:tab w:val="right" w:pos="8306"/>
      </w:tabs>
      <w:jc w:val="center"/>
    </w:pPr>
    <w:rPr>
      <w:sz w:val="18"/>
      <w:szCs w:val="18"/>
    </w:rPr>
  </w:style>
  <w:style w:type="table" w:styleId="6">
    <w:name w:val="Table Grid"/>
    <w:basedOn w:val="5"/>
    <w:qFormat/>
    <w:uiPriority w:val="39"/>
    <w:rPr>
      <w:rFonts w:asciiTheme="minorHAnsi" w:hAnsiTheme="minorHAnsi"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themeColor="hyperlink"/>
      <w:u w:val="single"/>
      <w14:textFill>
        <w14:solidFill>
          <w14:schemeClr w14:val="hlink"/>
        </w14:solidFill>
      </w14:textFill>
    </w:r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style>
  <w:style w:type="character" w:customStyle="1" w:styleId="11">
    <w:name w:val="正文文本 字符"/>
    <w:basedOn w:val="7"/>
    <w:link w:val="2"/>
    <w:semiHidden/>
    <w:qFormat/>
    <w:uiPriority w:val="0"/>
    <w:rPr>
      <w:rFonts w:ascii="宋体" w:hAnsi="宋体" w:eastAsia="宋体" w:cs="宋体"/>
      <w:snapToGrid w:val="0"/>
      <w:color w:val="000000"/>
      <w:sz w:val="28"/>
      <w:szCs w:val="28"/>
      <w:lang w:eastAsia="en-US"/>
    </w:rPr>
  </w:style>
  <w:style w:type="character" w:customStyle="1" w:styleId="12">
    <w:name w:val="Unresolved Mention"/>
    <w:basedOn w:val="7"/>
    <w:semiHidden/>
    <w:unhideWhenUsed/>
    <w:qFormat/>
    <w:uiPriority w:val="99"/>
    <w:rPr>
      <w:color w:val="605E5C"/>
      <w:shd w:val="clear" w:color="auto" w:fill="E1DFDD"/>
    </w:rPr>
  </w:style>
  <w:style w:type="character" w:customStyle="1" w:styleId="13">
    <w:name w:val="页眉 字符"/>
    <w:basedOn w:val="7"/>
    <w:link w:val="4"/>
    <w:qFormat/>
    <w:uiPriority w:val="0"/>
    <w:rPr>
      <w:rFonts w:eastAsia="Arial"/>
      <w:snapToGrid w:val="0"/>
      <w:color w:val="000000"/>
      <w:sz w:val="18"/>
      <w:szCs w:val="18"/>
      <w:lang w:eastAsia="en-US"/>
    </w:rPr>
  </w:style>
  <w:style w:type="character" w:customStyle="1" w:styleId="14">
    <w:name w:val="页脚 字符"/>
    <w:basedOn w:val="7"/>
    <w:link w:val="3"/>
    <w:qFormat/>
    <w:uiPriority w:val="0"/>
    <w:rPr>
      <w:rFonts w:eastAsia="Arial"/>
      <w:snapToGrid w:val="0"/>
      <w:color w:val="000000"/>
      <w:sz w:val="18"/>
      <w:szCs w:val="18"/>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1941</Words>
  <Characters>2606</Characters>
  <Lines>7</Lines>
  <Paragraphs>2</Paragraphs>
  <TotalTime>4</TotalTime>
  <ScaleCrop>false</ScaleCrop>
  <LinksUpToDate>false</LinksUpToDate>
  <CharactersWithSpaces>2920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2025-10-12T15:21:00Z</dcterms:created>
  <dc:creator>Data</dc:creator>
  <cp:lastModifiedBy>往矣</cp:lastModifiedBy>
  <dcterms:modified xsi:type="dcterms:W3CDTF">2026-09-02T13:04:52Z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2025-10-11T16:24:14Z</vt:filetime>
  </property>
  <property fmtid="{D5CDD505-2E9C-101B-9397-08002B2CF9AE}" pid="4" name="KSOTemplateDocerSaveRecord">
    <vt:lpwstr>eyJoZGlkIjoiM2ZlZGNlNzhkMDdkZWE5MWE0ZWEzZThhOWY2MzhjY2UiLCJ1c2VySWQiOiIxMTM5ODU1NjcxIn0=</vt:lpwstr>
  </property>
  <property fmtid="{D5CDD505-2E9C-101B-9397-08002B2CF9AE}" pid="5" name="KSOProductBuildVer">
    <vt:lpwstr>2052-12.1.0.28043</vt:lpwstr>
  </property>
  <property fmtid="{D5CDD505-2E9C-101B-9397-08002B2CF9AE}" pid="6" name="ICV">
    <vt:lpwstr>F82C1B47FF88B15F76F6D46950C7D74E_43</vt:lpwstr>
  </property>
</Properties>
</file>