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6D477">
      <w:pPr>
        <w:pStyle w:val="13"/>
        <w:widowControl/>
      </w:pPr>
      <w:bookmarkStart w:id="0" w:name="_GoBack"/>
      <w:bookmarkEnd w:id="0"/>
      <w:r>
        <w:t>国防动员</w:t>
      </w:r>
    </w:p>
    <w:p w14:paraId="0E52BD90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国防动员基本含义</w:t>
      </w:r>
    </w:p>
    <w:p w14:paraId="19061C7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国防动员简称动员，是国家或政治集团为应对战争或其他威胁，采取非常措施将社会各领域全部或部分由平时状态转入战时 / 紧急状态，推动国防潜力转化为国防实力的各类准备、实施活动；是国防重要组成部分，也是衡量国防强弱的标志之一。</w:t>
      </w:r>
    </w:p>
    <w:p w14:paraId="0B21F9D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</w:p>
    <w:p w14:paraId="4744E705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国防动员的作用</w:t>
      </w:r>
    </w:p>
    <w:p w14:paraId="3C13B612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是确定国家战略目标的根据之一</w:t>
      </w:r>
    </w:p>
    <w:p w14:paraId="7146A02A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直接关系战争最终胜败</w:t>
      </w:r>
    </w:p>
    <w:p w14:paraId="117B6B77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是快速实现平战转换的关键</w:t>
      </w:r>
    </w:p>
    <w:p w14:paraId="05B23D35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是夺取战争主动权的重要条件</w:t>
      </w:r>
    </w:p>
    <w:p w14:paraId="6A8AB34E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是保障战时军需民用的核心措施</w:t>
      </w:r>
    </w:p>
    <w:p w14:paraId="2CB27994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40F9851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国防动员三大功能</w:t>
      </w:r>
    </w:p>
    <w:p w14:paraId="78BC1CD7">
      <w:pPr>
        <w:pStyle w:val="3"/>
        <w:widowControl/>
        <w:numPr>
          <w:ilvl w:val="0"/>
          <w:numId w:val="3"/>
        </w:numPr>
        <w:topLinePunct w:val="0"/>
        <w:ind w:left="0" w:leftChars="0" w:firstLine="0" w:firstLineChars="0"/>
        <w:rPr>
          <w:b/>
        </w:rPr>
      </w:pPr>
      <w:r>
        <w:t>应战功能（核心、基本功能）</w:t>
      </w:r>
    </w:p>
    <w:p w14:paraId="6D925A9E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胜战功能：是打赢战争的基础，快速调动各类国防资源，掌握战场主动权；</w:t>
      </w:r>
    </w:p>
    <w:p w14:paraId="491A6193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止战功能：具备强大战略威慑，实现 “不战而屈人之兵”，遏制冲突危机。</w:t>
      </w:r>
    </w:p>
    <w:p w14:paraId="56C4FF1C">
      <w:pPr>
        <w:pStyle w:val="3"/>
        <w:widowControl/>
        <w:numPr>
          <w:ilvl w:val="0"/>
          <w:numId w:val="3"/>
        </w:numPr>
        <w:topLinePunct w:val="0"/>
        <w:ind w:left="0" w:leftChars="0" w:firstLine="0" w:firstLineChars="0"/>
        <w:rPr>
          <w:b/>
        </w:rPr>
      </w:pPr>
      <w:r>
        <w:t>应急功能（功能拓展延伸）</w:t>
      </w:r>
    </w:p>
    <w:p w14:paraId="5120FDB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应对重大自然灾害、社会动荡、恐怖袭击等突发事件，调动人力、物力、财力开展抢险救援、维稳处置；典型案例：98 抗洪、汶川 / 玉树地震、抗疫、雨雪冰冻救灾、反恐维稳。</w:t>
      </w:r>
    </w:p>
    <w:p w14:paraId="1887B7A3">
      <w:pPr>
        <w:pStyle w:val="3"/>
        <w:widowControl/>
        <w:numPr>
          <w:ilvl w:val="0"/>
          <w:numId w:val="3"/>
        </w:numPr>
        <w:topLinePunct w:val="0"/>
        <w:ind w:left="0" w:leftChars="0" w:firstLine="0" w:firstLineChars="0"/>
        <w:rPr>
          <w:b/>
        </w:rPr>
      </w:pPr>
      <w:r>
        <w:t>服务功能（服务国家经济建设）</w:t>
      </w:r>
    </w:p>
    <w:p w14:paraId="4B9E4EB1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节约常态化国防开支；</w:t>
      </w:r>
    </w:p>
    <w:p w14:paraId="28FD6FA4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动员建设成果可直接服务经济发展，如人防工程综合利用、战略物资双向储备，实现国防与经济建设协调共赢。</w:t>
      </w:r>
    </w:p>
    <w:p w14:paraId="7D559BF7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4A1366C8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国防动员分类</w:t>
      </w:r>
    </w:p>
    <w:p w14:paraId="40FA4A77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b/>
        </w:rPr>
      </w:pPr>
      <w:r>
        <w:t>按规模划分</w:t>
      </w:r>
    </w:p>
    <w:p w14:paraId="4764DB22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局部动员</w:t>
      </w:r>
      <w:r>
        <w:rPr>
          <w:rFonts w:ascii="宋体" w:hAnsi="Calibri" w:eastAsia="宋体" w:cs="Times New Roman"/>
          <w:color w:val="000000"/>
          <w:sz w:val="24"/>
        </w:rPr>
        <w:t>：国家安全仅受局部威胁，在部分地区、领域开展动员，规模小、周期短；国家整体保持和平体制，可升级为总动员，决定权归国家最高权力机关。例：对越自卫反击战动员。</w:t>
      </w:r>
    </w:p>
    <w:p w14:paraId="0B449E68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总动员（全面动员）</w:t>
      </w:r>
      <w:r>
        <w:rPr>
          <w:rFonts w:ascii="宋体" w:hAnsi="Calibri" w:eastAsia="宋体" w:cs="Times New Roman"/>
          <w:color w:val="000000"/>
          <w:sz w:val="24"/>
        </w:rPr>
        <w:t>：全面战争爆发时，全国军事、政治、经济、科技等全部转入战时体制，统一调配全部资源；由最高权力机关决定，国家元首 / 政府首脑发布动员令。例：抗日战争、苏联二战卫国战争动员。</w:t>
      </w:r>
    </w:p>
    <w:p w14:paraId="624C2132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b/>
        </w:rPr>
      </w:pPr>
      <w:r>
        <w:t>按性质划分</w:t>
      </w:r>
    </w:p>
    <w:p w14:paraId="40CEBC0B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秘密动员</w:t>
      </w:r>
      <w:r>
        <w:rPr>
          <w:rFonts w:ascii="宋体" w:hAnsi="Calibri" w:eastAsia="宋体" w:cs="Times New Roman"/>
          <w:color w:val="000000"/>
          <w:sz w:val="24"/>
        </w:rPr>
        <w:t>：伪装隐蔽实施，避免暴露作战意图、不给敌方开战借口，多用于战前突袭准备。例：二战德国闪击苏联前伪装动员。</w:t>
      </w:r>
    </w:p>
    <w:p w14:paraId="4C82D18A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公开动员</w:t>
      </w:r>
      <w:r>
        <w:rPr>
          <w:rFonts w:ascii="宋体" w:hAnsi="Calibri" w:eastAsia="宋体" w:cs="Times New Roman"/>
          <w:color w:val="000000"/>
          <w:sz w:val="24"/>
        </w:rPr>
        <w:t>：公开发布动员令、宣布战争状态，传播速度快、号召力强，多用于战争爆发前夕或开战之后。</w:t>
      </w:r>
    </w:p>
    <w:p w14:paraId="51E507B1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b/>
        </w:rPr>
      </w:pPr>
      <w:r>
        <w:t>按时间划分</w:t>
      </w:r>
    </w:p>
    <w:p w14:paraId="5A37F070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应急动员</w:t>
      </w:r>
      <w:r>
        <w:rPr>
          <w:rFonts w:ascii="宋体" w:hAnsi="Calibri" w:eastAsia="宋体" w:cs="Times New Roman"/>
          <w:color w:val="000000"/>
          <w:sz w:val="24"/>
        </w:rPr>
        <w:t>：战争临近或遭遇突袭时紧急开展，含临战动员、战争初期动员；现代高技术局部战争中成为主要动员方式。</w:t>
      </w:r>
    </w:p>
    <w:p w14:paraId="53A3F604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持续动员</w:t>
      </w:r>
      <w:r>
        <w:rPr>
          <w:rFonts w:ascii="宋体" w:hAnsi="Calibri" w:eastAsia="宋体" w:cs="Times New Roman"/>
          <w:color w:val="000000"/>
          <w:sz w:val="24"/>
        </w:rPr>
        <w:t>：战争中后期持续开展，持续补充兵力物资，维持、提升军队作战能力。例：海湾战争美军多次征召预备役。</w:t>
      </w:r>
    </w:p>
    <w:p w14:paraId="437A4C36">
      <w:pPr>
        <w:pStyle w:val="3"/>
        <w:widowControl/>
        <w:numPr>
          <w:ilvl w:val="0"/>
          <w:numId w:val="6"/>
        </w:numPr>
        <w:topLinePunct w:val="0"/>
        <w:ind w:left="0" w:leftChars="0" w:firstLine="0" w:firstLineChars="0"/>
        <w:rPr>
          <w:b/>
        </w:rPr>
      </w:pPr>
      <w:r>
        <w:t>按动员内容划分（五大类）</w:t>
      </w:r>
    </w:p>
    <w:p w14:paraId="088DC78B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武装力量动员（核心动员）</w:t>
      </w:r>
    </w:p>
    <w:p w14:paraId="3B8024F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调整扩充各类武装力量，由平时转为战时，包含四类： （1）现役部队动员：各军种、武警转入战时编制，扩建、新建作战部队； （2）预备役部队动员：征召预备役转服现役，快速扩充作战力量；例：第四次中东战争以色列 48 小时集结 30 万预备役； （3）后备兵员动员：征召适龄公民入伍，补充部队缺编、战斗损耗、新建单位； （4）民兵动员：征召民兵遂行作战、支前保障任务，是人民战争重要力量；现代战争需求转变：保障类、技术类、单个补充需求增多。</w:t>
      </w:r>
    </w:p>
    <w:p w14:paraId="74AD4BED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国民经济动员（动员基础）</w:t>
      </w:r>
    </w:p>
    <w:p w14:paraId="737F424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将经济体系转为战时运行，下设细分领域：工业动员、农业动员、贸易动员、财政金融动员、劳动力动员、战略物资储备动员、医药卫生动员。</w:t>
      </w:r>
    </w:p>
    <w:p w14:paraId="2AA81440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工业动员：扩大军工产能，批量生产作战装备物资；</w:t>
      </w:r>
    </w:p>
    <w:p w14:paraId="4356FBA4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财政金融动员：通过战时税制、发行债券、举借外债、社会捐献筹措巨额战争经费。</w:t>
      </w:r>
    </w:p>
    <w:p w14:paraId="467D3E6F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交通战备动员</w:t>
      </w:r>
    </w:p>
    <w:p w14:paraId="3471C19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统筹调动海陆空各类交通运输资源，保障兵力投送、物资运输。</w:t>
      </w:r>
    </w:p>
    <w:p w14:paraId="2910583C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人民防空动员</w:t>
      </w:r>
    </w:p>
    <w:p w14:paraId="5D02FE1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组织群众防备空袭、降低空袭伤亡、消除空袭后果；我国防空体系分为要地防空、野战防空、人民防空；1992 年我国加入国际民防组织。</w:t>
      </w:r>
    </w:p>
    <w:p w14:paraId="551D5852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sz w:val="24"/>
          <w:szCs w:val="24"/>
        </w:rPr>
      </w:pPr>
      <w:r>
        <w:rPr>
          <w:sz w:val="24"/>
          <w:szCs w:val="24"/>
        </w:rPr>
        <w:t>政治动员</w:t>
      </w:r>
    </w:p>
    <w:p w14:paraId="3959897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通过宣传教育、组织建设、外交工作激发全民爱国热情，动员军民参军支前、奋勇作战；广泛应用于抗战、解放战争、抗美援朝等历次战争。</w:t>
      </w:r>
    </w:p>
    <w:p w14:paraId="4DF76EA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</w:p>
    <w:p w14:paraId="5848252E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开展国防动员的重大意义</w:t>
      </w:r>
    </w:p>
    <w:p w14:paraId="4A1DAFB0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动员是夺取战争胜利的重要保障：完善动员体系可快速转换平战状态，扭转战场被动，抵御敌方突袭；</w:t>
      </w:r>
    </w:p>
    <w:p w14:paraId="4E799F5A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动员是加强经济建设、增强国防实力的重要举措：坚持平战结合、军民兼容，常备军 + 后备力量搭配，兼顾经济发展与国防储备；</w:t>
      </w:r>
    </w:p>
    <w:p w14:paraId="2B29A4B5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动员是增强国防威慑力的重要战略：完备的后备力量与动员体系可提升国家整体威慑，遏制战争爆发。</w:t>
      </w:r>
    </w:p>
    <w:p w14:paraId="5D1A98E8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7F327ED2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新时代国防动员发展趋势</w:t>
      </w:r>
    </w:p>
    <w:p w14:paraId="4284EBDE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高技术含量大幅提升</w:t>
      </w:r>
      <w:r>
        <w:rPr>
          <w:rFonts w:ascii="宋体" w:hAnsi="Calibri" w:eastAsia="宋体" w:cs="Times New Roman"/>
          <w:color w:val="000000"/>
          <w:sz w:val="24"/>
        </w:rPr>
        <w:t>：从传统 “体能型” 人力动员转向科技、信息资源动员，建设自动化动员系统，提升快速反应能力；</w:t>
      </w:r>
    </w:p>
    <w:p w14:paraId="5D5A33F1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空间范围显著扩大</w:t>
      </w:r>
      <w:r>
        <w:rPr>
          <w:rFonts w:ascii="宋体" w:hAnsi="Calibri" w:eastAsia="宋体" w:cs="Times New Roman"/>
          <w:color w:val="000000"/>
          <w:sz w:val="24"/>
        </w:rPr>
        <w:t>：战场向陆、海、空、天、电多维立体化延伸，动员覆盖全域，全球化下动员国际关联性增强；</w:t>
      </w:r>
    </w:p>
    <w:p w14:paraId="15ABC5AD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预备役人员比例持续攀升</w:t>
      </w:r>
      <w:r>
        <w:rPr>
          <w:rFonts w:ascii="宋体" w:hAnsi="Calibri" w:eastAsia="宋体" w:cs="Times New Roman"/>
          <w:color w:val="000000"/>
          <w:sz w:val="24"/>
        </w:rPr>
        <w:t>：各国精简常备军，扩大技术型预备役规模，依靠后备力量承担大量技术保障任务；</w:t>
      </w:r>
    </w:p>
    <w:p w14:paraId="6DDCE5EA">
      <w:pPr>
        <w:pStyle w:val="11"/>
        <w:widowControl/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平战结合、军民兼容更加广泛</w:t>
      </w:r>
      <w:r>
        <w:rPr>
          <w:rFonts w:ascii="宋体" w:hAnsi="Calibri" w:eastAsia="宋体" w:cs="Times New Roman"/>
          <w:color w:val="000000"/>
          <w:sz w:val="24"/>
        </w:rPr>
        <w:t>：军民技术、基础设施双向通用，交通、通信、网络、机场港口等建设兼顾战时需求；动员体制兼具应战、应急双重职能，依托突发事件检验动员体系。</w:t>
      </w:r>
    </w:p>
    <w:p w14:paraId="2DA24A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58D6A"/>
    <w:multiLevelType w:val="singleLevel"/>
    <w:tmpl w:val="8DA58D6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8FCE7AB3"/>
    <w:multiLevelType w:val="singleLevel"/>
    <w:tmpl w:val="8FCE7AB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A248BB8F"/>
    <w:multiLevelType w:val="singleLevel"/>
    <w:tmpl w:val="A248BB8F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3">
    <w:nsid w:val="C9206920"/>
    <w:multiLevelType w:val="singleLevel"/>
    <w:tmpl w:val="C9206920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4">
    <w:nsid w:val="D1A6A6A8"/>
    <w:multiLevelType w:val="multilevel"/>
    <w:tmpl w:val="D1A6A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D4EE39B"/>
    <w:multiLevelType w:val="singleLevel"/>
    <w:tmpl w:val="DD4EE39B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F706D0F3"/>
    <w:multiLevelType w:val="singleLevel"/>
    <w:tmpl w:val="F706D0F3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F7BB8D6A"/>
    <w:multiLevelType w:val="singleLevel"/>
    <w:tmpl w:val="F7BB8D6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17699666"/>
    <w:multiLevelType w:val="singleLevel"/>
    <w:tmpl w:val="1769966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9">
    <w:nsid w:val="202FBDC1"/>
    <w:multiLevelType w:val="singleLevel"/>
    <w:tmpl w:val="202FBDC1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0">
    <w:nsid w:val="4AE03286"/>
    <w:multiLevelType w:val="singleLevel"/>
    <w:tmpl w:val="4AE0328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659B1807"/>
    <w:multiLevelType w:val="singleLevel"/>
    <w:tmpl w:val="659B180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2">
    <w:nsid w:val="7ACC4CC4"/>
    <w:multiLevelType w:val="singleLevel"/>
    <w:tmpl w:val="7ACC4CC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12"/>
  </w:num>
  <w:num w:numId="5">
    <w:abstractNumId w:val="10"/>
  </w:num>
  <w:num w:numId="6">
    <w:abstractNumId w:val="3"/>
  </w:num>
  <w:num w:numId="7">
    <w:abstractNumId w:val="9"/>
  </w:num>
  <w:num w:numId="8">
    <w:abstractNumId w:val="0"/>
  </w:num>
  <w:num w:numId="9">
    <w:abstractNumId w:val="5"/>
  </w:num>
  <w:num w:numId="10">
    <w:abstractNumId w:val="11"/>
  </w:num>
  <w:num w:numId="11">
    <w:abstractNumId w:val="4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45D6F"/>
    <w:rsid w:val="42866341"/>
    <w:rsid w:val="4A745D6F"/>
    <w:rsid w:val="7F03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both"/>
      <w:outlineLvl w:val="0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leftChars="0" w:right="0" w:rightChars="0"/>
      <w:jc w:val="both"/>
      <w:outlineLvl w:val="1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hAnsi="Times New Roman" w:eastAsia="宋体" w:cs="Times New Roman"/>
      <w:b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keepNext w:val="0"/>
      <w:keepLines w:val="0"/>
      <w:widowControl/>
      <w:spacing w:before="0" w:beforeAutospacing="0" w:after="120" w:afterAutospacing="0" w:line="240" w:lineRule="auto"/>
      <w:ind w:left="0" w:leftChars="0" w:right="0" w:firstLine="480" w:firstLineChars="200"/>
      <w:jc w:val="both"/>
      <w:outlineLvl w:val="9"/>
    </w:pPr>
    <w:rPr>
      <w:rFonts w:ascii="宋体" w:hAnsi="Calibri" w:eastAsia="宋体" w:cs="Times New Roman"/>
      <w:sz w:val="24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center"/>
      <w:outlineLvl w:val="9"/>
    </w:pPr>
    <w:rPr>
      <w:rFonts w:ascii="宋体" w:hAnsi="宋体" w:eastAsia="黑体" w:cs="宋体"/>
      <w:bCs/>
      <w:color w:val="auto"/>
      <w:kern w:val="44"/>
      <w:sz w:val="28"/>
      <w:szCs w:val="28"/>
      <w:u w:val="none"/>
      <w:lang w:bidi="ar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2026-06-28T01:22:00Z</dcterms:created>
  <dc:creator>往矣</dc:creator>
  <cp:lastModifiedBy>往矣</cp:lastModifiedBy>
  <dcterms:modified xsi:type="dcterms:W3CDTF">2026-06-28T02:24:44Z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3B20BABBE253489398843789E37B7ABE_13</vt:lpwstr>
  </property>
  <property fmtid="{D5CDD505-2E9C-101B-9397-08002B2CF9AE}" pid="4" name="KSOTemplateDocerSaveRecord">
    <vt:lpwstr>eyJoZGlkIjoiZjg2MDdiM2M3OWY2ZWY0YWQ2N2VmMDdjNjUzODIzNzEiLCJ1c2VySWQiOiIxMTM5ODU1NjcxIn0=</vt:lpwstr>
  </property>
</Properties>
</file>