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F91A4">
      <w:pPr>
        <w:pStyle w:val="13"/>
        <w:widowControl/>
      </w:pPr>
      <w:bookmarkStart w:id="0" w:name="_GoBack"/>
      <w:bookmarkEnd w:id="0"/>
      <w:r>
        <w:t>国家安全形势</w:t>
      </w:r>
    </w:p>
    <w:p w14:paraId="1FFF34BB">
      <w:pPr>
        <w:pStyle w:val="2"/>
        <w:widowControl/>
        <w:numPr>
          <w:ilvl w:val="0"/>
          <w:numId w:val="1"/>
        </w:numPr>
        <w:topLinePunct w:val="0"/>
        <w:ind w:left="0" w:leftChars="0" w:firstLine="0" w:firstLineChars="0"/>
        <w:rPr>
          <w:b/>
        </w:rPr>
      </w:pPr>
      <w:r>
        <w:t>国家安全概述</w:t>
      </w:r>
    </w:p>
    <w:p w14:paraId="17EFD033">
      <w:pPr>
        <w:pStyle w:val="3"/>
        <w:widowControl/>
        <w:numPr>
          <w:ilvl w:val="0"/>
          <w:numId w:val="2"/>
        </w:numPr>
        <w:topLinePunct w:val="0"/>
        <w:ind w:left="0" w:leftChars="0" w:firstLine="0" w:firstLineChars="0"/>
        <w:rPr>
          <w:b/>
        </w:rPr>
      </w:pPr>
      <w:r>
        <w:t>国家安全概念发展</w:t>
      </w:r>
    </w:p>
    <w:p w14:paraId="44278B03">
      <w:pPr>
        <w:pStyle w:val="11"/>
        <w:widowControl/>
        <w:numPr>
          <w:ilvl w:val="0"/>
          <w:numId w:val="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概念起源：1943 年美国学者沃尔特・李普曼在《美国外交政策》中首次提出 “国家安全” 概念。</w:t>
      </w:r>
    </w:p>
    <w:p w14:paraId="46993C3C">
      <w:pPr>
        <w:pStyle w:val="11"/>
        <w:widowControl/>
        <w:numPr>
          <w:ilvl w:val="0"/>
          <w:numId w:val="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法律化开端：1947 年美国通过《国家安全法》，国家安全首次出现在正式法律文件中。</w:t>
      </w:r>
    </w:p>
    <w:p w14:paraId="082337F6">
      <w:pPr>
        <w:pStyle w:val="11"/>
        <w:widowControl/>
        <w:numPr>
          <w:ilvl w:val="0"/>
          <w:numId w:val="3"/>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早期内涵：侧重于生存安全，核心集中在政治安全和军事安全领域。</w:t>
      </w:r>
    </w:p>
    <w:p w14:paraId="6FE894F2">
      <w:pPr>
        <w:pStyle w:val="3"/>
        <w:widowControl/>
        <w:numPr>
          <w:ilvl w:val="0"/>
          <w:numId w:val="2"/>
        </w:numPr>
        <w:topLinePunct w:val="0"/>
        <w:ind w:left="0" w:leftChars="0" w:firstLine="0" w:firstLineChars="0"/>
        <w:rPr>
          <w:b/>
        </w:rPr>
      </w:pPr>
      <w:r>
        <w:t>国家安全的内涵</w:t>
      </w:r>
    </w:p>
    <w:p w14:paraId="568837F9">
      <w:pPr>
        <w:pStyle w:val="11"/>
        <w:widowControl/>
        <w:numPr>
          <w:ilvl w:val="0"/>
          <w:numId w:val="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定义：国家安全是指国家政权、主权、统一和领土完整、人民福祉、经济社会可持续发展和国家其他重大利益相对处于没有危险和不受内外威胁的状态，以及保障持续安全状态的能力。</w:t>
      </w:r>
    </w:p>
    <w:p w14:paraId="52C430D1">
      <w:pPr>
        <w:pStyle w:val="11"/>
        <w:widowControl/>
        <w:numPr>
          <w:ilvl w:val="0"/>
          <w:numId w:val="4"/>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核心要点</w:t>
      </w:r>
    </w:p>
    <w:p w14:paraId="29278C18">
      <w:pPr>
        <w:pStyle w:val="11"/>
        <w:widowControl/>
        <w:numPr>
          <w:ilvl w:val="0"/>
          <w:numId w:val="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安全主体为国家；</w:t>
      </w:r>
    </w:p>
    <w:p w14:paraId="46DECABC">
      <w:pPr>
        <w:pStyle w:val="11"/>
        <w:widowControl/>
        <w:numPr>
          <w:ilvl w:val="0"/>
          <w:numId w:val="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覆盖国家各项核心基本利益；</w:t>
      </w:r>
    </w:p>
    <w:p w14:paraId="537CBB95">
      <w:pPr>
        <w:pStyle w:val="11"/>
        <w:widowControl/>
        <w:numPr>
          <w:ilvl w:val="0"/>
          <w:numId w:val="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包含 11 类安全领域：政治安全、国土安全、军事安全、经济安全、文化安全、社会安全、科技安全、信息安全、生态安全、资源安全、核安全；</w:t>
      </w:r>
    </w:p>
    <w:p w14:paraId="6A775286">
      <w:pPr>
        <w:pStyle w:val="11"/>
        <w:widowControl/>
        <w:numPr>
          <w:ilvl w:val="0"/>
          <w:numId w:val="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全民国家安全教育日：每年 4 月 15 日，由《中华人民共和国国家安全法》明确规定。</w:t>
      </w:r>
    </w:p>
    <w:p w14:paraId="764B5DCF">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p>
    <w:p w14:paraId="757E4A23">
      <w:pPr>
        <w:pStyle w:val="2"/>
        <w:widowControl/>
        <w:numPr>
          <w:ilvl w:val="0"/>
          <w:numId w:val="1"/>
        </w:numPr>
        <w:topLinePunct w:val="0"/>
        <w:ind w:left="0" w:leftChars="0" w:firstLine="0" w:firstLineChars="0"/>
        <w:rPr>
          <w:b/>
        </w:rPr>
      </w:pPr>
      <w:r>
        <w:t>我国地缘环境基本概况</w:t>
      </w:r>
    </w:p>
    <w:p w14:paraId="3EBF7C0F">
      <w:pPr>
        <w:pStyle w:val="3"/>
        <w:widowControl/>
        <w:numPr>
          <w:ilvl w:val="0"/>
          <w:numId w:val="6"/>
        </w:numPr>
        <w:topLinePunct w:val="0"/>
        <w:ind w:left="0" w:leftChars="0" w:firstLine="0" w:firstLineChars="0"/>
        <w:rPr>
          <w:b/>
        </w:rPr>
      </w:pPr>
      <w:r>
        <w:t>地缘环境概念</w:t>
      </w:r>
    </w:p>
    <w:p w14:paraId="0DE63139">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地缘环境指地理和政治环境对特定地区或国家的影响，包含地理位置、地理特征、与地理密切关联的国家关系等；核心影响因素包括邻国数量、周边人口规模、人均 GDP 发展水平。</w:t>
      </w:r>
    </w:p>
    <w:p w14:paraId="41B41702">
      <w:pPr>
        <w:pStyle w:val="3"/>
        <w:widowControl/>
        <w:numPr>
          <w:ilvl w:val="0"/>
          <w:numId w:val="6"/>
        </w:numPr>
        <w:topLinePunct w:val="0"/>
        <w:ind w:left="0" w:leftChars="0" w:firstLine="0" w:firstLineChars="0"/>
        <w:rPr>
          <w:b/>
        </w:rPr>
      </w:pPr>
      <w:r>
        <w:t>我国地缘基础数据</w:t>
      </w:r>
    </w:p>
    <w:p w14:paraId="0DD4BAD2">
      <w:pPr>
        <w:pStyle w:val="11"/>
        <w:widowControl/>
        <w:numPr>
          <w:ilvl w:val="0"/>
          <w:numId w:val="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国土与边界：陆地面积约 960 万平方公里，领海面积约 473 万平方公里；陆上边界约 2.2 万公里，海岸线约 1.8 万公里。</w:t>
      </w:r>
    </w:p>
    <w:p w14:paraId="215DBD8D">
      <w:pPr>
        <w:pStyle w:val="11"/>
        <w:widowControl/>
        <w:numPr>
          <w:ilvl w:val="0"/>
          <w:numId w:val="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邻国构成：陆上邻国 12 个，海上邻国 6 个，海陆双重邻国 2 个（朝鲜、越南），总计 20 个邻国。</w:t>
      </w:r>
    </w:p>
    <w:p w14:paraId="4D1F1459">
      <w:pPr>
        <w:pStyle w:val="11"/>
        <w:widowControl/>
        <w:numPr>
          <w:ilvl w:val="0"/>
          <w:numId w:val="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周边人口特征：全球人口过亿国家共 16 个，我国周边占 8 个；全球总人口约 83 亿，我国及周边人口约 39.22 亿，占比 47.25%，是全球人口最密集的区域。</w:t>
      </w:r>
    </w:p>
    <w:p w14:paraId="4C277F2A">
      <w:pPr>
        <w:pStyle w:val="3"/>
        <w:widowControl/>
        <w:numPr>
          <w:ilvl w:val="0"/>
          <w:numId w:val="6"/>
        </w:numPr>
        <w:topLinePunct w:val="0"/>
        <w:ind w:left="0" w:leftChars="0" w:firstLine="0" w:firstLineChars="0"/>
        <w:rPr>
          <w:b/>
        </w:rPr>
      </w:pPr>
      <w:r>
        <w:t>我国地缘环境特点</w:t>
      </w:r>
    </w:p>
    <w:p w14:paraId="607B4EE2">
      <w:pPr>
        <w:pStyle w:val="11"/>
        <w:widowControl/>
        <w:numPr>
          <w:ilvl w:val="0"/>
          <w:numId w:val="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边界线漫长，是世界上相邻国家数量较多的国家之一；</w:t>
      </w:r>
    </w:p>
    <w:p w14:paraId="0EF183B3">
      <w:pPr>
        <w:pStyle w:val="11"/>
        <w:widowControl/>
        <w:numPr>
          <w:ilvl w:val="0"/>
          <w:numId w:val="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所在区域是全球人口最多、分布最集中的地区；</w:t>
      </w:r>
    </w:p>
    <w:p w14:paraId="1CAA60ED">
      <w:pPr>
        <w:pStyle w:val="11"/>
        <w:widowControl/>
        <w:numPr>
          <w:ilvl w:val="0"/>
          <w:numId w:val="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区域内政治制度、经济发展水平差异巨大，民族宗教矛盾相互交织；</w:t>
      </w:r>
    </w:p>
    <w:p w14:paraId="0B041C4E">
      <w:pPr>
        <w:pStyle w:val="11"/>
        <w:widowControl/>
        <w:numPr>
          <w:ilvl w:val="0"/>
          <w:numId w:val="8"/>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地处欧亚大陆地缘与海洋地缘两大战略区的交接处，与美国、俄罗斯、日本等大国形成相互制衡的战略关系。</w:t>
      </w:r>
    </w:p>
    <w:p w14:paraId="738CD073">
      <w:pPr>
        <w:pStyle w:val="11"/>
        <w:widowControl/>
        <w:numPr>
          <w:ilvl w:val="0"/>
          <w:numId w:val="0"/>
        </w:numPr>
        <w:pBdr>
          <w:top w:val="none" w:color="auto" w:sz="0" w:space="0"/>
          <w:left w:val="none" w:color="auto" w:sz="0" w:space="0"/>
          <w:bottom w:val="none" w:color="auto" w:sz="0" w:space="0"/>
          <w:right w:val="none" w:color="auto" w:sz="0" w:space="0"/>
        </w:pBdr>
        <w:ind w:left="480" w:leftChars="0" w:right="0" w:rightChars="0"/>
        <w:rPr>
          <w:rFonts w:ascii="宋体" w:hAnsi="Calibri" w:eastAsia="宋体" w:cs="Times New Roman"/>
          <w:b w:val="0"/>
          <w:color w:val="000000"/>
          <w:sz w:val="24"/>
        </w:rPr>
      </w:pPr>
    </w:p>
    <w:p w14:paraId="690B4BE5">
      <w:pPr>
        <w:pStyle w:val="2"/>
        <w:widowControl/>
        <w:numPr>
          <w:ilvl w:val="0"/>
          <w:numId w:val="1"/>
        </w:numPr>
        <w:topLinePunct w:val="0"/>
        <w:ind w:left="0" w:leftChars="0" w:firstLine="0" w:firstLineChars="0"/>
        <w:rPr>
          <w:b/>
        </w:rPr>
      </w:pPr>
      <w:r>
        <w:t>我国周边安全环境</w:t>
      </w:r>
    </w:p>
    <w:p w14:paraId="70B9F368">
      <w:pPr>
        <w:pStyle w:val="3"/>
        <w:widowControl/>
        <w:numPr>
          <w:ilvl w:val="0"/>
          <w:numId w:val="9"/>
        </w:numPr>
        <w:topLinePunct w:val="0"/>
        <w:ind w:left="0" w:leftChars="0" w:firstLine="0" w:firstLineChars="0"/>
        <w:rPr>
          <w:b/>
        </w:rPr>
      </w:pPr>
      <w:r>
        <w:t>缓和与稳定是周边安全环境的主流</w:t>
      </w:r>
    </w:p>
    <w:p w14:paraId="54C76499">
      <w:pPr>
        <w:pStyle w:val="4"/>
        <w:widowControl/>
        <w:rPr>
          <w:sz w:val="24"/>
          <w:szCs w:val="24"/>
        </w:rPr>
      </w:pPr>
      <w:r>
        <w:rPr>
          <w:sz w:val="24"/>
          <w:szCs w:val="24"/>
        </w:rPr>
        <w:t>1.全面推进中国特色大国外交</w:t>
      </w:r>
    </w:p>
    <w:p w14:paraId="2503DD87">
      <w:pPr>
        <w:pStyle w:val="11"/>
        <w:widowControl/>
        <w:numPr>
          <w:ilvl w:val="0"/>
          <w:numId w:val="1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对美国：以推动共同繁荣发展为目标，在各领域实现合作共赢；</w:t>
      </w:r>
    </w:p>
    <w:p w14:paraId="00B8C8DA">
      <w:pPr>
        <w:pStyle w:val="11"/>
        <w:widowControl/>
        <w:numPr>
          <w:ilvl w:val="0"/>
          <w:numId w:val="1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对俄罗斯：以相互尊重、平等互利和互信为核心，构建多领域务实合作的全面战略协作伙伴关系；</w:t>
      </w:r>
    </w:p>
    <w:p w14:paraId="67527081">
      <w:pPr>
        <w:pStyle w:val="11"/>
        <w:widowControl/>
        <w:numPr>
          <w:ilvl w:val="0"/>
          <w:numId w:val="1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对欧盟及欧洲国家：推进中欧友好合作，携手打造和平、增长、改革、文明四大伙伴关系。</w:t>
      </w:r>
    </w:p>
    <w:p w14:paraId="5A3D223B">
      <w:pPr>
        <w:pStyle w:val="4"/>
        <w:widowControl/>
        <w:rPr>
          <w:sz w:val="24"/>
          <w:szCs w:val="24"/>
        </w:rPr>
      </w:pPr>
      <w:r>
        <w:rPr>
          <w:rFonts w:hint="eastAsia"/>
          <w:sz w:val="24"/>
          <w:szCs w:val="24"/>
          <w:lang w:val="en-US" w:eastAsia="zh-CN"/>
        </w:rPr>
        <w:t>2</w:t>
      </w:r>
      <w:r>
        <w:rPr>
          <w:sz w:val="24"/>
          <w:szCs w:val="24"/>
        </w:rPr>
        <w:t>.周边外交实现新突破</w:t>
      </w:r>
    </w:p>
    <w:p w14:paraId="260DBF84">
      <w:pPr>
        <w:pStyle w:val="11"/>
        <w:widowControl/>
        <w:numPr>
          <w:ilvl w:val="0"/>
          <w:numId w:val="1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中巴、中老、中柬建立双边命运共同体；中越发布深化合作联合声明；中印尼共建雅万高铁；中巴深化全天候战略合作伙伴关系。</w:t>
      </w:r>
    </w:p>
    <w:p w14:paraId="203993D9">
      <w:pPr>
        <w:pStyle w:val="4"/>
        <w:widowControl/>
        <w:rPr>
          <w:sz w:val="24"/>
          <w:szCs w:val="24"/>
        </w:rPr>
      </w:pPr>
      <w:r>
        <w:rPr>
          <w:rFonts w:hint="eastAsia"/>
          <w:sz w:val="24"/>
          <w:szCs w:val="24"/>
          <w:lang w:val="en-US" w:eastAsia="zh-CN"/>
        </w:rPr>
        <w:t>3</w:t>
      </w:r>
      <w:r>
        <w:rPr>
          <w:sz w:val="24"/>
          <w:szCs w:val="24"/>
        </w:rPr>
        <w:t>.多边区域合作机制稳步发展</w:t>
      </w:r>
    </w:p>
    <w:p w14:paraId="56179C01">
      <w:pPr>
        <w:pStyle w:val="5"/>
        <w:widowControl/>
        <w:numPr>
          <w:ilvl w:val="0"/>
          <w:numId w:val="12"/>
        </w:numPr>
        <w:topLinePunct w:val="0"/>
        <w:ind w:left="0" w:leftChars="0" w:firstLine="0" w:firstLineChars="0"/>
        <w:rPr>
          <w:rFonts w:hint="eastAsia" w:ascii="宋体" w:hAnsi="宋体" w:eastAsia="宋体" w:cs="宋体"/>
          <w:b/>
          <w:sz w:val="24"/>
          <w:szCs w:val="24"/>
        </w:rPr>
      </w:pPr>
      <w:r>
        <w:rPr>
          <w:sz w:val="24"/>
          <w:szCs w:val="24"/>
        </w:rPr>
        <w:t>上海合作组织</w:t>
      </w:r>
    </w:p>
    <w:p w14:paraId="2FA1ABF4">
      <w:pPr>
        <w:pStyle w:val="11"/>
        <w:widowControl/>
        <w:numPr>
          <w:ilvl w:val="0"/>
          <w:numId w:val="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成立：2001 年 6 月在中国上海成立，是永久性政府间国际组织。</w:t>
      </w:r>
    </w:p>
    <w:p w14:paraId="754036DF">
      <w:pPr>
        <w:pStyle w:val="11"/>
        <w:widowControl/>
        <w:numPr>
          <w:ilvl w:val="0"/>
          <w:numId w:val="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核心精神：“上海精神”，即互信、互利、平等、协商，尊重多样文明、谋求共同发展。</w:t>
      </w:r>
    </w:p>
    <w:p w14:paraId="4920C67D">
      <w:pPr>
        <w:pStyle w:val="11"/>
        <w:widowControl/>
        <w:numPr>
          <w:ilvl w:val="0"/>
          <w:numId w:val="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对外原则：奉行不结盟、不针对其他国家和地区、对外开放的原则。</w:t>
      </w:r>
    </w:p>
    <w:p w14:paraId="41E4DFDB">
      <w:pPr>
        <w:pStyle w:val="11"/>
        <w:widowControl/>
        <w:numPr>
          <w:ilvl w:val="0"/>
          <w:numId w:val="1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成员构成：10 个成员国、2 个观察员国、14 个对话伙伴。</w:t>
      </w:r>
    </w:p>
    <w:p w14:paraId="21A0473C">
      <w:pPr>
        <w:pStyle w:val="5"/>
        <w:widowControl/>
        <w:numPr>
          <w:ilvl w:val="0"/>
          <w:numId w:val="12"/>
        </w:numPr>
        <w:topLinePunct w:val="0"/>
        <w:ind w:left="0" w:leftChars="0" w:firstLine="0" w:firstLineChars="0"/>
        <w:rPr>
          <w:b/>
          <w:sz w:val="24"/>
          <w:szCs w:val="24"/>
        </w:rPr>
      </w:pPr>
      <w:r>
        <w:rPr>
          <w:sz w:val="24"/>
          <w:szCs w:val="24"/>
        </w:rPr>
        <w:t>RCEP（区域全面经济伙伴关系协定）</w:t>
      </w:r>
    </w:p>
    <w:p w14:paraId="3E5B1F11">
      <w:pPr>
        <w:pStyle w:val="11"/>
        <w:widowControl/>
        <w:numPr>
          <w:ilvl w:val="0"/>
          <w:numId w:val="1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定位：全球最大、最具潜力的区域自贸协定，覆盖全球 30% 的人口与 30% 的 GDP。</w:t>
      </w:r>
    </w:p>
    <w:p w14:paraId="156D3E41">
      <w:pPr>
        <w:pStyle w:val="11"/>
        <w:widowControl/>
        <w:numPr>
          <w:ilvl w:val="0"/>
          <w:numId w:val="14"/>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构成：东盟 10 国 + 中国、日本、韩国、新西兰、澳大利亚 5 个重要贸易伙伴。</w:t>
      </w:r>
    </w:p>
    <w:p w14:paraId="40EB20F6">
      <w:pPr>
        <w:pStyle w:val="3"/>
        <w:widowControl/>
        <w:numPr>
          <w:ilvl w:val="0"/>
          <w:numId w:val="9"/>
        </w:numPr>
        <w:topLinePunct w:val="0"/>
        <w:ind w:left="0" w:leftChars="0" w:firstLine="0" w:firstLineChars="0"/>
        <w:rPr>
          <w:b/>
        </w:rPr>
      </w:pPr>
      <w:r>
        <w:t>周边安全存在的威胁与挑战</w:t>
      </w:r>
    </w:p>
    <w:p w14:paraId="0423132F">
      <w:pPr>
        <w:pStyle w:val="4"/>
        <w:widowControl/>
        <w:rPr>
          <w:sz w:val="24"/>
          <w:szCs w:val="24"/>
        </w:rPr>
      </w:pPr>
      <w:r>
        <w:rPr>
          <w:sz w:val="24"/>
          <w:szCs w:val="24"/>
        </w:rPr>
        <w:t>1.西方军事强国的威胁</w:t>
      </w:r>
    </w:p>
    <w:p w14:paraId="001DD07C">
      <w:pPr>
        <w:pStyle w:val="11"/>
        <w:widowControl/>
        <w:numPr>
          <w:ilvl w:val="0"/>
          <w:numId w:val="1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散布 “中国威胁论”；</w:t>
      </w:r>
    </w:p>
    <w:p w14:paraId="7D13F3B8">
      <w:pPr>
        <w:pStyle w:val="11"/>
        <w:widowControl/>
        <w:numPr>
          <w:ilvl w:val="0"/>
          <w:numId w:val="1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借 “人权” 幌子干涉我国内政；</w:t>
      </w:r>
    </w:p>
    <w:p w14:paraId="5E50D44E">
      <w:pPr>
        <w:pStyle w:val="11"/>
        <w:widowControl/>
        <w:numPr>
          <w:ilvl w:val="0"/>
          <w:numId w:val="1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持续对台军售，干涉我国内政与主权。</w:t>
      </w:r>
    </w:p>
    <w:p w14:paraId="00EF5EC2">
      <w:pPr>
        <w:pStyle w:val="4"/>
        <w:widowControl/>
        <w:rPr>
          <w:sz w:val="24"/>
          <w:szCs w:val="24"/>
        </w:rPr>
      </w:pPr>
      <w:r>
        <w:rPr>
          <w:rFonts w:hint="eastAsia"/>
          <w:sz w:val="24"/>
          <w:szCs w:val="24"/>
          <w:lang w:val="en-US" w:eastAsia="zh-CN"/>
        </w:rPr>
        <w:t>2</w:t>
      </w:r>
      <w:r>
        <w:rPr>
          <w:sz w:val="24"/>
          <w:szCs w:val="24"/>
        </w:rPr>
        <w:t>.周边 “热点” 地区的威胁</w:t>
      </w:r>
    </w:p>
    <w:p w14:paraId="221D268E">
      <w:pPr>
        <w:pStyle w:val="5"/>
        <w:widowControl/>
        <w:numPr>
          <w:ilvl w:val="0"/>
          <w:numId w:val="16"/>
        </w:numPr>
        <w:topLinePunct w:val="0"/>
        <w:ind w:left="0" w:leftChars="0" w:firstLine="0" w:firstLineChars="0"/>
        <w:rPr>
          <w:rFonts w:hint="eastAsia" w:ascii="宋体" w:hAnsi="宋体" w:eastAsia="宋体" w:cs="宋体"/>
          <w:b/>
          <w:sz w:val="24"/>
          <w:szCs w:val="24"/>
        </w:rPr>
      </w:pPr>
      <w:r>
        <w:rPr>
          <w:sz w:val="24"/>
          <w:szCs w:val="24"/>
        </w:rPr>
        <w:t>朝鲜半岛问题</w:t>
      </w:r>
    </w:p>
    <w:p w14:paraId="184570C4">
      <w:pPr>
        <w:pStyle w:val="11"/>
        <w:widowControl/>
        <w:numPr>
          <w:ilvl w:val="0"/>
          <w:numId w:val="1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根源：朝鲜南北方分裂，核心矛盾为朝韩对立、朝美对立。</w:t>
      </w:r>
    </w:p>
    <w:p w14:paraId="72D6293A">
      <w:pPr>
        <w:pStyle w:val="11"/>
        <w:widowControl/>
        <w:numPr>
          <w:ilvl w:val="0"/>
          <w:numId w:val="17"/>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局势特征：局势曾随双边会晤趋向缓和，后因韩方政策调整出现反复，存在重回强硬对立的风险。</w:t>
      </w:r>
    </w:p>
    <w:p w14:paraId="3E310DF1">
      <w:pPr>
        <w:pStyle w:val="5"/>
        <w:widowControl/>
        <w:numPr>
          <w:ilvl w:val="0"/>
          <w:numId w:val="16"/>
        </w:numPr>
        <w:topLinePunct w:val="0"/>
        <w:ind w:left="0" w:leftChars="0" w:firstLine="0" w:firstLineChars="0"/>
        <w:rPr>
          <w:rFonts w:hint="eastAsia" w:ascii="宋体" w:hAnsi="宋体" w:eastAsia="宋体" w:cs="宋体"/>
          <w:b/>
          <w:sz w:val="24"/>
          <w:szCs w:val="24"/>
        </w:rPr>
      </w:pPr>
      <w:r>
        <w:rPr>
          <w:sz w:val="24"/>
          <w:szCs w:val="24"/>
        </w:rPr>
        <w:t>印巴对立</w:t>
      </w:r>
    </w:p>
    <w:p w14:paraId="6AF073F4">
      <w:pPr>
        <w:pStyle w:val="11"/>
        <w:widowControl/>
        <w:numPr>
          <w:ilvl w:val="0"/>
          <w:numId w:val="1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成因：历史积怨、民族矛盾、宗教分歧、领土争端多重因素交织，问题短期难以根本解决。</w:t>
      </w:r>
    </w:p>
    <w:p w14:paraId="5ED43521">
      <w:pPr>
        <w:pStyle w:val="11"/>
        <w:widowControl/>
        <w:numPr>
          <w:ilvl w:val="0"/>
          <w:numId w:val="1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核心争端：克什米尔地区摩擦持续不断，停火协议未能彻底消除冲突。</w:t>
      </w:r>
    </w:p>
    <w:p w14:paraId="09263621">
      <w:pPr>
        <w:pStyle w:val="4"/>
        <w:widowControl/>
        <w:rPr>
          <w:sz w:val="24"/>
          <w:szCs w:val="24"/>
        </w:rPr>
      </w:pPr>
      <w:r>
        <w:rPr>
          <w:rFonts w:hint="eastAsia"/>
          <w:sz w:val="24"/>
          <w:szCs w:val="24"/>
          <w:lang w:val="en-US" w:eastAsia="zh-CN"/>
        </w:rPr>
        <w:t>2</w:t>
      </w:r>
      <w:r>
        <w:rPr>
          <w:sz w:val="24"/>
          <w:szCs w:val="24"/>
        </w:rPr>
        <w:t>.边界与海洋权益争端</w:t>
      </w:r>
    </w:p>
    <w:p w14:paraId="240A2A1C">
      <w:pPr>
        <w:pStyle w:val="5"/>
        <w:widowControl/>
        <w:numPr>
          <w:ilvl w:val="0"/>
          <w:numId w:val="19"/>
        </w:numPr>
        <w:topLinePunct w:val="0"/>
        <w:ind w:left="0" w:leftChars="0" w:firstLine="0" w:firstLineChars="0"/>
        <w:rPr>
          <w:rFonts w:hint="eastAsia" w:ascii="宋体" w:hAnsi="宋体" w:eastAsia="宋体" w:cs="宋体"/>
          <w:b/>
          <w:sz w:val="24"/>
          <w:szCs w:val="24"/>
        </w:rPr>
      </w:pPr>
      <w:r>
        <w:rPr>
          <w:sz w:val="24"/>
          <w:szCs w:val="24"/>
        </w:rPr>
        <w:t>中印陆上边界争端</w:t>
      </w:r>
    </w:p>
    <w:p w14:paraId="0D1136B4">
      <w:pPr>
        <w:pStyle w:val="11"/>
        <w:widowControl/>
        <w:numPr>
          <w:ilvl w:val="0"/>
          <w:numId w:val="2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边界概况：传统习惯边界分为东、中、西三段，全长 1700 多公里。</w:t>
      </w:r>
    </w:p>
    <w:p w14:paraId="084B491A">
      <w:pPr>
        <w:pStyle w:val="11"/>
        <w:widowControl/>
        <w:numPr>
          <w:ilvl w:val="0"/>
          <w:numId w:val="2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东段争议：印度趁中国内战与抗美援朝之机侵占麦克马洪线以南地区，中方始终不予承认，目前该区域由印方实际控制。</w:t>
      </w:r>
    </w:p>
    <w:p w14:paraId="5D8910E7">
      <w:pPr>
        <w:pStyle w:val="11"/>
        <w:widowControl/>
        <w:numPr>
          <w:ilvl w:val="0"/>
          <w:numId w:val="2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西段争议：集中于阿克赛钦地区，是新疆与西藏唯一陆上通道（219 国道途经地），战略意义重大，由我国实际控制；2020 年加勒万河谷冲突位于该区域西部。</w:t>
      </w:r>
    </w:p>
    <w:p w14:paraId="1C305C8A">
      <w:pPr>
        <w:pStyle w:val="11"/>
        <w:widowControl/>
        <w:numPr>
          <w:ilvl w:val="0"/>
          <w:numId w:val="2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争端实质：印度将中国视为长期竞争对手，借领土争端抢占发展空间，配合美国对华遏制战略。</w:t>
      </w:r>
    </w:p>
    <w:p w14:paraId="5801F33E">
      <w:pPr>
        <w:pStyle w:val="5"/>
        <w:widowControl/>
        <w:numPr>
          <w:ilvl w:val="0"/>
          <w:numId w:val="19"/>
        </w:numPr>
        <w:topLinePunct w:val="0"/>
        <w:ind w:left="0" w:leftChars="0" w:firstLine="0" w:firstLineChars="0"/>
        <w:rPr>
          <w:rFonts w:hint="eastAsia" w:ascii="宋体" w:hAnsi="宋体" w:eastAsia="宋体" w:cs="宋体"/>
          <w:b/>
          <w:sz w:val="24"/>
          <w:szCs w:val="24"/>
        </w:rPr>
      </w:pPr>
      <w:r>
        <w:rPr>
          <w:sz w:val="24"/>
          <w:szCs w:val="24"/>
        </w:rPr>
        <w:t>中日钓鱼岛争端</w:t>
      </w:r>
    </w:p>
    <w:p w14:paraId="1CB1E3FA">
      <w:pPr>
        <w:pStyle w:val="11"/>
        <w:widowControl/>
        <w:numPr>
          <w:ilvl w:val="0"/>
          <w:numId w:val="2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法理依据：1943 年《开罗宣言》明确规定日本须归还钓鱼岛，钓鱼岛是中国固有领土。</w:t>
      </w:r>
    </w:p>
    <w:p w14:paraId="5DB1F583">
      <w:pPr>
        <w:pStyle w:val="11"/>
        <w:widowControl/>
        <w:numPr>
          <w:ilvl w:val="0"/>
          <w:numId w:val="2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争端起因：1951 年美国与日本私自缔结《旧金山合约》，1972 年美国将琉球群岛（含钓鱼岛）移交日本，侵害中国主权。</w:t>
      </w:r>
    </w:p>
    <w:p w14:paraId="20B154C3">
      <w:pPr>
        <w:pStyle w:val="11"/>
        <w:widowControl/>
        <w:numPr>
          <w:ilvl w:val="0"/>
          <w:numId w:val="2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局势与本质：2014 年中日发表四项共识，局势暂时缓解；日本借钓鱼岛争端扩充军备，谋求军事大国地位，是东亚和平稳定的潜在风险。</w:t>
      </w:r>
    </w:p>
    <w:p w14:paraId="061B9654">
      <w:pPr>
        <w:pStyle w:val="5"/>
        <w:widowControl/>
        <w:numPr>
          <w:ilvl w:val="0"/>
          <w:numId w:val="19"/>
        </w:numPr>
        <w:topLinePunct w:val="0"/>
        <w:ind w:left="0" w:leftChars="0" w:firstLine="0" w:firstLineChars="0"/>
        <w:rPr>
          <w:rFonts w:hint="eastAsia" w:ascii="宋体" w:hAnsi="宋体" w:eastAsia="宋体" w:cs="宋体"/>
          <w:b/>
          <w:sz w:val="24"/>
          <w:szCs w:val="24"/>
        </w:rPr>
      </w:pPr>
      <w:r>
        <w:rPr>
          <w:sz w:val="24"/>
          <w:szCs w:val="24"/>
        </w:rPr>
        <w:t>南海权益争端</w:t>
      </w:r>
    </w:p>
    <w:p w14:paraId="783BDEEC">
      <w:pPr>
        <w:pStyle w:val="11"/>
        <w:widowControl/>
        <w:numPr>
          <w:ilvl w:val="0"/>
          <w:numId w:val="2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现状：越南、菲律宾、马来西亚等多国非法侵占我国南海岛礁，利益交织复杂，问题短期内难以彻底解决。</w:t>
      </w:r>
    </w:p>
    <w:p w14:paraId="391664FC">
      <w:pPr>
        <w:pStyle w:val="11"/>
        <w:widowControl/>
        <w:numPr>
          <w:ilvl w:val="0"/>
          <w:numId w:val="2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争端成因：《联合国海洋法公约》关于专属经济区、大陆架的规定与我国领土主权产生重叠，加上海洋资源开发价值，引发周边国家主权争夺。</w:t>
      </w:r>
    </w:p>
    <w:p w14:paraId="404966EF">
      <w:pPr>
        <w:pStyle w:val="11"/>
        <w:widowControl/>
        <w:numPr>
          <w:ilvl w:val="0"/>
          <w:numId w:val="22"/>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我国应对措施：大力发展海军与海警力量；加快南海资源开发与保障基地建设；通过双边政治谈判与东盟国家协商解决争议。</w:t>
      </w:r>
    </w:p>
    <w:p w14:paraId="7D331B0D">
      <w:pPr>
        <w:pStyle w:val="4"/>
        <w:widowControl/>
        <w:rPr>
          <w:sz w:val="24"/>
          <w:szCs w:val="24"/>
        </w:rPr>
      </w:pPr>
      <w:r>
        <w:rPr>
          <w:rFonts w:hint="eastAsia"/>
          <w:sz w:val="24"/>
          <w:szCs w:val="24"/>
          <w:lang w:val="en-US" w:eastAsia="zh-CN"/>
        </w:rPr>
        <w:t>3</w:t>
      </w:r>
      <w:r>
        <w:rPr>
          <w:sz w:val="24"/>
          <w:szCs w:val="24"/>
        </w:rPr>
        <w:t>.“三股势力” 威胁</w:t>
      </w:r>
    </w:p>
    <w:p w14:paraId="7CB26CFC">
      <w:pPr>
        <w:pStyle w:val="11"/>
        <w:widowControl/>
        <w:numPr>
          <w:ilvl w:val="0"/>
          <w:numId w:val="2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构成：暴力恐怖主义、民族分裂主义、宗教极端主义。</w:t>
      </w:r>
    </w:p>
    <w:p w14:paraId="65392F5C">
      <w:pPr>
        <w:pStyle w:val="11"/>
        <w:widowControl/>
        <w:numPr>
          <w:ilvl w:val="0"/>
          <w:numId w:val="23"/>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危害：三股势力内外勾结，向我国境内渗透，对国家安全与社会稳定构成严重威胁。</w:t>
      </w:r>
    </w:p>
    <w:p w14:paraId="79EC4755">
      <w:pPr>
        <w:pStyle w:val="11"/>
        <w:widowControl/>
        <w:numPr>
          <w:ilvl w:val="0"/>
          <w:numId w:val="0"/>
        </w:numPr>
        <w:pBdr>
          <w:top w:val="none" w:color="auto" w:sz="0" w:space="0"/>
          <w:left w:val="none" w:color="auto" w:sz="0" w:space="0"/>
          <w:bottom w:val="none" w:color="auto" w:sz="0" w:space="0"/>
          <w:right w:val="none" w:color="auto" w:sz="0" w:space="0"/>
        </w:pBdr>
        <w:ind w:leftChars="200" w:right="0" w:rightChars="0"/>
        <w:rPr>
          <w:rFonts w:ascii="宋体" w:hAnsi="Calibri" w:eastAsia="宋体" w:cs="Times New Roman"/>
          <w:color w:val="000000"/>
          <w:sz w:val="24"/>
        </w:rPr>
      </w:pPr>
    </w:p>
    <w:p w14:paraId="113D7D9D">
      <w:pPr>
        <w:pStyle w:val="2"/>
        <w:widowControl/>
        <w:numPr>
          <w:ilvl w:val="0"/>
          <w:numId w:val="1"/>
        </w:numPr>
        <w:topLinePunct w:val="0"/>
        <w:ind w:left="0" w:leftChars="0" w:firstLine="0" w:firstLineChars="0"/>
        <w:rPr>
          <w:b/>
        </w:rPr>
      </w:pPr>
      <w:r>
        <w:t>新时代国家安全</w:t>
      </w:r>
    </w:p>
    <w:p w14:paraId="4CC420E2">
      <w:pPr>
        <w:pStyle w:val="3"/>
        <w:widowControl/>
        <w:numPr>
          <w:ilvl w:val="0"/>
          <w:numId w:val="24"/>
        </w:numPr>
        <w:topLinePunct w:val="0"/>
        <w:ind w:left="0" w:leftChars="0" w:firstLine="0" w:firstLineChars="0"/>
        <w:rPr>
          <w:b/>
        </w:rPr>
      </w:pPr>
      <w:r>
        <w:t>祖国统一相关内容</w:t>
      </w:r>
    </w:p>
    <w:p w14:paraId="55CD76CD">
      <w:pPr>
        <w:pStyle w:val="4"/>
        <w:widowControl/>
        <w:rPr>
          <w:sz w:val="24"/>
          <w:szCs w:val="24"/>
        </w:rPr>
      </w:pPr>
      <w:r>
        <w:rPr>
          <w:sz w:val="24"/>
          <w:szCs w:val="24"/>
        </w:rPr>
        <w:t>1.发展历程与核心原则</w:t>
      </w:r>
    </w:p>
    <w:p w14:paraId="41199D56">
      <w:pPr>
        <w:pStyle w:val="11"/>
        <w:widowControl/>
        <w:numPr>
          <w:ilvl w:val="0"/>
          <w:numId w:val="2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发展成果：实现两岸全面直接双向 “三通”；达成 “九二共识”；坚持 “一国两制” 与推进祖国统一基本方略。</w:t>
      </w:r>
    </w:p>
    <w:p w14:paraId="292DC420">
      <w:pPr>
        <w:pStyle w:val="11"/>
        <w:widowControl/>
        <w:numPr>
          <w:ilvl w:val="0"/>
          <w:numId w:val="2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底线原则：坚持一个中国原则，坚决反对 “台独” 分裂活动。</w:t>
      </w:r>
    </w:p>
    <w:p w14:paraId="2926D24A">
      <w:pPr>
        <w:pStyle w:val="11"/>
        <w:widowControl/>
        <w:numPr>
          <w:ilvl w:val="0"/>
          <w:numId w:val="25"/>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官方立场：以最大诚意、尽最大努力争取和平统一前景，绝不承诺放弃使用武力，保留采取一切必要措施的选项；该举措针对外部势力干涉与极少数 “台独” 分裂分子，绝非针对广大台湾同胞；台湾问题是中国内政，祖国完全统一一定要实现，也一定能够实现。</w:t>
      </w:r>
    </w:p>
    <w:p w14:paraId="4ECD9AAB">
      <w:pPr>
        <w:pStyle w:val="4"/>
        <w:widowControl/>
        <w:rPr>
          <w:sz w:val="24"/>
          <w:szCs w:val="24"/>
        </w:rPr>
      </w:pPr>
      <w:r>
        <w:rPr>
          <w:rFonts w:hint="eastAsia"/>
          <w:sz w:val="24"/>
          <w:szCs w:val="24"/>
          <w:lang w:val="en-US" w:eastAsia="zh-CN"/>
        </w:rPr>
        <w:t>2</w:t>
      </w:r>
      <w:r>
        <w:rPr>
          <w:sz w:val="24"/>
          <w:szCs w:val="24"/>
        </w:rPr>
        <w:t>.促进统一的五项重大主张</w:t>
      </w:r>
    </w:p>
    <w:p w14:paraId="6F2CE32C">
      <w:pPr>
        <w:pStyle w:val="11"/>
        <w:widowControl/>
        <w:numPr>
          <w:ilvl w:val="0"/>
          <w:numId w:val="2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携手推动民族复兴，实现和平统一目标；</w:t>
      </w:r>
    </w:p>
    <w:p w14:paraId="42C6EE23">
      <w:pPr>
        <w:pStyle w:val="11"/>
        <w:widowControl/>
        <w:numPr>
          <w:ilvl w:val="0"/>
          <w:numId w:val="2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探求 “一国两制” 台湾方案，丰富和平统一实践；</w:t>
      </w:r>
    </w:p>
    <w:p w14:paraId="1CCC3BC3">
      <w:pPr>
        <w:pStyle w:val="11"/>
        <w:widowControl/>
        <w:numPr>
          <w:ilvl w:val="0"/>
          <w:numId w:val="2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坚持一个中国原则，维护和平统一前景；</w:t>
      </w:r>
    </w:p>
    <w:p w14:paraId="3734E830">
      <w:pPr>
        <w:pStyle w:val="11"/>
        <w:widowControl/>
        <w:numPr>
          <w:ilvl w:val="0"/>
          <w:numId w:val="2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深化两岸融合发展，夯实和平统一基础；</w:t>
      </w:r>
    </w:p>
    <w:p w14:paraId="16AF0BD6">
      <w:pPr>
        <w:pStyle w:val="11"/>
        <w:widowControl/>
        <w:numPr>
          <w:ilvl w:val="0"/>
          <w:numId w:val="26"/>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实现同胞心灵契合，增进和平统一认同。</w:t>
      </w:r>
    </w:p>
    <w:p w14:paraId="321D1C54">
      <w:pPr>
        <w:pStyle w:val="3"/>
        <w:widowControl/>
        <w:numPr>
          <w:ilvl w:val="0"/>
          <w:numId w:val="24"/>
        </w:numPr>
        <w:topLinePunct w:val="0"/>
        <w:ind w:left="0" w:leftChars="0" w:firstLine="0" w:firstLineChars="0"/>
        <w:rPr>
          <w:b/>
        </w:rPr>
      </w:pPr>
      <w:r>
        <w:t>总体国家安全观</w:t>
      </w:r>
    </w:p>
    <w:p w14:paraId="1EF8725A">
      <w:pPr>
        <w:pStyle w:val="11"/>
        <w:widowControl/>
        <w:numPr>
          <w:ilvl w:val="0"/>
          <w:numId w:val="2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提出背景：当前我国国家安全内涵和外延比历史上任何时期都丰富，时空领域更宽广，内外因素更复杂，必须坚持总体国家安全观。</w:t>
      </w:r>
    </w:p>
    <w:p w14:paraId="41414063">
      <w:pPr>
        <w:pStyle w:val="11"/>
        <w:widowControl/>
        <w:numPr>
          <w:ilvl w:val="0"/>
          <w:numId w:val="2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核心内涵：以人民安全为宗旨，以政治安全为根本，以经济安全为基础，以军事、文化、社会安全为保障，以促进国际安全为依托，走出一条中国特色国家安全道路。</w:t>
      </w:r>
    </w:p>
    <w:p w14:paraId="4F937A40">
      <w:pPr>
        <w:pStyle w:val="11"/>
        <w:widowControl/>
        <w:numPr>
          <w:ilvl w:val="0"/>
          <w:numId w:val="27"/>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Fonts w:ascii="宋体" w:hAnsi="Calibri" w:eastAsia="宋体" w:cs="Times New Roman"/>
          <w:color w:val="000000"/>
          <w:sz w:val="24"/>
        </w:rPr>
        <w:t>诞生历程</w:t>
      </w:r>
    </w:p>
    <w:p w14:paraId="4FBF0EC8">
      <w:pPr>
        <w:pStyle w:val="11"/>
        <w:widowControl/>
        <w:numPr>
          <w:ilvl w:val="0"/>
          <w:numId w:val="2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2013 年 11 月，党的十八届三中全会决定成立中央国家安全委员会；</w:t>
      </w:r>
    </w:p>
    <w:p w14:paraId="7297C9DD">
      <w:pPr>
        <w:pStyle w:val="11"/>
        <w:widowControl/>
        <w:numPr>
          <w:ilvl w:val="0"/>
          <w:numId w:val="2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2014 年 4 月 15 日，中央国家安全委员会第一次会议首次提出 “总体国家安全观” 重大战略思想；</w:t>
      </w:r>
    </w:p>
    <w:p w14:paraId="5B01A29C">
      <w:pPr>
        <w:pStyle w:val="11"/>
        <w:widowControl/>
        <w:numPr>
          <w:ilvl w:val="0"/>
          <w:numId w:val="28"/>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2015 年 7 月 1 日，《中华人民共和国国家安全法》通过，明确每年 4 月 15 日为全民国家安全教育日。</w:t>
      </w:r>
    </w:p>
    <w:p w14:paraId="5F1CE2FC">
      <w:pPr>
        <w:pStyle w:val="3"/>
        <w:widowControl/>
        <w:numPr>
          <w:ilvl w:val="0"/>
          <w:numId w:val="24"/>
        </w:numPr>
        <w:topLinePunct w:val="0"/>
        <w:ind w:left="0" w:leftChars="0" w:firstLine="0" w:firstLineChars="0"/>
        <w:rPr>
          <w:b/>
        </w:rPr>
      </w:pPr>
      <w:r>
        <w:t>新形势下国家安全的建设路径</w:t>
      </w:r>
    </w:p>
    <w:p w14:paraId="05C14C91">
      <w:pPr>
        <w:pStyle w:val="4"/>
        <w:widowControl/>
        <w:rPr>
          <w:sz w:val="24"/>
          <w:szCs w:val="24"/>
        </w:rPr>
      </w:pPr>
      <w:r>
        <w:rPr>
          <w:sz w:val="24"/>
          <w:szCs w:val="24"/>
        </w:rPr>
        <w:t>1.把握国家安全形势新变化</w:t>
      </w:r>
    </w:p>
    <w:p w14:paraId="082A263C">
      <w:pPr>
        <w:pStyle w:val="11"/>
        <w:widowControl/>
        <w:numPr>
          <w:ilvl w:val="0"/>
          <w:numId w:val="29"/>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国家安全内涵新拓展，需提升战略能力；</w:t>
      </w:r>
    </w:p>
    <w:p w14:paraId="21DDDFFC">
      <w:pPr>
        <w:pStyle w:val="11"/>
        <w:widowControl/>
        <w:numPr>
          <w:ilvl w:val="0"/>
          <w:numId w:val="29"/>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国家安全面临新挑战，需提升综合能力；</w:t>
      </w:r>
    </w:p>
    <w:p w14:paraId="20C6F113">
      <w:pPr>
        <w:pStyle w:val="11"/>
        <w:widowControl/>
        <w:numPr>
          <w:ilvl w:val="0"/>
          <w:numId w:val="29"/>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国家安全提出新要求，需提升创新能力。</w:t>
      </w:r>
    </w:p>
    <w:p w14:paraId="76E3DD19">
      <w:pPr>
        <w:pStyle w:val="4"/>
        <w:widowControl/>
        <w:rPr>
          <w:sz w:val="24"/>
          <w:szCs w:val="24"/>
        </w:rPr>
      </w:pPr>
      <w:r>
        <w:rPr>
          <w:rFonts w:hint="eastAsia"/>
          <w:sz w:val="24"/>
          <w:szCs w:val="24"/>
          <w:lang w:val="en-US" w:eastAsia="zh-CN"/>
        </w:rPr>
        <w:t>2</w:t>
      </w:r>
      <w:r>
        <w:rPr>
          <w:sz w:val="24"/>
          <w:szCs w:val="24"/>
        </w:rPr>
        <w:t>.走中国特色国家安全道路</w:t>
      </w:r>
    </w:p>
    <w:p w14:paraId="78F0C355">
      <w:pPr>
        <w:pStyle w:val="11"/>
        <w:widowControl/>
        <w:numPr>
          <w:ilvl w:val="0"/>
          <w:numId w:val="3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坚持党对国家安全工作的领导；</w:t>
      </w:r>
    </w:p>
    <w:p w14:paraId="00A1C26C">
      <w:pPr>
        <w:pStyle w:val="11"/>
        <w:widowControl/>
        <w:numPr>
          <w:ilvl w:val="0"/>
          <w:numId w:val="3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全面贯彻落实总体国家安全观；</w:t>
      </w:r>
    </w:p>
    <w:p w14:paraId="5BD93B20">
      <w:pPr>
        <w:pStyle w:val="11"/>
        <w:widowControl/>
        <w:numPr>
          <w:ilvl w:val="0"/>
          <w:numId w:val="30"/>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牢牢把握军事实力这个保底的手段。</w:t>
      </w:r>
    </w:p>
    <w:p w14:paraId="519B7F52">
      <w:pPr>
        <w:pStyle w:val="4"/>
        <w:widowControl/>
        <w:rPr>
          <w:sz w:val="24"/>
          <w:szCs w:val="24"/>
        </w:rPr>
      </w:pPr>
      <w:r>
        <w:rPr>
          <w:rFonts w:hint="eastAsia"/>
          <w:sz w:val="24"/>
          <w:szCs w:val="24"/>
          <w:lang w:val="en-US" w:eastAsia="zh-CN"/>
        </w:rPr>
        <w:t>3</w:t>
      </w:r>
      <w:r>
        <w:rPr>
          <w:sz w:val="24"/>
          <w:szCs w:val="24"/>
        </w:rPr>
        <w:t>.以全球思维统筹发展与安全</w:t>
      </w:r>
    </w:p>
    <w:p w14:paraId="521F5AFB">
      <w:pPr>
        <w:pStyle w:val="11"/>
        <w:widowControl/>
        <w:numPr>
          <w:ilvl w:val="0"/>
          <w:numId w:val="3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始终立足国际秩序大变局统筹国家安全；</w:t>
      </w:r>
    </w:p>
    <w:p w14:paraId="16DB7C45">
      <w:pPr>
        <w:pStyle w:val="11"/>
        <w:widowControl/>
        <w:numPr>
          <w:ilvl w:val="0"/>
          <w:numId w:val="3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始终立足防范风险大前提谋求国家安全；</w:t>
      </w:r>
    </w:p>
    <w:p w14:paraId="405E714D">
      <w:pPr>
        <w:pStyle w:val="11"/>
        <w:widowControl/>
        <w:numPr>
          <w:ilvl w:val="0"/>
          <w:numId w:val="3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始终立足我国发展重要战略机遇期塑造国家安全；</w:t>
      </w:r>
    </w:p>
    <w:p w14:paraId="59A91923">
      <w:pPr>
        <w:pStyle w:val="11"/>
        <w:widowControl/>
        <w:numPr>
          <w:ilvl w:val="0"/>
          <w:numId w:val="31"/>
        </w:numPr>
        <w:pBdr>
          <w:top w:val="none" w:color="auto" w:sz="0" w:space="0"/>
          <w:left w:val="none" w:color="auto" w:sz="0" w:space="0"/>
          <w:bottom w:val="none" w:color="auto" w:sz="0" w:space="0"/>
          <w:right w:val="none" w:color="auto" w:sz="0" w:space="0"/>
        </w:pBdr>
        <w:ind w:left="0" w:right="0" w:hanging="360"/>
        <w:rPr>
          <w:rFonts w:ascii="宋体" w:hAnsi="Calibri" w:eastAsia="宋体" w:cs="Times New Roman"/>
          <w:color w:val="000000"/>
          <w:sz w:val="24"/>
        </w:rPr>
      </w:pPr>
      <w:r>
        <w:rPr>
          <w:rFonts w:ascii="宋体" w:hAnsi="Calibri" w:eastAsia="宋体" w:cs="Times New Roman"/>
          <w:color w:val="000000"/>
          <w:sz w:val="24"/>
        </w:rPr>
        <w:t>始终立足实现国家长远发展目标保持战略定力。</w:t>
      </w:r>
    </w:p>
    <w:p w14:paraId="6FE7AC0B">
      <w:pPr>
        <w:pStyle w:val="3"/>
        <w:widowControl/>
        <w:numPr>
          <w:ilvl w:val="0"/>
          <w:numId w:val="24"/>
        </w:numPr>
        <w:topLinePunct w:val="0"/>
        <w:ind w:left="0" w:leftChars="0" w:firstLine="0" w:firstLineChars="0"/>
        <w:rPr>
          <w:b/>
        </w:rPr>
      </w:pPr>
      <w:r>
        <w:t>新兴领域国家安全</w:t>
      </w:r>
    </w:p>
    <w:p w14:paraId="48412B2D">
      <w:pPr>
        <w:pStyle w:val="11"/>
        <w:widowControl/>
        <w:pBdr>
          <w:top w:val="none" w:color="auto" w:sz="0" w:space="0"/>
          <w:left w:val="none" w:color="auto" w:sz="0" w:space="0"/>
          <w:bottom w:val="none" w:color="auto" w:sz="0" w:space="0"/>
          <w:right w:val="none" w:color="auto" w:sz="0" w:space="0"/>
        </w:pBdr>
        <w:rPr>
          <w:rFonts w:ascii="宋体" w:hAnsi="Calibri" w:eastAsia="宋体" w:cs="Times New Roman"/>
          <w:color w:val="000000"/>
          <w:sz w:val="24"/>
        </w:rPr>
      </w:pPr>
      <w:r>
        <w:rPr>
          <w:rFonts w:ascii="宋体" w:hAnsi="Calibri" w:eastAsia="宋体" w:cs="Times New Roman"/>
          <w:color w:val="000000"/>
          <w:sz w:val="24"/>
        </w:rPr>
        <w:t>新兴领域是国家安全和发展利益的拓展区，也是世界大国争夺战略主动权的博弈区，核心领域包括：</w:t>
      </w:r>
    </w:p>
    <w:p w14:paraId="1D7771FA">
      <w:pPr>
        <w:pStyle w:val="11"/>
        <w:widowControl/>
        <w:numPr>
          <w:ilvl w:val="0"/>
          <w:numId w:val="3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海洋安全</w:t>
      </w:r>
      <w:r>
        <w:rPr>
          <w:rFonts w:ascii="宋体" w:hAnsi="Calibri" w:eastAsia="宋体" w:cs="Times New Roman"/>
          <w:color w:val="000000"/>
          <w:sz w:val="24"/>
        </w:rPr>
        <w:t>：面临海洋生态系统破坏、海平面上升、海洋灾害、生物多样性减少等挑战；日本福岛核污染水排海凸显全球海洋生态治理的紧迫性。</w:t>
      </w:r>
    </w:p>
    <w:p w14:paraId="271E3BF0">
      <w:pPr>
        <w:pStyle w:val="11"/>
        <w:widowControl/>
        <w:numPr>
          <w:ilvl w:val="0"/>
          <w:numId w:val="3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太空安全</w:t>
      </w:r>
      <w:r>
        <w:rPr>
          <w:rFonts w:ascii="宋体" w:hAnsi="Calibri" w:eastAsia="宋体" w:cs="Times New Roman"/>
          <w:color w:val="000000"/>
          <w:sz w:val="24"/>
        </w:rPr>
        <w:t>：太空是国际战略竞争制高点，是经济发展重要引擎与国家安全战略高地；我国坚持和平利用太空，提升安全进出、开放利用太空能力，保卫太空资产安全。</w:t>
      </w:r>
    </w:p>
    <w:p w14:paraId="1160AAEA">
      <w:pPr>
        <w:pStyle w:val="11"/>
        <w:widowControl/>
        <w:numPr>
          <w:ilvl w:val="0"/>
          <w:numId w:val="3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网络空间安全</w:t>
      </w:r>
      <w:r>
        <w:rPr>
          <w:rFonts w:ascii="宋体" w:hAnsi="Calibri" w:eastAsia="宋体" w:cs="Times New Roman"/>
          <w:color w:val="000000"/>
          <w:sz w:val="24"/>
        </w:rPr>
        <w:t>：是国家安全新支柱、新领域；我国面临高等级网络攻击频发、新技术新应用带来新风险、网络安全人才缺口大、公众安全防范意识薄弱等挑战。</w:t>
      </w:r>
    </w:p>
    <w:p w14:paraId="397AB08B">
      <w:pPr>
        <w:pStyle w:val="11"/>
        <w:widowControl/>
        <w:numPr>
          <w:ilvl w:val="0"/>
          <w:numId w:val="3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生物安全</w:t>
      </w:r>
      <w:r>
        <w:rPr>
          <w:rFonts w:ascii="宋体" w:hAnsi="Calibri" w:eastAsia="宋体" w:cs="Times New Roman"/>
          <w:color w:val="000000"/>
          <w:sz w:val="24"/>
        </w:rPr>
        <w:t>：涵盖传染病防控、动物疫情防控、生物技术研发应用、外来物种入侵防范、突发生物安全事件应对、生物资源安全、实验室生物安全等内容。</w:t>
      </w:r>
    </w:p>
    <w:p w14:paraId="7305F9B5">
      <w:pPr>
        <w:pStyle w:val="11"/>
        <w:widowControl/>
        <w:numPr>
          <w:ilvl w:val="0"/>
          <w:numId w:val="3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极地安全</w:t>
      </w:r>
      <w:r>
        <w:rPr>
          <w:rFonts w:ascii="宋体" w:hAnsi="Calibri" w:eastAsia="宋体" w:cs="Times New Roman"/>
          <w:color w:val="000000"/>
          <w:sz w:val="24"/>
        </w:rPr>
        <w:t>：坚持和平探索和利用极地，维护极地领域国家发展与安全利益。</w:t>
      </w:r>
    </w:p>
    <w:p w14:paraId="3DF351DE">
      <w:pPr>
        <w:pStyle w:val="11"/>
        <w:widowControl/>
        <w:numPr>
          <w:ilvl w:val="0"/>
          <w:numId w:val="3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核安全</w:t>
      </w:r>
      <w:r>
        <w:rPr>
          <w:rFonts w:ascii="宋体" w:hAnsi="Calibri" w:eastAsia="宋体" w:cs="Times New Roman"/>
          <w:color w:val="000000"/>
          <w:sz w:val="24"/>
        </w:rPr>
        <w:t>：是国家生命线，处于国家安全最高优先级。</w:t>
      </w:r>
    </w:p>
    <w:p w14:paraId="4BB29096">
      <w:pPr>
        <w:pStyle w:val="11"/>
        <w:widowControl/>
        <w:numPr>
          <w:ilvl w:val="0"/>
          <w:numId w:val="32"/>
        </w:numPr>
        <w:pBdr>
          <w:top w:val="none" w:color="auto" w:sz="0" w:space="0"/>
          <w:left w:val="none" w:color="auto" w:sz="0" w:space="0"/>
          <w:bottom w:val="none" w:color="auto" w:sz="0" w:space="0"/>
          <w:right w:val="none" w:color="auto" w:sz="0" w:space="0"/>
        </w:pBdr>
        <w:ind w:left="0" w:leftChars="0" w:firstLine="480" w:firstLineChars="0"/>
        <w:rPr>
          <w:rFonts w:ascii="宋体" w:hAnsi="Calibri" w:eastAsia="宋体" w:cs="Times New Roman"/>
          <w:b w:val="0"/>
          <w:color w:val="000000"/>
          <w:sz w:val="24"/>
        </w:rPr>
      </w:pPr>
      <w:r>
        <w:rPr>
          <w:rStyle w:val="16"/>
          <w:rFonts w:ascii="宋体" w:hAnsi="Calibri" w:eastAsia="宋体" w:cs="Times New Roman"/>
          <w:color w:val="000000"/>
          <w:sz w:val="24"/>
        </w:rPr>
        <w:t>文化安全</w:t>
      </w:r>
      <w:r>
        <w:rPr>
          <w:rFonts w:ascii="宋体" w:hAnsi="Calibri" w:eastAsia="宋体" w:cs="Times New Roman"/>
          <w:color w:val="000000"/>
          <w:sz w:val="24"/>
        </w:rPr>
        <w:t>：关乎民族精神、政治价值理念、信仰追求，是国家安全的精神支撑。</w:t>
      </w:r>
    </w:p>
    <w:p w14:paraId="5098EF7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FD8099"/>
    <w:multiLevelType w:val="singleLevel"/>
    <w:tmpl w:val="86FD8099"/>
    <w:lvl w:ilvl="0" w:tentative="0">
      <w:start w:val="1"/>
      <w:numFmt w:val="decimal"/>
      <w:suff w:val="nothing"/>
      <w:lvlText w:val="（%1）"/>
      <w:lvlJc w:val="left"/>
      <w:pPr>
        <w:ind w:left="0" w:firstLine="0"/>
      </w:pPr>
      <w:rPr>
        <w:rFonts w:hint="default"/>
      </w:rPr>
    </w:lvl>
  </w:abstractNum>
  <w:abstractNum w:abstractNumId="1">
    <w:nsid w:val="8C79B1B7"/>
    <w:multiLevelType w:val="singleLevel"/>
    <w:tmpl w:val="8C79B1B7"/>
    <w:lvl w:ilvl="0" w:tentative="0">
      <w:start w:val="1"/>
      <w:numFmt w:val="decimal"/>
      <w:suff w:val="space"/>
      <w:lvlText w:val="%1."/>
      <w:lvlJc w:val="left"/>
      <w:pPr>
        <w:ind w:left="0" w:firstLine="480"/>
      </w:pPr>
      <w:rPr>
        <w:rFonts w:hint="default"/>
      </w:rPr>
    </w:lvl>
  </w:abstractNum>
  <w:abstractNum w:abstractNumId="2">
    <w:nsid w:val="9A1F8400"/>
    <w:multiLevelType w:val="singleLevel"/>
    <w:tmpl w:val="9A1F8400"/>
    <w:lvl w:ilvl="0" w:tentative="0">
      <w:start w:val="1"/>
      <w:numFmt w:val="chineseCounting"/>
      <w:suff w:val="nothing"/>
      <w:lvlText w:val="%1、"/>
      <w:lvlJc w:val="left"/>
      <w:pPr>
        <w:ind w:left="0" w:firstLine="0"/>
      </w:pPr>
      <w:rPr>
        <w:rFonts w:hint="eastAsia"/>
      </w:rPr>
    </w:lvl>
  </w:abstractNum>
  <w:abstractNum w:abstractNumId="3">
    <w:nsid w:val="ADF6A71F"/>
    <w:multiLevelType w:val="singleLevel"/>
    <w:tmpl w:val="ADF6A71F"/>
    <w:lvl w:ilvl="0" w:tentative="0">
      <w:start w:val="1"/>
      <w:numFmt w:val="decimal"/>
      <w:suff w:val="space"/>
      <w:lvlText w:val="%1."/>
      <w:lvlJc w:val="left"/>
      <w:pPr>
        <w:ind w:left="0" w:firstLine="480"/>
      </w:pPr>
      <w:rPr>
        <w:rFonts w:hint="default"/>
      </w:rPr>
    </w:lvl>
  </w:abstractNum>
  <w:abstractNum w:abstractNumId="4">
    <w:nsid w:val="AE60F48A"/>
    <w:multiLevelType w:val="multilevel"/>
    <w:tmpl w:val="AE60F48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0FE21DB"/>
    <w:multiLevelType w:val="multilevel"/>
    <w:tmpl w:val="B0FE21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265D13D"/>
    <w:multiLevelType w:val="singleLevel"/>
    <w:tmpl w:val="B265D13D"/>
    <w:lvl w:ilvl="0" w:tentative="0">
      <w:start w:val="1"/>
      <w:numFmt w:val="decimal"/>
      <w:suff w:val="space"/>
      <w:lvlText w:val="%1."/>
      <w:lvlJc w:val="left"/>
      <w:pPr>
        <w:ind w:left="0" w:firstLine="480"/>
      </w:pPr>
      <w:rPr>
        <w:rFonts w:hint="default"/>
      </w:rPr>
    </w:lvl>
  </w:abstractNum>
  <w:abstractNum w:abstractNumId="7">
    <w:nsid w:val="C53FED25"/>
    <w:multiLevelType w:val="singleLevel"/>
    <w:tmpl w:val="C53FED25"/>
    <w:lvl w:ilvl="0" w:tentative="0">
      <w:start w:val="1"/>
      <w:numFmt w:val="decimal"/>
      <w:suff w:val="space"/>
      <w:lvlText w:val="%1."/>
      <w:lvlJc w:val="left"/>
      <w:pPr>
        <w:ind w:left="0" w:firstLine="480"/>
      </w:pPr>
      <w:rPr>
        <w:rFonts w:hint="default"/>
      </w:rPr>
    </w:lvl>
  </w:abstractNum>
  <w:abstractNum w:abstractNumId="8">
    <w:nsid w:val="C64534E8"/>
    <w:multiLevelType w:val="multilevel"/>
    <w:tmpl w:val="C64534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CD7BEA7"/>
    <w:multiLevelType w:val="multilevel"/>
    <w:tmpl w:val="DCD7BE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36D8503"/>
    <w:multiLevelType w:val="multilevel"/>
    <w:tmpl w:val="E36D85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E3A4D959"/>
    <w:multiLevelType w:val="multilevel"/>
    <w:tmpl w:val="E3A4D9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526B696"/>
    <w:multiLevelType w:val="multilevel"/>
    <w:tmpl w:val="E526B6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E7F19428"/>
    <w:multiLevelType w:val="singleLevel"/>
    <w:tmpl w:val="E7F19428"/>
    <w:lvl w:ilvl="0" w:tentative="0">
      <w:start w:val="1"/>
      <w:numFmt w:val="chineseCounting"/>
      <w:suff w:val="nothing"/>
      <w:lvlText w:val="（%1）"/>
      <w:lvlJc w:val="left"/>
      <w:pPr>
        <w:ind w:left="0" w:firstLine="0"/>
      </w:pPr>
      <w:rPr>
        <w:rFonts w:hint="eastAsia"/>
      </w:rPr>
    </w:lvl>
  </w:abstractNum>
  <w:abstractNum w:abstractNumId="14">
    <w:nsid w:val="F774BF1C"/>
    <w:multiLevelType w:val="singleLevel"/>
    <w:tmpl w:val="F774BF1C"/>
    <w:lvl w:ilvl="0" w:tentative="0">
      <w:start w:val="1"/>
      <w:numFmt w:val="decimal"/>
      <w:suff w:val="nothing"/>
      <w:lvlText w:val="（%1）"/>
      <w:lvlJc w:val="left"/>
      <w:pPr>
        <w:ind w:left="0" w:firstLine="0"/>
      </w:pPr>
      <w:rPr>
        <w:rFonts w:hint="default"/>
      </w:rPr>
    </w:lvl>
  </w:abstractNum>
  <w:abstractNum w:abstractNumId="15">
    <w:nsid w:val="01F48D22"/>
    <w:multiLevelType w:val="singleLevel"/>
    <w:tmpl w:val="01F48D22"/>
    <w:lvl w:ilvl="0" w:tentative="0">
      <w:start w:val="1"/>
      <w:numFmt w:val="chineseCounting"/>
      <w:suff w:val="nothing"/>
      <w:lvlText w:val="（%1）"/>
      <w:lvlJc w:val="left"/>
      <w:pPr>
        <w:ind w:left="0" w:firstLine="0"/>
      </w:pPr>
      <w:rPr>
        <w:rFonts w:hint="eastAsia"/>
      </w:rPr>
    </w:lvl>
  </w:abstractNum>
  <w:abstractNum w:abstractNumId="16">
    <w:nsid w:val="0C7A23A2"/>
    <w:multiLevelType w:val="multilevel"/>
    <w:tmpl w:val="0C7A23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EF20211"/>
    <w:multiLevelType w:val="singleLevel"/>
    <w:tmpl w:val="0EF20211"/>
    <w:lvl w:ilvl="0" w:tentative="0">
      <w:start w:val="1"/>
      <w:numFmt w:val="chineseCounting"/>
      <w:suff w:val="nothing"/>
      <w:lvlText w:val="（%1）"/>
      <w:lvlJc w:val="left"/>
      <w:pPr>
        <w:ind w:left="0" w:firstLine="0"/>
      </w:pPr>
      <w:rPr>
        <w:rFonts w:hint="eastAsia"/>
      </w:rPr>
    </w:lvl>
  </w:abstractNum>
  <w:abstractNum w:abstractNumId="18">
    <w:nsid w:val="146F6B9F"/>
    <w:multiLevelType w:val="singleLevel"/>
    <w:tmpl w:val="146F6B9F"/>
    <w:lvl w:ilvl="0" w:tentative="0">
      <w:start w:val="1"/>
      <w:numFmt w:val="decimal"/>
      <w:suff w:val="space"/>
      <w:lvlText w:val="%1."/>
      <w:lvlJc w:val="left"/>
      <w:pPr>
        <w:ind w:left="0" w:firstLine="480"/>
      </w:pPr>
      <w:rPr>
        <w:rFonts w:hint="default"/>
      </w:rPr>
    </w:lvl>
  </w:abstractNum>
  <w:abstractNum w:abstractNumId="19">
    <w:nsid w:val="16E4B358"/>
    <w:multiLevelType w:val="multilevel"/>
    <w:tmpl w:val="16E4B3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1BE474E4"/>
    <w:multiLevelType w:val="multilevel"/>
    <w:tmpl w:val="1BE474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20EA137C"/>
    <w:multiLevelType w:val="multilevel"/>
    <w:tmpl w:val="20EA13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2887CB8A"/>
    <w:multiLevelType w:val="singleLevel"/>
    <w:tmpl w:val="2887CB8A"/>
    <w:lvl w:ilvl="0" w:tentative="0">
      <w:start w:val="1"/>
      <w:numFmt w:val="decimal"/>
      <w:suff w:val="space"/>
      <w:lvlText w:val="%1."/>
      <w:lvlJc w:val="left"/>
      <w:pPr>
        <w:ind w:left="0" w:firstLine="480"/>
      </w:pPr>
      <w:rPr>
        <w:rFonts w:hint="default"/>
      </w:rPr>
    </w:lvl>
  </w:abstractNum>
  <w:abstractNum w:abstractNumId="23">
    <w:nsid w:val="3CB1BBDB"/>
    <w:multiLevelType w:val="multilevel"/>
    <w:tmpl w:val="3CB1BB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3EB43333"/>
    <w:multiLevelType w:val="singleLevel"/>
    <w:tmpl w:val="3EB43333"/>
    <w:lvl w:ilvl="0" w:tentative="0">
      <w:start w:val="1"/>
      <w:numFmt w:val="chineseCounting"/>
      <w:suff w:val="nothing"/>
      <w:lvlText w:val="（%1）"/>
      <w:lvlJc w:val="left"/>
      <w:pPr>
        <w:ind w:left="0" w:firstLine="0"/>
      </w:pPr>
      <w:rPr>
        <w:rFonts w:hint="eastAsia"/>
      </w:rPr>
    </w:lvl>
  </w:abstractNum>
  <w:abstractNum w:abstractNumId="25">
    <w:nsid w:val="48C6756D"/>
    <w:multiLevelType w:val="multilevel"/>
    <w:tmpl w:val="48C675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4DDC4AD6"/>
    <w:multiLevelType w:val="multilevel"/>
    <w:tmpl w:val="4DDC4A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8A676F0"/>
    <w:multiLevelType w:val="multilevel"/>
    <w:tmpl w:val="58A676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93387BF"/>
    <w:multiLevelType w:val="multilevel"/>
    <w:tmpl w:val="693387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6B5BCA83"/>
    <w:multiLevelType w:val="singleLevel"/>
    <w:tmpl w:val="6B5BCA83"/>
    <w:lvl w:ilvl="0" w:tentative="0">
      <w:start w:val="1"/>
      <w:numFmt w:val="decimal"/>
      <w:suff w:val="nothing"/>
      <w:lvlText w:val="（%1）"/>
      <w:lvlJc w:val="left"/>
      <w:pPr>
        <w:ind w:left="0" w:firstLine="0"/>
      </w:pPr>
      <w:rPr>
        <w:rFonts w:hint="default"/>
      </w:rPr>
    </w:lvl>
  </w:abstractNum>
  <w:abstractNum w:abstractNumId="30">
    <w:nsid w:val="72506A04"/>
    <w:multiLevelType w:val="multilevel"/>
    <w:tmpl w:val="72506A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79467EF0"/>
    <w:multiLevelType w:val="multilevel"/>
    <w:tmpl w:val="79467E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5"/>
  </w:num>
  <w:num w:numId="3">
    <w:abstractNumId w:val="7"/>
  </w:num>
  <w:num w:numId="4">
    <w:abstractNumId w:val="3"/>
  </w:num>
  <w:num w:numId="5">
    <w:abstractNumId w:val="8"/>
  </w:num>
  <w:num w:numId="6">
    <w:abstractNumId w:val="24"/>
  </w:num>
  <w:num w:numId="7">
    <w:abstractNumId w:val="1"/>
  </w:num>
  <w:num w:numId="8">
    <w:abstractNumId w:val="6"/>
  </w:num>
  <w:num w:numId="9">
    <w:abstractNumId w:val="13"/>
  </w:num>
  <w:num w:numId="10">
    <w:abstractNumId w:val="4"/>
  </w:num>
  <w:num w:numId="11">
    <w:abstractNumId w:val="26"/>
  </w:num>
  <w:num w:numId="12">
    <w:abstractNumId w:val="29"/>
  </w:num>
  <w:num w:numId="13">
    <w:abstractNumId w:val="9"/>
  </w:num>
  <w:num w:numId="14">
    <w:abstractNumId w:val="20"/>
  </w:num>
  <w:num w:numId="15">
    <w:abstractNumId w:val="11"/>
  </w:num>
  <w:num w:numId="16">
    <w:abstractNumId w:val="0"/>
  </w:num>
  <w:num w:numId="17">
    <w:abstractNumId w:val="25"/>
  </w:num>
  <w:num w:numId="18">
    <w:abstractNumId w:val="27"/>
  </w:num>
  <w:num w:numId="19">
    <w:abstractNumId w:val="14"/>
  </w:num>
  <w:num w:numId="20">
    <w:abstractNumId w:val="10"/>
  </w:num>
  <w:num w:numId="21">
    <w:abstractNumId w:val="30"/>
  </w:num>
  <w:num w:numId="22">
    <w:abstractNumId w:val="5"/>
  </w:num>
  <w:num w:numId="23">
    <w:abstractNumId w:val="12"/>
  </w:num>
  <w:num w:numId="24">
    <w:abstractNumId w:val="17"/>
  </w:num>
  <w:num w:numId="25">
    <w:abstractNumId w:val="28"/>
  </w:num>
  <w:num w:numId="26">
    <w:abstractNumId w:val="31"/>
  </w:num>
  <w:num w:numId="27">
    <w:abstractNumId w:val="22"/>
  </w:num>
  <w:num w:numId="28">
    <w:abstractNumId w:val="21"/>
  </w:num>
  <w:num w:numId="29">
    <w:abstractNumId w:val="16"/>
  </w:num>
  <w:num w:numId="30">
    <w:abstractNumId w:val="19"/>
  </w:num>
  <w:num w:numId="31">
    <w:abstractNumId w:val="23"/>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F813A1"/>
    <w:rsid w:val="34F813A1"/>
    <w:rsid w:val="486C47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widowControl/>
      <w:spacing w:before="0" w:beforeAutospacing="0" w:after="0" w:afterAutospacing="0" w:line="240" w:lineRule="auto"/>
      <w:ind w:left="0" w:right="0"/>
      <w:jc w:val="both"/>
      <w:outlineLvl w:val="0"/>
    </w:pPr>
    <w:rPr>
      <w:rFonts w:ascii="宋体" w:hAnsi="宋体" w:eastAsia="宋体" w:cs="宋体"/>
      <w:b/>
      <w:bCs/>
      <w:color w:val="auto"/>
      <w:kern w:val="0"/>
      <w:sz w:val="24"/>
      <w:szCs w:val="24"/>
      <w:u w:val="none"/>
      <w:lang w:bidi="ar"/>
    </w:rPr>
  </w:style>
  <w:style w:type="paragraph" w:styleId="3">
    <w:name w:val="heading 2"/>
    <w:next w:val="1"/>
    <w:unhideWhenUsed/>
    <w:qFormat/>
    <w:uiPriority w:val="0"/>
    <w:pPr>
      <w:keepNext w:val="0"/>
      <w:keepLines w:val="0"/>
      <w:widowControl/>
      <w:spacing w:before="0" w:beforeAutospacing="0" w:after="0" w:afterAutospacing="0" w:line="240" w:lineRule="auto"/>
      <w:ind w:left="0" w:leftChars="0" w:right="0" w:rightChars="0"/>
      <w:jc w:val="both"/>
      <w:outlineLvl w:val="1"/>
    </w:pPr>
    <w:rPr>
      <w:rFonts w:ascii="宋体" w:hAnsi="宋体" w:eastAsia="宋体" w:cs="宋体"/>
      <w:b/>
      <w:bCs/>
      <w:color w:val="auto"/>
      <w:kern w:val="0"/>
      <w:sz w:val="24"/>
      <w:szCs w:val="24"/>
      <w:u w:val="none"/>
      <w:lang w:bidi="ar"/>
    </w:rPr>
  </w:style>
  <w:style w:type="paragraph" w:styleId="4">
    <w:name w:val="heading 3"/>
    <w:next w:val="1"/>
    <w:unhideWhenUsed/>
    <w:qFormat/>
    <w:uiPriority w:val="0"/>
    <w:pPr>
      <w:keepNext/>
      <w:keepLines/>
      <w:widowControl w:val="0"/>
      <w:adjustRightInd w:val="0"/>
      <w:spacing w:before="100" w:after="100" w:line="360" w:lineRule="auto"/>
      <w:jc w:val="both"/>
      <w:outlineLvl w:val="2"/>
    </w:pPr>
    <w:rPr>
      <w:rFonts w:ascii="Times New Roman" w:hAnsi="Times New Roman" w:eastAsia="宋体" w:cs="Times New Roman"/>
      <w:b/>
      <w:kern w:val="2"/>
      <w:sz w:val="30"/>
      <w:szCs w:val="24"/>
      <w:lang w:bidi="ar-SA"/>
    </w:rPr>
  </w:style>
  <w:style w:type="paragraph" w:styleId="5">
    <w:name w:val="heading 4"/>
    <w:next w:val="1"/>
    <w:unhideWhenUsed/>
    <w:qFormat/>
    <w:uiPriority w:val="0"/>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6">
    <w:name w:val="heading 5"/>
    <w:next w:val="1"/>
    <w:semiHidden/>
    <w:unhideWhenUsed/>
    <w:qFormat/>
    <w:uiPriority w:val="0"/>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7">
    <w:name w:val="heading 6"/>
    <w:next w:val="1"/>
    <w:semiHidden/>
    <w:unhideWhenUsed/>
    <w:qFormat/>
    <w:uiPriority w:val="0"/>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8">
    <w:name w:val="heading 7"/>
    <w:next w:val="1"/>
    <w:semiHidden/>
    <w:unhideWhenUsed/>
    <w:qFormat/>
    <w:uiPriority w:val="0"/>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0">
    <w:name w:val="heading 9"/>
    <w:next w:val="1"/>
    <w:semiHidden/>
    <w:unhideWhenUsed/>
    <w:qFormat/>
    <w:uiPriority w:val="0"/>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15">
    <w:name w:val="Default Paragraph Font"/>
    <w:semiHidden/>
    <w:qFormat/>
    <w:uiPriority w:val="0"/>
  </w:style>
  <w:style w:type="table" w:default="1" w:styleId="14">
    <w:name w:val="Normal Table"/>
    <w:semiHidden/>
    <w:uiPriority w:val="0"/>
    <w:tblPr>
      <w:tblCellMar>
        <w:top w:w="0" w:type="dxa"/>
        <w:left w:w="108" w:type="dxa"/>
        <w:bottom w:w="0" w:type="dxa"/>
        <w:right w:w="108" w:type="dxa"/>
      </w:tblCellMar>
    </w:tblPr>
  </w:style>
  <w:style w:type="paragraph" w:styleId="11">
    <w:name w:val="Body Text"/>
    <w:qFormat/>
    <w:uiPriority w:val="0"/>
    <w:pPr>
      <w:keepNext w:val="0"/>
      <w:keepLines w:val="0"/>
      <w:widowControl/>
      <w:spacing w:before="0" w:beforeAutospacing="0" w:after="120" w:afterAutospacing="0" w:line="240" w:lineRule="auto"/>
      <w:ind w:left="0" w:leftChars="0" w:right="0" w:firstLine="480" w:firstLineChars="200"/>
      <w:jc w:val="both"/>
      <w:outlineLvl w:val="9"/>
    </w:pPr>
    <w:rPr>
      <w:rFonts w:ascii="宋体" w:hAnsi="Calibri" w:eastAsia="宋体" w:cs="Times New Roman"/>
      <w:sz w:val="24"/>
    </w:rPr>
  </w:style>
  <w:style w:type="paragraph" w:styleId="12">
    <w:name w:val="Subtitle"/>
    <w:qFormat/>
    <w:uiPriority w:val="0"/>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13">
    <w:name w:val="Title"/>
    <w:qFormat/>
    <w:uiPriority w:val="0"/>
    <w:pPr>
      <w:keepNext w:val="0"/>
      <w:keepLines w:val="0"/>
      <w:widowControl/>
      <w:spacing w:before="0" w:beforeAutospacing="0" w:after="0" w:afterAutospacing="0" w:line="240" w:lineRule="auto"/>
      <w:ind w:left="0" w:right="0"/>
      <w:jc w:val="center"/>
      <w:outlineLvl w:val="9"/>
    </w:pPr>
    <w:rPr>
      <w:rFonts w:ascii="宋体" w:hAnsi="宋体" w:eastAsia="黑体" w:cs="宋体"/>
      <w:bCs/>
      <w:color w:val="auto"/>
      <w:kern w:val="44"/>
      <w:sz w:val="28"/>
      <w:szCs w:val="28"/>
      <w:u w:val="none"/>
      <w:lang w:bidi="ar"/>
    </w:rPr>
  </w:style>
  <w:style w:type="character" w:styleId="16">
    <w:name w:val="Strong"/>
    <w:basedOn w:val="1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2026-06-28T01:29:00Z</dcterms:created>
  <dc:creator>往矣</dc:creator>
  <cp:lastModifiedBy>往矣</cp:lastModifiedBy>
  <dcterms:modified xsi:type="dcterms:W3CDTF">2026-06-28T02:24:44Z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57CD7D22CE434AA39221CE6499F8CD78_13</vt:lpwstr>
  </property>
  <property fmtid="{D5CDD505-2E9C-101B-9397-08002B2CF9AE}" pid="4" name="KSOTemplateDocerSaveRecord">
    <vt:lpwstr>eyJoZGlkIjoiZjg2MDdiM2M3OWY2ZWY0YWQ2N2VmMDdjNjUzODIzNzEiLCJ1c2VySWQiOiIxMTM5ODU1NjcxIn0=</vt:lpwstr>
  </property>
</Properties>
</file>