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113F5">
      <w:pPr>
        <w:pStyle w:val="13"/>
        <w:widowControl/>
      </w:pPr>
      <w:bookmarkStart w:id="0" w:name="_GoBack"/>
      <w:bookmarkEnd w:id="0"/>
      <w:r>
        <w:t>中国古代军事思想</w:t>
      </w:r>
    </w:p>
    <w:p w14:paraId="7B3C7F1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基本概念</w:t>
      </w:r>
    </w:p>
    <w:p w14:paraId="6379DC4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中国古代军事思想，是我国奴隶社会、封建社会各阶级、集团、军事家与军事论著者，关于战争、军队问题形成的理性认识。 整体特点：源远流长、遗产丰富、体系完备、饱含哲理；历代兵书共 3380 部，现存 2308 部，共计 18567 卷。</w:t>
      </w:r>
    </w:p>
    <w:p w14:paraId="3547D4B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</w:p>
    <w:p w14:paraId="08D2487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中国古代军事思想发展三阶段</w:t>
      </w:r>
    </w:p>
    <w:p w14:paraId="1BD7E20C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萌生时期（夏、商、西周，公元前 21 世纪 — 前 8 世纪）</w:t>
      </w:r>
    </w:p>
    <w:p w14:paraId="7FD1A243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战争特征：兵器以木、石器为主，商代兴起车兵方阵；作战推崇礼信仁义。</w:t>
      </w:r>
    </w:p>
    <w:p w14:paraId="01660606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 xml:space="preserve">核心特点 </w:t>
      </w:r>
    </w:p>
    <w:p w14:paraId="19DCA381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将军事作为对内统治手段；</w:t>
      </w:r>
    </w:p>
    <w:p w14:paraId="6E27AAE2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以礼、刑治理军队；</w:t>
      </w:r>
    </w:p>
    <w:p w14:paraId="590E0DFD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迷信占卜色彩浓厚；</w:t>
      </w:r>
    </w:p>
    <w:p w14:paraId="46B672AD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车战为核心作战形式。</w:t>
      </w:r>
    </w:p>
    <w:p w14:paraId="0B1B93AE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早期兵书：《军志》《军政》</w:t>
      </w:r>
    </w:p>
    <w:p w14:paraId="4B514B9C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形成时期（春秋战国，公元前 8 世纪 — 前 221 年）</w:t>
      </w:r>
    </w:p>
    <w:p w14:paraId="75358A0B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时代背景：生产力变革、争霸兼并战争频发、文化普及、各国重视军事理论。</w:t>
      </w:r>
    </w:p>
    <w:p w14:paraId="4EC6B498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战争特征：铁制兵器普及，筑城与攻防器械大量出现，战争规模、时长大幅提升。</w:t>
      </w:r>
    </w:p>
    <w:p w14:paraId="1DF567AB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理论成就：形成完整战争观、通用作战指导原则、系统治军理论；诞生大量经典兵书。</w:t>
      </w:r>
    </w:p>
    <w:p w14:paraId="0F44B9A2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/>
        <w:ind w:left="0" w:leftChars="0" w:right="0" w:righ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核心兵书合集：《武经七书》</w:t>
      </w: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5027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CD975A">
            <w:pPr>
              <w:jc w:val="center"/>
              <w:rPr>
                <w:b/>
              </w:rPr>
            </w:pPr>
            <w:r>
              <w:rPr>
                <w:b/>
              </w:rPr>
              <w:t>书名</w:t>
            </w:r>
          </w:p>
        </w:tc>
        <w:tc>
          <w:tcPr>
            <w:tcW w:w="0" w:type="auto"/>
            <w:vAlign w:val="center"/>
          </w:tcPr>
          <w:p w14:paraId="486C5544">
            <w:pPr>
              <w:jc w:val="center"/>
              <w:rPr>
                <w:b/>
              </w:rPr>
            </w:pPr>
            <w:r>
              <w:rPr>
                <w:b/>
              </w:rPr>
              <w:t>作者/时代</w:t>
            </w:r>
          </w:p>
        </w:tc>
        <w:tc>
          <w:tcPr>
            <w:tcW w:w="0" w:type="auto"/>
            <w:vAlign w:val="center"/>
          </w:tcPr>
          <w:p w14:paraId="597E6F99">
            <w:pPr>
              <w:jc w:val="center"/>
              <w:rPr>
                <w:b/>
              </w:rPr>
            </w:pPr>
            <w:r>
              <w:rPr>
                <w:b/>
              </w:rPr>
              <w:t>核心概况</w:t>
            </w:r>
          </w:p>
        </w:tc>
      </w:tr>
      <w:tr w14:paraId="2F966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DC1788">
            <w:r>
              <w:t>《孙子兵法》</w:t>
            </w:r>
          </w:p>
        </w:tc>
        <w:tc>
          <w:tcPr>
            <w:tcW w:w="0" w:type="auto"/>
            <w:vAlign w:val="center"/>
          </w:tcPr>
          <w:p w14:paraId="12B35251">
            <w:r>
              <w:t>孙武（春秋末）</w:t>
            </w:r>
          </w:p>
        </w:tc>
        <w:tc>
          <w:tcPr>
            <w:tcW w:w="0" w:type="auto"/>
            <w:vAlign w:val="center"/>
          </w:tcPr>
          <w:p w14:paraId="4E733E7B">
            <w:r>
              <w:t>13 篇，共六千余字，兵学最高经典</w:t>
            </w:r>
          </w:p>
        </w:tc>
      </w:tr>
      <w:tr w14:paraId="1FC6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8CF177">
            <w:r>
              <w:t>《吴子兵法》</w:t>
            </w:r>
          </w:p>
        </w:tc>
        <w:tc>
          <w:tcPr>
            <w:tcW w:w="0" w:type="auto"/>
            <w:vAlign w:val="center"/>
          </w:tcPr>
          <w:p w14:paraId="4E292387">
            <w:r>
              <w:t>吴起（战国初）</w:t>
            </w:r>
          </w:p>
        </w:tc>
        <w:tc>
          <w:tcPr>
            <w:tcW w:w="0" w:type="auto"/>
            <w:vAlign w:val="center"/>
          </w:tcPr>
          <w:p w14:paraId="1E40624C">
            <w:r>
              <w:t>6 篇，论治兵、料敌、励士等</w:t>
            </w:r>
          </w:p>
        </w:tc>
      </w:tr>
      <w:tr w14:paraId="6E6E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45E97C">
            <w:r>
              <w:t>《六韬》</w:t>
            </w:r>
          </w:p>
        </w:tc>
        <w:tc>
          <w:tcPr>
            <w:tcW w:w="0" w:type="auto"/>
            <w:vAlign w:val="center"/>
          </w:tcPr>
          <w:p w14:paraId="5647ACEF">
            <w:r>
              <w:t>姜尚（商周）</w:t>
            </w:r>
          </w:p>
        </w:tc>
        <w:tc>
          <w:tcPr>
            <w:tcW w:w="0" w:type="auto"/>
            <w:vAlign w:val="center"/>
          </w:tcPr>
          <w:p w14:paraId="2D6BDD78">
            <w:r>
              <w:t>分文、武、龙、虎、豹、犬六韬</w:t>
            </w:r>
          </w:p>
        </w:tc>
      </w:tr>
      <w:tr w14:paraId="32E8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9058C47">
            <w:r>
              <w:t>《司马法》</w:t>
            </w:r>
          </w:p>
        </w:tc>
        <w:tc>
          <w:tcPr>
            <w:tcW w:w="0" w:type="auto"/>
            <w:vAlign w:val="center"/>
          </w:tcPr>
          <w:p w14:paraId="2E4AFA06">
            <w:r>
              <w:t>司马穰苴（春秋末）</w:t>
            </w:r>
          </w:p>
        </w:tc>
        <w:tc>
          <w:tcPr>
            <w:tcW w:w="0" w:type="auto"/>
            <w:vAlign w:val="center"/>
          </w:tcPr>
          <w:p w14:paraId="4CDCF1E6">
            <w:r>
              <w:t>阐述仁义治军、作战法度</w:t>
            </w:r>
          </w:p>
        </w:tc>
      </w:tr>
      <w:tr w14:paraId="1E16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A187A8">
            <w:r>
              <w:t>《尉缭子》</w:t>
            </w:r>
          </w:p>
        </w:tc>
        <w:tc>
          <w:tcPr>
            <w:tcW w:w="0" w:type="auto"/>
            <w:vAlign w:val="center"/>
          </w:tcPr>
          <w:p w14:paraId="3B322BA9">
            <w:r>
              <w:t>尉缭（战国末）</w:t>
            </w:r>
          </w:p>
        </w:tc>
        <w:tc>
          <w:tcPr>
            <w:tcW w:w="0" w:type="auto"/>
            <w:vAlign w:val="center"/>
          </w:tcPr>
          <w:p w14:paraId="40232DC8">
            <w:r>
              <w:t>共 24 卷，论述军政战略</w:t>
            </w:r>
          </w:p>
        </w:tc>
      </w:tr>
      <w:tr w14:paraId="2D1D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47D2A49">
            <w:r>
              <w:t>《黄石公三略》</w:t>
            </w:r>
          </w:p>
        </w:tc>
        <w:tc>
          <w:tcPr>
            <w:tcW w:w="0" w:type="auto"/>
            <w:vAlign w:val="center"/>
          </w:tcPr>
          <w:p w14:paraId="0007A47C">
            <w:r>
              <w:t>黄石公</w:t>
            </w:r>
          </w:p>
        </w:tc>
        <w:tc>
          <w:tcPr>
            <w:tcW w:w="0" w:type="auto"/>
            <w:vAlign w:val="center"/>
          </w:tcPr>
          <w:p w14:paraId="574CACD3">
            <w:r>
              <w:t>上中下三卷，侧重治国统兵</w:t>
            </w:r>
          </w:p>
        </w:tc>
      </w:tr>
      <w:tr w14:paraId="7CF1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58FB69">
            <w:r>
              <w:t>《李卫公问对》</w:t>
            </w:r>
          </w:p>
        </w:tc>
        <w:tc>
          <w:tcPr>
            <w:tcW w:w="0" w:type="auto"/>
            <w:vAlign w:val="center"/>
          </w:tcPr>
          <w:p w14:paraId="6DAC8D52">
            <w:r>
              <w:t>佚名（唐宋）</w:t>
            </w:r>
          </w:p>
        </w:tc>
        <w:tc>
          <w:tcPr>
            <w:tcW w:w="0" w:type="auto"/>
            <w:vAlign w:val="center"/>
          </w:tcPr>
          <w:p w14:paraId="5ED4EC89">
            <w:r>
              <w:t>君臣问答形式，解读历代战法</w:t>
            </w:r>
          </w:p>
        </w:tc>
      </w:tr>
    </w:tbl>
    <w:p w14:paraId="46A8B2A4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120"/>
        <w:ind w:left="0" w:leftChars="0" w:right="0" w:righ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补充古代兵书：《三十六计》（六套共三十六计）、《筹海图编》、《海国图志》（魏源）。</w:t>
      </w:r>
    </w:p>
    <w:p w14:paraId="0568D740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丰富发展时期（秦至 1840 年）</w:t>
      </w:r>
    </w:p>
    <w:p w14:paraId="4D3C6294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战争发展：铁器全面普及，骑兵成为主力，水军诞生；宋元后火器出现，进入冷热兵器并用时代。</w:t>
      </w:r>
    </w:p>
    <w:p w14:paraId="43E8EE3B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理论特点：战略思想成熟完善，各军兵种配套军事思想成型，军事理论走向体系化。</w:t>
      </w:r>
    </w:p>
    <w:p w14:paraId="447D6D8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702121C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中国古代军事思想六大核心内容</w:t>
      </w:r>
    </w:p>
    <w:p w14:paraId="7AD91D36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战争起源、性质与社会作用；</w:t>
      </w:r>
    </w:p>
    <w:p w14:paraId="06F52CCB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战争和政治、经济、主观指挥的相互关系；</w:t>
      </w:r>
    </w:p>
    <w:p w14:paraId="4C56E640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将帅素养标准；</w:t>
      </w:r>
    </w:p>
    <w:p w14:paraId="67A14882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军队治理理论；</w:t>
      </w:r>
    </w:p>
    <w:p w14:paraId="14287608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各类战略、战术思想；</w:t>
      </w:r>
    </w:p>
    <w:p w14:paraId="55F2F87C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战争后勤保障思想。</w:t>
      </w:r>
    </w:p>
    <w:p w14:paraId="2F2A56E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2A474CF2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《孙子兵法》重点知识</w:t>
      </w:r>
    </w:p>
    <w:p w14:paraId="2310598D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b/>
        </w:rPr>
      </w:pPr>
      <w:r>
        <w:t>作者与生平</w:t>
      </w:r>
    </w:p>
    <w:p w14:paraId="0B70E98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孙武，字长卿，春秋末期齐国乐安贵族；入吴后经宫女练兵获得吴王阖闾重用，柏举之战西破强楚，北威齐晋、南慑越国，功成后归隐，被尊为兵圣。</w:t>
      </w:r>
    </w:p>
    <w:p w14:paraId="77630B47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b/>
        </w:rPr>
      </w:pPr>
      <w:r>
        <w:t>国内外深远影响</w:t>
      </w:r>
    </w:p>
    <w:p w14:paraId="03D72A0A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国内评价 曹操、李世民、司马迁、孙中山、毛泽东等高度推崇，被称为中国军事哲学总纲。</w:t>
      </w:r>
    </w:p>
    <w:p w14:paraId="44641CA6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国外传播</w:t>
      </w:r>
    </w:p>
    <w:p w14:paraId="04BDDF74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日本：735 年传入，尊孙武为百世兵家之师、东方兵学鼻祖；</w:t>
      </w:r>
    </w:p>
    <w:p w14:paraId="0D03CBA6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欧洲：1772 年法文译本问世，拿破仑常年研读；德皇威廉二世读后悔未早读；</w:t>
      </w:r>
    </w:p>
    <w:p w14:paraId="4D368218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英美俄：多国翻译，西方军事学界公认顶级战争著作；</w:t>
      </w:r>
    </w:p>
    <w:p w14:paraId="3299D6D3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现代美军：西点、国防大学列为战略必修课，海湾战争前线均参考孙子思想。</w:t>
      </w:r>
    </w:p>
    <w:p w14:paraId="73D3E6AD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b/>
        </w:rPr>
      </w:pPr>
      <w:r>
        <w:t>全书结构（十三篇）</w:t>
      </w:r>
    </w:p>
    <w:p w14:paraId="24B64B96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战略总论（计、作战、谋、形、势、虚实）：顶层大战略；</w:t>
      </w:r>
    </w:p>
    <w:p w14:paraId="41792E32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战术实操（军争、九变、行军、地形、九地）：战地指挥、地形用兵；</w:t>
      </w:r>
    </w:p>
    <w:p w14:paraId="4E4661EB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特殊战法（火攻、用间）：特殊作战与情报体系。</w:t>
      </w:r>
    </w:p>
    <w:p w14:paraId="66160C2F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b/>
        </w:rPr>
      </w:pPr>
      <w:r>
        <w:t>各篇核心主旨</w:t>
      </w:r>
    </w:p>
    <w:p w14:paraId="2D261E02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《计篇》：审己量敌，五事七计，重战慎战；名句：兵者国之大事、兵者诡道、多算胜少算不胜、诡道十二法。 </w:t>
      </w:r>
    </w:p>
    <w:p w14:paraId="0C2DD445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五事：道、天、地、将、法；将帅五德：智、信、仁、勇、严。</w:t>
      </w:r>
    </w:p>
    <w:p w14:paraId="7911E723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七计：主孰有道、将孰有能、天地孰得、法令孰行、兵众孰强、士卒孰练、赏罚孰明。</w:t>
      </w:r>
    </w:p>
    <w:p w14:paraId="61F49508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《作战篇》：兵贵胜，不贵久，主张速胜，减少战争消耗。</w:t>
      </w:r>
    </w:p>
    <w:p w14:paraId="4326E77C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《谋攻篇》：上兵伐谋，不战而屈人之兵，追求全胜。</w:t>
      </w:r>
    </w:p>
    <w:p w14:paraId="4C2C8BCE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《形篇》：修道保法，先使自己立于不败，再寻敌隙。</w:t>
      </w:r>
    </w:p>
    <w:p w14:paraId="56D331B1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《势篇》：以奇制胜，因利而制权，主动创造有利作战态势。</w:t>
      </w:r>
    </w:p>
    <w:p w14:paraId="3FA6D752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《虚实篇》：致人而不致于人，避实击虚，虚实相互转化。</w:t>
      </w:r>
    </w:p>
    <w:p w14:paraId="2962339D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《军争篇》：以迂为直，以患为利，抢占战场先机。</w:t>
      </w:r>
    </w:p>
    <w:p w14:paraId="53786D8D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《九变篇》：九变即多变，依据敌情灵活变换战术。</w:t>
      </w:r>
    </w:p>
    <w:p w14:paraId="11DAC600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《行军篇》：不同地形驻军方法，观察敌情、治军准则。</w:t>
      </w:r>
    </w:p>
    <w:p w14:paraId="738FAA3B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《地形篇》：因地制宜，料敌制将；将帅准则：进不求名，退不避罪，唯民是保。</w:t>
      </w:r>
    </w:p>
    <w:p w14:paraId="08D81A6F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《九地篇》：九类战略区域作战法则，掌握军心士气。</w:t>
      </w:r>
    </w:p>
    <w:p w14:paraId="038468E8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《火攻篇》：火攻分类与实施，核心思想 “慎战”。</w:t>
      </w:r>
    </w:p>
    <w:p w14:paraId="4CFB720E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《用间篇》：五间并用，重视情报，知己知彼。</w:t>
      </w:r>
    </w:p>
    <w:p w14:paraId="5EFD71DD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b/>
        </w:rPr>
      </w:pPr>
      <w:r>
        <w:t>核心思想总纲</w:t>
      </w:r>
    </w:p>
    <w:p w14:paraId="21E8C0E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以全胜为终极目标，以造势为核心手段，以知己知彼、因利制权为基本方法；讲求辩证思维、以智克力、全局长远战略眼光，倡导学以致用。</w:t>
      </w:r>
    </w:p>
    <w:p w14:paraId="512540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8DAEC"/>
    <w:multiLevelType w:val="singleLevel"/>
    <w:tmpl w:val="8228DAEC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">
    <w:nsid w:val="831C4825"/>
    <w:multiLevelType w:val="singleLevel"/>
    <w:tmpl w:val="831C482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95E9C110"/>
    <w:multiLevelType w:val="singleLevel"/>
    <w:tmpl w:val="95E9C11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A2CEBF65"/>
    <w:multiLevelType w:val="singleLevel"/>
    <w:tmpl w:val="A2CEBF6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C71711F0"/>
    <w:multiLevelType w:val="singleLevel"/>
    <w:tmpl w:val="C71711F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DB4ED001"/>
    <w:multiLevelType w:val="singleLevel"/>
    <w:tmpl w:val="DB4ED00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E1E2EE0E"/>
    <w:multiLevelType w:val="singleLevel"/>
    <w:tmpl w:val="E1E2EE0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E493422F"/>
    <w:multiLevelType w:val="singleLevel"/>
    <w:tmpl w:val="E493422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E5E5368A"/>
    <w:multiLevelType w:val="singleLevel"/>
    <w:tmpl w:val="E5E5368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F0701E79"/>
    <w:multiLevelType w:val="singleLevel"/>
    <w:tmpl w:val="F0701E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F41C2051"/>
    <w:multiLevelType w:val="singleLevel"/>
    <w:tmpl w:val="F41C205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32EFF641"/>
    <w:multiLevelType w:val="singleLevel"/>
    <w:tmpl w:val="32EFF64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6527B711"/>
    <w:multiLevelType w:val="singleLevel"/>
    <w:tmpl w:val="6527B711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num w:numId="1">
    <w:abstractNumId w:val="6"/>
  </w:num>
  <w:num w:numId="2">
    <w:abstractNumId w:val="0"/>
  </w:num>
  <w:num w:numId="3">
    <w:abstractNumId w:val="11"/>
  </w:num>
  <w:num w:numId="4">
    <w:abstractNumId w:val="7"/>
  </w:num>
  <w:num w:numId="5">
    <w:abstractNumId w:val="4"/>
  </w:num>
  <w:num w:numId="6">
    <w:abstractNumId w:val="10"/>
  </w:num>
  <w:num w:numId="7">
    <w:abstractNumId w:val="5"/>
  </w:num>
  <w:num w:numId="8">
    <w:abstractNumId w:val="12"/>
  </w:num>
  <w:num w:numId="9">
    <w:abstractNumId w:val="1"/>
  </w:num>
  <w:num w:numId="10">
    <w:abstractNumId w:val="8"/>
  </w:num>
  <w:num w:numId="11">
    <w:abstractNumId w:val="2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6147F"/>
    <w:rsid w:val="5436147F"/>
    <w:rsid w:val="68EA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2026-06-28T02:16:00Z</dcterms:created>
  <dc:creator>往矣</dc:creator>
  <cp:lastModifiedBy>往矣</cp:lastModifiedBy>
  <dcterms:modified xsi:type="dcterms:W3CDTF">2026-06-28T02:24:45Z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AA21C78B99134ADF964BEB067EACD055_13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