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40080461"/>
        <w:docPartObj>
          <w:docPartGallery w:val="Cover Pages"/>
          <w:docPartUnique/>
        </w:docPartObj>
      </w:sdtPr>
      <w:sdtEndPr>
        <w:rPr>
          <w:b/>
          <w:bCs/>
        </w:rPr>
      </w:sdtEndPr>
      <w:sdtContent>
        <w:p w14:paraId="2895728B" w14:textId="297F73EB" w:rsidR="00292966" w:rsidRDefault="00292966" w:rsidP="00292966">
          <w:pPr>
            <w:jc w:val="center"/>
          </w:pPr>
          <w:r>
            <w:rPr>
              <w:noProof/>
            </w:rPr>
            <w:drawing>
              <wp:inline distT="0" distB="0" distL="0" distR="0" wp14:anchorId="1E641E41" wp14:editId="790880D1">
                <wp:extent cx="2853122" cy="2853122"/>
                <wp:effectExtent l="0" t="0" r="4445" b="4445"/>
                <wp:docPr id="766628251" name="Picture 3" descr="A logo on a dar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28251" name="Picture 3" descr="A logo on a dar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8385" cy="2868385"/>
                        </a:xfrm>
                        <a:prstGeom prst="rect">
                          <a:avLst/>
                        </a:prstGeom>
                      </pic:spPr>
                    </pic:pic>
                  </a:graphicData>
                </a:graphic>
              </wp:inline>
            </w:drawing>
          </w:r>
        </w:p>
        <w:p w14:paraId="4E24CCFA" w14:textId="4DC87985" w:rsidR="00292966" w:rsidRDefault="00E70D34">
          <w:pPr>
            <w:rPr>
              <w:b/>
              <w:bCs/>
            </w:rPr>
          </w:pPr>
          <w:r>
            <w:rPr>
              <w:noProof/>
            </w:rPr>
            <mc:AlternateContent>
              <mc:Choice Requires="wps">
                <w:drawing>
                  <wp:anchor distT="0" distB="0" distL="114300" distR="114300" simplePos="0" relativeHeight="251659264" behindDoc="0" locked="0" layoutInCell="1" allowOverlap="1" wp14:anchorId="189EC575" wp14:editId="365C0E9E">
                    <wp:simplePos x="0" y="0"/>
                    <wp:positionH relativeFrom="margin">
                      <wp:posOffset>-933450</wp:posOffset>
                    </wp:positionH>
                    <wp:positionV relativeFrom="page">
                      <wp:posOffset>4667885</wp:posOffset>
                    </wp:positionV>
                    <wp:extent cx="7545070" cy="3108960"/>
                    <wp:effectExtent l="0" t="0" r="0" b="15240"/>
                    <wp:wrapSquare wrapText="bothSides"/>
                    <wp:docPr id="154" name="Text Box 163"/>
                    <wp:cNvGraphicFramePr/>
                    <a:graphic xmlns:a="http://schemas.openxmlformats.org/drawingml/2006/main">
                      <a:graphicData uri="http://schemas.microsoft.com/office/word/2010/wordprocessingShape">
                        <wps:wsp>
                          <wps:cNvSpPr txBox="1"/>
                          <wps:spPr>
                            <a:xfrm>
                              <a:off x="0" y="0"/>
                              <a:ext cx="7545070" cy="310896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55F3C88C" w14:textId="2B9333D8" w:rsidR="00292966" w:rsidRDefault="00292966" w:rsidP="00292966">
                                <w:pPr>
                                  <w:jc w:val="center"/>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INITIAL PUBLIC OFFERING</w:t>
                                    </w:r>
                                    <w:r w:rsidR="005573D3">
                                      <w:rPr>
                                        <w:caps/>
                                        <w:color w:val="156082" w:themeColor="accent1"/>
                                        <w:sz w:val="64"/>
                                        <w:szCs w:val="64"/>
                                      </w:rPr>
                                      <w:br/>
                                    </w:r>
                                    <w:r>
                                      <w:rPr>
                                        <w:caps/>
                                        <w:color w:val="156082" w:themeColor="accent1"/>
                                        <w:sz w:val="64"/>
                                        <w:szCs w:val="64"/>
                                      </w:rPr>
                                      <w:t>(IPO) VALUATION AND INVESTMENT ANALYSIS</w:t>
                                    </w:r>
                                    <w:r w:rsidR="00E70D34">
                                      <w:rPr>
                                        <w:caps/>
                                        <w:color w:val="156082" w:themeColor="accent1"/>
                                        <w:sz w:val="64"/>
                                        <w:szCs w:val="64"/>
                                      </w:rPr>
                                      <w:br/>
                                    </w:r>
                                    <w:r w:rsidR="00D5520B">
                                      <w:rPr>
                                        <w:caps/>
                                        <w:color w:val="156082" w:themeColor="accent1"/>
                                        <w:sz w:val="64"/>
                                        <w:szCs w:val="64"/>
                                      </w:rPr>
                                      <w:t xml:space="preserve">       </w:t>
                                    </w:r>
                                  </w:sdtContent>
                                </w:sdt>
                              </w:p>
                              <w:p w14:paraId="04617882" w14:textId="028D69BB" w:rsidR="00292966" w:rsidRPr="00D5520B" w:rsidRDefault="00D5520B" w:rsidP="00D5520B">
                                <w:pPr>
                                  <w:ind w:right="-194"/>
                                  <w:jc w:val="center"/>
                                  <w:rPr>
                                    <w:b/>
                                    <w:bCs/>
                                    <w:smallCaps/>
                                    <w:color w:val="404040" w:themeColor="text1" w:themeTint="BF"/>
                                    <w:sz w:val="36"/>
                                    <w:szCs w:val="36"/>
                                  </w:rPr>
                                </w:pPr>
                                <w:r w:rsidRPr="00D5520B">
                                  <w:rPr>
                                    <w:b/>
                                    <w:bCs/>
                                    <w:color w:val="404040" w:themeColor="text1" w:themeTint="BF"/>
                                    <w:sz w:val="36"/>
                                    <w:szCs w:val="36"/>
                                  </w:rPr>
                                  <w:t>NATIONAL STOCK EXCHANGE OF INDIA LIMITED (NSE)</w:t>
                                </w:r>
                              </w:p>
                            </w:txbxContent>
                          </wps:txbx>
                          <wps:bodyPr rot="0" spcFirstLastPara="0" vertOverflow="overflow" horzOverflow="overflow" vert="horz" wrap="square" lIns="1600200" tIns="0" rIns="68580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89EC575" id="_x0000_t202" coordsize="21600,21600" o:spt="202" path="m,l,21600r21600,l21600,xe">
                    <v:stroke joinstyle="miter"/>
                    <v:path gradientshapeok="t" o:connecttype="rect"/>
                  </v:shapetype>
                  <v:shape id="Text Box 163" o:spid="_x0000_s1026" type="#_x0000_t202" style="position:absolute;margin-left:-73.5pt;margin-top:367.55pt;width:594.1pt;height:244.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" filled="f" stroked="f">
                    <v:textbox inset="126pt,0,54pt,0">
                      <w:txbxContent>
                        <w:p w14:paraId="55F3C88C" w14:textId="2B9333D8" w:rsidR="00292966" w:rsidRDefault="00292966" w:rsidP="00292966">
                          <w:pPr>
                            <w:jc w:val="center"/>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INITIAL PUBLIC OFFERING</w:t>
                              </w:r>
                              <w:r w:rsidR="005573D3">
                                <w:rPr>
                                  <w:caps/>
                                  <w:color w:val="156082" w:themeColor="accent1"/>
                                  <w:sz w:val="64"/>
                                  <w:szCs w:val="64"/>
                                </w:rPr>
                                <w:br/>
                              </w:r>
                              <w:r>
                                <w:rPr>
                                  <w:caps/>
                                  <w:color w:val="156082" w:themeColor="accent1"/>
                                  <w:sz w:val="64"/>
                                  <w:szCs w:val="64"/>
                                </w:rPr>
                                <w:t>(IPO) VALUATION AND INVESTMENT ANALYSIS</w:t>
                              </w:r>
                              <w:r w:rsidR="00E70D34">
                                <w:rPr>
                                  <w:caps/>
                                  <w:color w:val="156082" w:themeColor="accent1"/>
                                  <w:sz w:val="64"/>
                                  <w:szCs w:val="64"/>
                                </w:rPr>
                                <w:br/>
                              </w:r>
                              <w:r w:rsidR="00D5520B">
                                <w:rPr>
                                  <w:caps/>
                                  <w:color w:val="156082" w:themeColor="accent1"/>
                                  <w:sz w:val="64"/>
                                  <w:szCs w:val="64"/>
                                </w:rPr>
                                <w:t xml:space="preserve">       </w:t>
                              </w:r>
                            </w:sdtContent>
                          </w:sdt>
                        </w:p>
                        <w:p w14:paraId="04617882" w14:textId="028D69BB" w:rsidR="00292966" w:rsidRPr="00D5520B" w:rsidRDefault="00D5520B" w:rsidP="00D5520B">
                          <w:pPr>
                            <w:ind w:right="-194"/>
                            <w:jc w:val="center"/>
                            <w:rPr>
                              <w:b/>
                              <w:bCs/>
                              <w:smallCaps/>
                              <w:color w:val="404040" w:themeColor="text1" w:themeTint="BF"/>
                              <w:sz w:val="36"/>
                              <w:szCs w:val="36"/>
                            </w:rPr>
                          </w:pPr>
                          <w:r w:rsidRPr="00D5520B">
                            <w:rPr>
                              <w:b/>
                              <w:bCs/>
                              <w:color w:val="404040" w:themeColor="text1" w:themeTint="BF"/>
                              <w:sz w:val="36"/>
                              <w:szCs w:val="36"/>
                            </w:rPr>
                            <w:t>NATIONAL STOCK EXCHANGE OF INDIA LIMITED (NSE)</w:t>
                          </w:r>
                        </w:p>
                      </w:txbxContent>
                    </v:textbox>
                    <w10:wrap type="square" anchorx="margin" anchory="page"/>
                  </v:shape>
                </w:pict>
              </mc:Fallback>
            </mc:AlternateContent>
          </w:r>
          <w:r>
            <w:rPr>
              <w:noProof/>
            </w:rPr>
            <mc:AlternateContent>
              <mc:Choice Requires="wps">
                <w:drawing>
                  <wp:anchor distT="0" distB="0" distL="114300" distR="114300" simplePos="0" relativeHeight="251660288" behindDoc="0" locked="0" layoutInCell="1" allowOverlap="1" wp14:anchorId="617B37F5" wp14:editId="4CBFD08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788670"/>
                    <wp:effectExtent l="0" t="0" r="0" b="11430"/>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7892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4D86324" w14:textId="788AA394" w:rsidR="00292966" w:rsidRDefault="00E70D34">
                                    <w:pPr>
                                      <w:pStyle w:val="NoSpacing"/>
                                      <w:jc w:val="right"/>
                                      <w:rPr>
                                        <w:color w:val="595959" w:themeColor="text1" w:themeTint="A6"/>
                                        <w:sz w:val="28"/>
                                        <w:szCs w:val="28"/>
                                      </w:rPr>
                                    </w:pPr>
                                    <w:r w:rsidRPr="00E70D34">
                                      <w:rPr>
                                        <w:rFonts w:ascii="Times New Roman" w:hAnsi="Times New Roman" w:cs="Times New Roman"/>
                                        <w:color w:val="595959" w:themeColor="text1" w:themeTint="A6"/>
                                        <w:sz w:val="28"/>
                                        <w:szCs w:val="28"/>
                                      </w:rPr>
                                      <w:t>Shiva Iyer</w:t>
                                    </w:r>
                                    <w:r w:rsidRPr="00E70D34">
                                      <w:rPr>
                                        <w:rFonts w:ascii="Times New Roman" w:hAnsi="Times New Roman" w:cs="Times New Roman"/>
                                        <w:color w:val="595959" w:themeColor="text1" w:themeTint="A6"/>
                                        <w:sz w:val="28"/>
                                        <w:szCs w:val="28"/>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617B37F5" id="Text Box 159" o:spid="_x0000_s1027" type="#_x0000_t202" style="position:absolute;margin-left:0;margin-top:0;width:8in;height:62.1pt;z-index:251660288;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" filled="f" stroked="f" strokeweight=".5pt">
                    <v:textbox inset="126pt,0,54pt,0">
                      <w:txbxContent>
                        <w:sdt>
                          <w:sdtPr>
                            <w:rPr>
                              <w:rFonts w:ascii="Times New Roman" w:hAnsi="Times New Roman" w:cs="Times New Roman"/>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4D86324" w14:textId="788AA394" w:rsidR="00292966" w:rsidRDefault="00E70D34">
                              <w:pPr>
                                <w:pStyle w:val="NoSpacing"/>
                                <w:jc w:val="right"/>
                                <w:rPr>
                                  <w:color w:val="595959" w:themeColor="text1" w:themeTint="A6"/>
                                  <w:sz w:val="28"/>
                                  <w:szCs w:val="28"/>
                                </w:rPr>
                              </w:pPr>
                              <w:r w:rsidRPr="00E70D34">
                                <w:rPr>
                                  <w:rFonts w:ascii="Times New Roman" w:hAnsi="Times New Roman" w:cs="Times New Roman"/>
                                  <w:color w:val="595959" w:themeColor="text1" w:themeTint="A6"/>
                                  <w:sz w:val="28"/>
                                  <w:szCs w:val="28"/>
                                </w:rPr>
                                <w:t>Shiva Iyer</w:t>
                              </w:r>
                              <w:r w:rsidRPr="00E70D34">
                                <w:rPr>
                                  <w:rFonts w:ascii="Times New Roman" w:hAnsi="Times New Roman" w:cs="Times New Roman"/>
                                  <w:color w:val="595959" w:themeColor="text1" w:themeTint="A6"/>
                                  <w:sz w:val="28"/>
                                  <w:szCs w:val="28"/>
                                </w:rPr>
                                <w:t xml:space="preserve"> </w:t>
                              </w:r>
                            </w:p>
                          </w:sdtContent>
                        </w:sdt>
                      </w:txbxContent>
                    </v:textbox>
                    <w10:wrap type="square" anchorx="page" anchory="page"/>
                  </v:shape>
                </w:pict>
              </mc:Fallback>
            </mc:AlternateContent>
          </w:r>
          <w:r w:rsidR="00292966">
            <w:rPr>
              <w:b/>
              <w:bCs/>
            </w:rPr>
            <w:br w:type="page"/>
          </w:r>
        </w:p>
      </w:sdtContent>
    </w:sdt>
    <w:bookmarkStart w:id="0" w:name="_Toc209598719" w:displacedByCustomXml="next"/>
    <w:sdt>
      <w:sdtPr>
        <w:id w:val="-134406353"/>
        <w:docPartObj>
          <w:docPartGallery w:val="Table of Contents"/>
          <w:docPartUnique/>
        </w:docPartObj>
      </w:sdtPr>
      <w:sdtEndPr>
        <w:rPr>
          <w:rFonts w:asciiTheme="minorHAnsi" w:eastAsiaTheme="minorEastAsia" w:hAnsiTheme="minorHAnsi" w:cs="Times New Roman"/>
          <w:color w:val="auto"/>
          <w:kern w:val="0"/>
          <w:sz w:val="22"/>
          <w:szCs w:val="22"/>
          <w:lang w:val="en-US"/>
          <w14:ligatures w14:val="none"/>
        </w:rPr>
      </w:sdtEndPr>
      <w:sdtContent>
        <w:p w14:paraId="060BEC67" w14:textId="77777777" w:rsidR="00A642D8" w:rsidRDefault="00E5131F" w:rsidP="00502318">
          <w:pPr>
            <w:pStyle w:val="Heading1"/>
            <w:numPr>
              <w:ilvl w:val="0"/>
              <w:numId w:val="0"/>
            </w:numPr>
            <w:spacing w:before="0" w:after="0" w:line="276" w:lineRule="auto"/>
            <w:rPr>
              <w:noProof/>
            </w:rPr>
          </w:pPr>
          <w:r w:rsidRPr="006425AC">
            <w:rPr>
              <w:b/>
              <w:bCs/>
              <w:color w:val="auto"/>
            </w:rPr>
            <w:t>Table of</w:t>
          </w:r>
          <w:r>
            <w:t xml:space="preserve"> </w:t>
          </w:r>
          <w:r w:rsidRPr="006425AC">
            <w:rPr>
              <w:b/>
              <w:bCs/>
              <w:color w:val="auto"/>
            </w:rPr>
            <w:t>Contents</w:t>
          </w:r>
          <w:bookmarkEnd w:id="0"/>
          <w:r w:rsidR="00820DE1">
            <w:fldChar w:fldCharType="begin"/>
          </w:r>
          <w:r w:rsidR="00820DE1">
            <w:instrText xml:space="preserve"> TOC \o "1-2" \h \z \u </w:instrText>
          </w:r>
          <w:r w:rsidR="00820DE1">
            <w:fldChar w:fldCharType="separate"/>
          </w:r>
        </w:p>
        <w:p w14:paraId="1278EBEF" w14:textId="265488D2" w:rsidR="00A642D8" w:rsidRDefault="00A642D8">
          <w:pPr>
            <w:pStyle w:val="TOC1"/>
            <w:tabs>
              <w:tab w:val="right" w:leader="dot" w:pos="9016"/>
            </w:tabs>
            <w:rPr>
              <w:rFonts w:cstheme="minorBidi"/>
              <w:noProof/>
              <w:kern w:val="2"/>
              <w:sz w:val="24"/>
              <w:szCs w:val="24"/>
              <w:lang w:val="en-IN" w:eastAsia="en-IN"/>
              <w14:ligatures w14:val="standardContextual"/>
            </w:rPr>
          </w:pPr>
          <w:hyperlink w:anchor="_Toc209598719" w:history="1">
            <w:r w:rsidRPr="00E30884">
              <w:rPr>
                <w:rStyle w:val="Hyperlink"/>
                <w:b/>
                <w:bCs/>
                <w:noProof/>
              </w:rPr>
              <w:t>Table of</w:t>
            </w:r>
            <w:r w:rsidRPr="00E30884">
              <w:rPr>
                <w:rStyle w:val="Hyperlink"/>
                <w:noProof/>
              </w:rPr>
              <w:t xml:space="preserve"> </w:t>
            </w:r>
            <w:r w:rsidRPr="00E30884">
              <w:rPr>
                <w:rStyle w:val="Hyperlink"/>
                <w:b/>
                <w:bCs/>
                <w:noProof/>
              </w:rPr>
              <w:t>Contents</w:t>
            </w:r>
            <w:r>
              <w:rPr>
                <w:noProof/>
                <w:webHidden/>
              </w:rPr>
              <w:tab/>
            </w:r>
            <w:r>
              <w:rPr>
                <w:noProof/>
                <w:webHidden/>
              </w:rPr>
              <w:fldChar w:fldCharType="begin"/>
            </w:r>
            <w:r>
              <w:rPr>
                <w:noProof/>
                <w:webHidden/>
              </w:rPr>
              <w:instrText xml:space="preserve"> PAGEREF _Toc209598719 \h </w:instrText>
            </w:r>
            <w:r>
              <w:rPr>
                <w:noProof/>
                <w:webHidden/>
              </w:rPr>
            </w:r>
            <w:r>
              <w:rPr>
                <w:noProof/>
                <w:webHidden/>
              </w:rPr>
              <w:fldChar w:fldCharType="separate"/>
            </w:r>
            <w:r>
              <w:rPr>
                <w:noProof/>
                <w:webHidden/>
              </w:rPr>
              <w:t>1</w:t>
            </w:r>
            <w:r>
              <w:rPr>
                <w:noProof/>
                <w:webHidden/>
              </w:rPr>
              <w:fldChar w:fldCharType="end"/>
            </w:r>
          </w:hyperlink>
        </w:p>
        <w:p w14:paraId="43FFF25C" w14:textId="05274C4C" w:rsidR="00A642D8" w:rsidRDefault="00A642D8">
          <w:pPr>
            <w:pStyle w:val="TOC1"/>
            <w:tabs>
              <w:tab w:val="left" w:pos="440"/>
              <w:tab w:val="right" w:leader="dot" w:pos="9016"/>
            </w:tabs>
            <w:rPr>
              <w:rFonts w:cstheme="minorBidi"/>
              <w:noProof/>
              <w:kern w:val="2"/>
              <w:sz w:val="24"/>
              <w:szCs w:val="24"/>
              <w:lang w:val="en-IN" w:eastAsia="en-IN"/>
              <w14:ligatures w14:val="standardContextual"/>
            </w:rPr>
          </w:pPr>
          <w:hyperlink w:anchor="_Toc209598720" w:history="1">
            <w:r w:rsidRPr="00E30884">
              <w:rPr>
                <w:rStyle w:val="Hyperlink"/>
                <w:b/>
                <w:bCs/>
                <w:noProof/>
              </w:rPr>
              <w:t>1</w:t>
            </w:r>
            <w:r>
              <w:rPr>
                <w:rFonts w:cstheme="minorBidi"/>
                <w:noProof/>
                <w:kern w:val="2"/>
                <w:sz w:val="24"/>
                <w:szCs w:val="24"/>
                <w:lang w:val="en-IN" w:eastAsia="en-IN"/>
                <w14:ligatures w14:val="standardContextual"/>
              </w:rPr>
              <w:tab/>
            </w:r>
            <w:r w:rsidRPr="00E30884">
              <w:rPr>
                <w:rStyle w:val="Hyperlink"/>
                <w:b/>
                <w:bCs/>
                <w:noProof/>
              </w:rPr>
              <w:t>Executive Summary</w:t>
            </w:r>
            <w:r>
              <w:rPr>
                <w:noProof/>
                <w:webHidden/>
              </w:rPr>
              <w:tab/>
            </w:r>
            <w:r>
              <w:rPr>
                <w:noProof/>
                <w:webHidden/>
              </w:rPr>
              <w:fldChar w:fldCharType="begin"/>
            </w:r>
            <w:r>
              <w:rPr>
                <w:noProof/>
                <w:webHidden/>
              </w:rPr>
              <w:instrText xml:space="preserve"> PAGEREF _Toc209598720 \h </w:instrText>
            </w:r>
            <w:r>
              <w:rPr>
                <w:noProof/>
                <w:webHidden/>
              </w:rPr>
            </w:r>
            <w:r>
              <w:rPr>
                <w:noProof/>
                <w:webHidden/>
              </w:rPr>
              <w:fldChar w:fldCharType="separate"/>
            </w:r>
            <w:r>
              <w:rPr>
                <w:noProof/>
                <w:webHidden/>
              </w:rPr>
              <w:t>2</w:t>
            </w:r>
            <w:r>
              <w:rPr>
                <w:noProof/>
                <w:webHidden/>
              </w:rPr>
              <w:fldChar w:fldCharType="end"/>
            </w:r>
          </w:hyperlink>
        </w:p>
        <w:p w14:paraId="4D0198A6" w14:textId="47F7D2C3" w:rsidR="00A642D8" w:rsidRDefault="00A642D8">
          <w:pPr>
            <w:pStyle w:val="TOC1"/>
            <w:tabs>
              <w:tab w:val="left" w:pos="440"/>
              <w:tab w:val="right" w:leader="dot" w:pos="9016"/>
            </w:tabs>
            <w:rPr>
              <w:rFonts w:cstheme="minorBidi"/>
              <w:noProof/>
              <w:kern w:val="2"/>
              <w:sz w:val="24"/>
              <w:szCs w:val="24"/>
              <w:lang w:val="en-IN" w:eastAsia="en-IN"/>
              <w14:ligatures w14:val="standardContextual"/>
            </w:rPr>
          </w:pPr>
          <w:hyperlink w:anchor="_Toc209598721" w:history="1">
            <w:r w:rsidRPr="00E30884">
              <w:rPr>
                <w:rStyle w:val="Hyperlink"/>
                <w:b/>
                <w:bCs/>
                <w:noProof/>
              </w:rPr>
              <w:t>2</w:t>
            </w:r>
            <w:r>
              <w:rPr>
                <w:rFonts w:cstheme="minorBidi"/>
                <w:noProof/>
                <w:kern w:val="2"/>
                <w:sz w:val="24"/>
                <w:szCs w:val="24"/>
                <w:lang w:val="en-IN" w:eastAsia="en-IN"/>
                <w14:ligatures w14:val="standardContextual"/>
              </w:rPr>
              <w:tab/>
            </w:r>
            <w:r w:rsidRPr="00E30884">
              <w:rPr>
                <w:rStyle w:val="Hyperlink"/>
                <w:b/>
                <w:bCs/>
                <w:noProof/>
              </w:rPr>
              <w:t>Financial Analysis &amp; Valuation</w:t>
            </w:r>
            <w:r>
              <w:rPr>
                <w:noProof/>
                <w:webHidden/>
              </w:rPr>
              <w:tab/>
            </w:r>
            <w:r>
              <w:rPr>
                <w:noProof/>
                <w:webHidden/>
              </w:rPr>
              <w:fldChar w:fldCharType="begin"/>
            </w:r>
            <w:r>
              <w:rPr>
                <w:noProof/>
                <w:webHidden/>
              </w:rPr>
              <w:instrText xml:space="preserve"> PAGEREF _Toc209598721 \h </w:instrText>
            </w:r>
            <w:r>
              <w:rPr>
                <w:noProof/>
                <w:webHidden/>
              </w:rPr>
            </w:r>
            <w:r>
              <w:rPr>
                <w:noProof/>
                <w:webHidden/>
              </w:rPr>
              <w:fldChar w:fldCharType="separate"/>
            </w:r>
            <w:r>
              <w:rPr>
                <w:noProof/>
                <w:webHidden/>
              </w:rPr>
              <w:t>2</w:t>
            </w:r>
            <w:r>
              <w:rPr>
                <w:noProof/>
                <w:webHidden/>
              </w:rPr>
              <w:fldChar w:fldCharType="end"/>
            </w:r>
          </w:hyperlink>
        </w:p>
        <w:p w14:paraId="514A015A" w14:textId="5BFBC4ED" w:rsidR="00A642D8" w:rsidRDefault="00A642D8">
          <w:pPr>
            <w:pStyle w:val="TOC2"/>
            <w:tabs>
              <w:tab w:val="left" w:pos="960"/>
              <w:tab w:val="right" w:leader="dot" w:pos="9016"/>
            </w:tabs>
            <w:rPr>
              <w:rFonts w:cstheme="minorBidi"/>
              <w:noProof/>
              <w:kern w:val="2"/>
              <w:sz w:val="24"/>
              <w:szCs w:val="24"/>
              <w:lang w:val="en-IN" w:eastAsia="en-IN"/>
              <w14:ligatures w14:val="standardContextual"/>
            </w:rPr>
          </w:pPr>
          <w:hyperlink w:anchor="_Toc209598722" w:history="1">
            <w:r w:rsidRPr="00E30884">
              <w:rPr>
                <w:rStyle w:val="Hyperlink"/>
                <w:b/>
                <w:bCs/>
                <w:noProof/>
              </w:rPr>
              <w:t>2.1</w:t>
            </w:r>
            <w:r>
              <w:rPr>
                <w:rFonts w:cstheme="minorBidi"/>
                <w:noProof/>
                <w:kern w:val="2"/>
                <w:sz w:val="24"/>
                <w:szCs w:val="24"/>
                <w:lang w:val="en-IN" w:eastAsia="en-IN"/>
                <w14:ligatures w14:val="standardContextual"/>
              </w:rPr>
              <w:tab/>
            </w:r>
            <w:r w:rsidRPr="00E30884">
              <w:rPr>
                <w:rStyle w:val="Hyperlink"/>
                <w:b/>
                <w:bCs/>
                <w:noProof/>
              </w:rPr>
              <w:t>Discounted Cash Flow (DCF) Valuation</w:t>
            </w:r>
            <w:r>
              <w:rPr>
                <w:noProof/>
                <w:webHidden/>
              </w:rPr>
              <w:tab/>
            </w:r>
            <w:r>
              <w:rPr>
                <w:noProof/>
                <w:webHidden/>
              </w:rPr>
              <w:fldChar w:fldCharType="begin"/>
            </w:r>
            <w:r>
              <w:rPr>
                <w:noProof/>
                <w:webHidden/>
              </w:rPr>
              <w:instrText xml:space="preserve"> PAGEREF _Toc209598722 \h </w:instrText>
            </w:r>
            <w:r>
              <w:rPr>
                <w:noProof/>
                <w:webHidden/>
              </w:rPr>
            </w:r>
            <w:r>
              <w:rPr>
                <w:noProof/>
                <w:webHidden/>
              </w:rPr>
              <w:fldChar w:fldCharType="separate"/>
            </w:r>
            <w:r>
              <w:rPr>
                <w:noProof/>
                <w:webHidden/>
              </w:rPr>
              <w:t>2</w:t>
            </w:r>
            <w:r>
              <w:rPr>
                <w:noProof/>
                <w:webHidden/>
              </w:rPr>
              <w:fldChar w:fldCharType="end"/>
            </w:r>
          </w:hyperlink>
        </w:p>
        <w:p w14:paraId="1F22CCDD" w14:textId="019D6B93" w:rsidR="00A642D8" w:rsidRDefault="00A642D8">
          <w:pPr>
            <w:pStyle w:val="TOC2"/>
            <w:tabs>
              <w:tab w:val="left" w:pos="960"/>
              <w:tab w:val="right" w:leader="dot" w:pos="9016"/>
            </w:tabs>
            <w:rPr>
              <w:rFonts w:cstheme="minorBidi"/>
              <w:noProof/>
              <w:kern w:val="2"/>
              <w:sz w:val="24"/>
              <w:szCs w:val="24"/>
              <w:lang w:val="en-IN" w:eastAsia="en-IN"/>
              <w14:ligatures w14:val="standardContextual"/>
            </w:rPr>
          </w:pPr>
          <w:hyperlink w:anchor="_Toc209598723" w:history="1">
            <w:r w:rsidRPr="00E30884">
              <w:rPr>
                <w:rStyle w:val="Hyperlink"/>
                <w:rFonts w:ascii="Arial" w:hAnsi="Arial" w:cs="Arial"/>
                <w:b/>
                <w:bCs/>
                <w:noProof/>
              </w:rPr>
              <w:t>2.2</w:t>
            </w:r>
            <w:r>
              <w:rPr>
                <w:rFonts w:cstheme="minorBidi"/>
                <w:noProof/>
                <w:kern w:val="2"/>
                <w:sz w:val="24"/>
                <w:szCs w:val="24"/>
                <w:lang w:val="en-IN" w:eastAsia="en-IN"/>
                <w14:ligatures w14:val="standardContextual"/>
              </w:rPr>
              <w:tab/>
            </w:r>
            <w:r w:rsidRPr="00E30884">
              <w:rPr>
                <w:rStyle w:val="Hyperlink"/>
                <w:b/>
                <w:bCs/>
                <w:noProof/>
              </w:rPr>
              <w:t>Comparable Company Analysis (CCA)</w:t>
            </w:r>
            <w:r>
              <w:rPr>
                <w:noProof/>
                <w:webHidden/>
              </w:rPr>
              <w:tab/>
            </w:r>
            <w:r>
              <w:rPr>
                <w:noProof/>
                <w:webHidden/>
              </w:rPr>
              <w:fldChar w:fldCharType="begin"/>
            </w:r>
            <w:r>
              <w:rPr>
                <w:noProof/>
                <w:webHidden/>
              </w:rPr>
              <w:instrText xml:space="preserve"> PAGEREF _Toc209598723 \h </w:instrText>
            </w:r>
            <w:r>
              <w:rPr>
                <w:noProof/>
                <w:webHidden/>
              </w:rPr>
            </w:r>
            <w:r>
              <w:rPr>
                <w:noProof/>
                <w:webHidden/>
              </w:rPr>
              <w:fldChar w:fldCharType="separate"/>
            </w:r>
            <w:r>
              <w:rPr>
                <w:noProof/>
                <w:webHidden/>
              </w:rPr>
              <w:t>3</w:t>
            </w:r>
            <w:r>
              <w:rPr>
                <w:noProof/>
                <w:webHidden/>
              </w:rPr>
              <w:fldChar w:fldCharType="end"/>
            </w:r>
          </w:hyperlink>
        </w:p>
        <w:p w14:paraId="1519F4BB" w14:textId="6F340797" w:rsidR="00A642D8" w:rsidRDefault="00A642D8">
          <w:pPr>
            <w:pStyle w:val="TOC2"/>
            <w:tabs>
              <w:tab w:val="left" w:pos="960"/>
              <w:tab w:val="right" w:leader="dot" w:pos="9016"/>
            </w:tabs>
            <w:rPr>
              <w:rFonts w:cstheme="minorBidi"/>
              <w:noProof/>
              <w:kern w:val="2"/>
              <w:sz w:val="24"/>
              <w:szCs w:val="24"/>
              <w:lang w:val="en-IN" w:eastAsia="en-IN"/>
              <w14:ligatures w14:val="standardContextual"/>
            </w:rPr>
          </w:pPr>
          <w:hyperlink w:anchor="_Toc209598724" w:history="1">
            <w:r w:rsidRPr="00E30884">
              <w:rPr>
                <w:rStyle w:val="Hyperlink"/>
                <w:b/>
                <w:bCs/>
                <w:noProof/>
              </w:rPr>
              <w:t>2.3</w:t>
            </w:r>
            <w:r>
              <w:rPr>
                <w:rFonts w:cstheme="minorBidi"/>
                <w:noProof/>
                <w:kern w:val="2"/>
                <w:sz w:val="24"/>
                <w:szCs w:val="24"/>
                <w:lang w:val="en-IN" w:eastAsia="en-IN"/>
                <w14:ligatures w14:val="standardContextual"/>
              </w:rPr>
              <w:tab/>
            </w:r>
            <w:r w:rsidRPr="00E30884">
              <w:rPr>
                <w:rStyle w:val="Hyperlink"/>
                <w:b/>
                <w:bCs/>
                <w:noProof/>
              </w:rPr>
              <w:t>Sensitivity Analysis</w:t>
            </w:r>
            <w:r>
              <w:rPr>
                <w:noProof/>
                <w:webHidden/>
              </w:rPr>
              <w:tab/>
            </w:r>
            <w:r>
              <w:rPr>
                <w:noProof/>
                <w:webHidden/>
              </w:rPr>
              <w:fldChar w:fldCharType="begin"/>
            </w:r>
            <w:r>
              <w:rPr>
                <w:noProof/>
                <w:webHidden/>
              </w:rPr>
              <w:instrText xml:space="preserve"> PAGEREF _Toc209598724 \h </w:instrText>
            </w:r>
            <w:r>
              <w:rPr>
                <w:noProof/>
                <w:webHidden/>
              </w:rPr>
            </w:r>
            <w:r>
              <w:rPr>
                <w:noProof/>
                <w:webHidden/>
              </w:rPr>
              <w:fldChar w:fldCharType="separate"/>
            </w:r>
            <w:r>
              <w:rPr>
                <w:noProof/>
                <w:webHidden/>
              </w:rPr>
              <w:t>4</w:t>
            </w:r>
            <w:r>
              <w:rPr>
                <w:noProof/>
                <w:webHidden/>
              </w:rPr>
              <w:fldChar w:fldCharType="end"/>
            </w:r>
          </w:hyperlink>
        </w:p>
        <w:p w14:paraId="1FCE777D" w14:textId="326E02C9" w:rsidR="00A642D8" w:rsidRDefault="00A642D8">
          <w:pPr>
            <w:pStyle w:val="TOC2"/>
            <w:tabs>
              <w:tab w:val="left" w:pos="960"/>
              <w:tab w:val="right" w:leader="dot" w:pos="9016"/>
            </w:tabs>
            <w:rPr>
              <w:rFonts w:cstheme="minorBidi"/>
              <w:noProof/>
              <w:kern w:val="2"/>
              <w:sz w:val="24"/>
              <w:szCs w:val="24"/>
              <w:lang w:val="en-IN" w:eastAsia="en-IN"/>
              <w14:ligatures w14:val="standardContextual"/>
            </w:rPr>
          </w:pPr>
          <w:hyperlink w:anchor="_Toc209598725" w:history="1">
            <w:r w:rsidRPr="00E30884">
              <w:rPr>
                <w:rStyle w:val="Hyperlink"/>
                <w:b/>
                <w:bCs/>
                <w:noProof/>
              </w:rPr>
              <w:t>2.4</w:t>
            </w:r>
            <w:r>
              <w:rPr>
                <w:rFonts w:cstheme="minorBidi"/>
                <w:noProof/>
                <w:kern w:val="2"/>
                <w:sz w:val="24"/>
                <w:szCs w:val="24"/>
                <w:lang w:val="en-IN" w:eastAsia="en-IN"/>
                <w14:ligatures w14:val="standardContextual"/>
              </w:rPr>
              <w:tab/>
            </w:r>
            <w:r w:rsidRPr="00E30884">
              <w:rPr>
                <w:rStyle w:val="Hyperlink"/>
                <w:b/>
                <w:bCs/>
                <w:noProof/>
              </w:rPr>
              <w:t>Key Financial Trends</w:t>
            </w:r>
            <w:r>
              <w:rPr>
                <w:noProof/>
                <w:webHidden/>
              </w:rPr>
              <w:tab/>
            </w:r>
            <w:r>
              <w:rPr>
                <w:noProof/>
                <w:webHidden/>
              </w:rPr>
              <w:fldChar w:fldCharType="begin"/>
            </w:r>
            <w:r>
              <w:rPr>
                <w:noProof/>
                <w:webHidden/>
              </w:rPr>
              <w:instrText xml:space="preserve"> PAGEREF _Toc209598725 \h </w:instrText>
            </w:r>
            <w:r>
              <w:rPr>
                <w:noProof/>
                <w:webHidden/>
              </w:rPr>
            </w:r>
            <w:r>
              <w:rPr>
                <w:noProof/>
                <w:webHidden/>
              </w:rPr>
              <w:fldChar w:fldCharType="separate"/>
            </w:r>
            <w:r>
              <w:rPr>
                <w:noProof/>
                <w:webHidden/>
              </w:rPr>
              <w:t>4</w:t>
            </w:r>
            <w:r>
              <w:rPr>
                <w:noProof/>
                <w:webHidden/>
              </w:rPr>
              <w:fldChar w:fldCharType="end"/>
            </w:r>
          </w:hyperlink>
        </w:p>
        <w:p w14:paraId="4ECAA9CF" w14:textId="27066405" w:rsidR="00A642D8" w:rsidRDefault="00A642D8">
          <w:pPr>
            <w:pStyle w:val="TOC1"/>
            <w:tabs>
              <w:tab w:val="left" w:pos="440"/>
              <w:tab w:val="right" w:leader="dot" w:pos="9016"/>
            </w:tabs>
            <w:rPr>
              <w:rFonts w:cstheme="minorBidi"/>
              <w:noProof/>
              <w:kern w:val="2"/>
              <w:sz w:val="24"/>
              <w:szCs w:val="24"/>
              <w:lang w:val="en-IN" w:eastAsia="en-IN"/>
              <w14:ligatures w14:val="standardContextual"/>
            </w:rPr>
          </w:pPr>
          <w:hyperlink w:anchor="_Toc209598726" w:history="1">
            <w:r w:rsidRPr="00E30884">
              <w:rPr>
                <w:rStyle w:val="Hyperlink"/>
                <w:b/>
                <w:bCs/>
                <w:noProof/>
              </w:rPr>
              <w:t>3</w:t>
            </w:r>
            <w:r>
              <w:rPr>
                <w:rFonts w:cstheme="minorBidi"/>
                <w:noProof/>
                <w:kern w:val="2"/>
                <w:sz w:val="24"/>
                <w:szCs w:val="24"/>
                <w:lang w:val="en-IN" w:eastAsia="en-IN"/>
                <w14:ligatures w14:val="standardContextual"/>
              </w:rPr>
              <w:tab/>
            </w:r>
            <w:r w:rsidRPr="00E30884">
              <w:rPr>
                <w:rStyle w:val="Hyperlink"/>
                <w:b/>
                <w:bCs/>
                <w:noProof/>
              </w:rPr>
              <w:t>Qualitative &amp; Due Diligence Analysis</w:t>
            </w:r>
            <w:r>
              <w:rPr>
                <w:noProof/>
                <w:webHidden/>
              </w:rPr>
              <w:tab/>
            </w:r>
            <w:r>
              <w:rPr>
                <w:noProof/>
                <w:webHidden/>
              </w:rPr>
              <w:fldChar w:fldCharType="begin"/>
            </w:r>
            <w:r>
              <w:rPr>
                <w:noProof/>
                <w:webHidden/>
              </w:rPr>
              <w:instrText xml:space="preserve"> PAGEREF _Toc209598726 \h </w:instrText>
            </w:r>
            <w:r>
              <w:rPr>
                <w:noProof/>
                <w:webHidden/>
              </w:rPr>
            </w:r>
            <w:r>
              <w:rPr>
                <w:noProof/>
                <w:webHidden/>
              </w:rPr>
              <w:fldChar w:fldCharType="separate"/>
            </w:r>
            <w:r>
              <w:rPr>
                <w:noProof/>
                <w:webHidden/>
              </w:rPr>
              <w:t>5</w:t>
            </w:r>
            <w:r>
              <w:rPr>
                <w:noProof/>
                <w:webHidden/>
              </w:rPr>
              <w:fldChar w:fldCharType="end"/>
            </w:r>
          </w:hyperlink>
        </w:p>
        <w:p w14:paraId="4FE15B44" w14:textId="6985D025" w:rsidR="00A642D8" w:rsidRDefault="00A642D8">
          <w:pPr>
            <w:pStyle w:val="TOC2"/>
            <w:tabs>
              <w:tab w:val="left" w:pos="960"/>
              <w:tab w:val="right" w:leader="dot" w:pos="9016"/>
            </w:tabs>
            <w:rPr>
              <w:rFonts w:cstheme="minorBidi"/>
              <w:noProof/>
              <w:kern w:val="2"/>
              <w:sz w:val="24"/>
              <w:szCs w:val="24"/>
              <w:lang w:val="en-IN" w:eastAsia="en-IN"/>
              <w14:ligatures w14:val="standardContextual"/>
            </w:rPr>
          </w:pPr>
          <w:hyperlink w:anchor="_Toc209598727" w:history="1">
            <w:r w:rsidRPr="00E30884">
              <w:rPr>
                <w:rStyle w:val="Hyperlink"/>
                <w:b/>
                <w:bCs/>
                <w:noProof/>
              </w:rPr>
              <w:t>3.1</w:t>
            </w:r>
            <w:r>
              <w:rPr>
                <w:rFonts w:cstheme="minorBidi"/>
                <w:noProof/>
                <w:kern w:val="2"/>
                <w:sz w:val="24"/>
                <w:szCs w:val="24"/>
                <w:lang w:val="en-IN" w:eastAsia="en-IN"/>
                <w14:ligatures w14:val="standardContextual"/>
              </w:rPr>
              <w:tab/>
            </w:r>
            <w:r w:rsidRPr="00E30884">
              <w:rPr>
                <w:rStyle w:val="Hyperlink"/>
                <w:b/>
                <w:bCs/>
                <w:noProof/>
              </w:rPr>
              <w:t>Company Overview</w:t>
            </w:r>
            <w:r>
              <w:rPr>
                <w:noProof/>
                <w:webHidden/>
              </w:rPr>
              <w:tab/>
            </w:r>
            <w:r>
              <w:rPr>
                <w:noProof/>
                <w:webHidden/>
              </w:rPr>
              <w:fldChar w:fldCharType="begin"/>
            </w:r>
            <w:r>
              <w:rPr>
                <w:noProof/>
                <w:webHidden/>
              </w:rPr>
              <w:instrText xml:space="preserve"> PAGEREF _Toc209598727 \h </w:instrText>
            </w:r>
            <w:r>
              <w:rPr>
                <w:noProof/>
                <w:webHidden/>
              </w:rPr>
            </w:r>
            <w:r>
              <w:rPr>
                <w:noProof/>
                <w:webHidden/>
              </w:rPr>
              <w:fldChar w:fldCharType="separate"/>
            </w:r>
            <w:r>
              <w:rPr>
                <w:noProof/>
                <w:webHidden/>
              </w:rPr>
              <w:t>5</w:t>
            </w:r>
            <w:r>
              <w:rPr>
                <w:noProof/>
                <w:webHidden/>
              </w:rPr>
              <w:fldChar w:fldCharType="end"/>
            </w:r>
          </w:hyperlink>
        </w:p>
        <w:p w14:paraId="13771D37" w14:textId="0210E990" w:rsidR="00A642D8" w:rsidRDefault="00A642D8">
          <w:pPr>
            <w:pStyle w:val="TOC2"/>
            <w:tabs>
              <w:tab w:val="left" w:pos="960"/>
              <w:tab w:val="right" w:leader="dot" w:pos="9016"/>
            </w:tabs>
            <w:rPr>
              <w:rFonts w:cstheme="minorBidi"/>
              <w:noProof/>
              <w:kern w:val="2"/>
              <w:sz w:val="24"/>
              <w:szCs w:val="24"/>
              <w:lang w:val="en-IN" w:eastAsia="en-IN"/>
              <w14:ligatures w14:val="standardContextual"/>
            </w:rPr>
          </w:pPr>
          <w:hyperlink w:anchor="_Toc209598728" w:history="1">
            <w:r w:rsidRPr="00E30884">
              <w:rPr>
                <w:rStyle w:val="Hyperlink"/>
                <w:b/>
                <w:bCs/>
                <w:noProof/>
              </w:rPr>
              <w:t>3.2</w:t>
            </w:r>
            <w:r>
              <w:rPr>
                <w:rFonts w:cstheme="minorBidi"/>
                <w:noProof/>
                <w:kern w:val="2"/>
                <w:sz w:val="24"/>
                <w:szCs w:val="24"/>
                <w:lang w:val="en-IN" w:eastAsia="en-IN"/>
                <w14:ligatures w14:val="standardContextual"/>
              </w:rPr>
              <w:tab/>
            </w:r>
            <w:r w:rsidRPr="00E30884">
              <w:rPr>
                <w:rStyle w:val="Hyperlink"/>
                <w:b/>
                <w:bCs/>
                <w:noProof/>
              </w:rPr>
              <w:t>Market &amp; Industry</w:t>
            </w:r>
            <w:r>
              <w:rPr>
                <w:noProof/>
                <w:webHidden/>
              </w:rPr>
              <w:tab/>
            </w:r>
            <w:r>
              <w:rPr>
                <w:noProof/>
                <w:webHidden/>
              </w:rPr>
              <w:fldChar w:fldCharType="begin"/>
            </w:r>
            <w:r>
              <w:rPr>
                <w:noProof/>
                <w:webHidden/>
              </w:rPr>
              <w:instrText xml:space="preserve"> PAGEREF _Toc209598728 \h </w:instrText>
            </w:r>
            <w:r>
              <w:rPr>
                <w:noProof/>
                <w:webHidden/>
              </w:rPr>
            </w:r>
            <w:r>
              <w:rPr>
                <w:noProof/>
                <w:webHidden/>
              </w:rPr>
              <w:fldChar w:fldCharType="separate"/>
            </w:r>
            <w:r>
              <w:rPr>
                <w:noProof/>
                <w:webHidden/>
              </w:rPr>
              <w:t>5</w:t>
            </w:r>
            <w:r>
              <w:rPr>
                <w:noProof/>
                <w:webHidden/>
              </w:rPr>
              <w:fldChar w:fldCharType="end"/>
            </w:r>
          </w:hyperlink>
        </w:p>
        <w:p w14:paraId="5BA894D4" w14:textId="7F5AF438" w:rsidR="00A642D8" w:rsidRDefault="00A642D8">
          <w:pPr>
            <w:pStyle w:val="TOC2"/>
            <w:tabs>
              <w:tab w:val="left" w:pos="960"/>
              <w:tab w:val="right" w:leader="dot" w:pos="9016"/>
            </w:tabs>
            <w:rPr>
              <w:rFonts w:cstheme="minorBidi"/>
              <w:noProof/>
              <w:kern w:val="2"/>
              <w:sz w:val="24"/>
              <w:szCs w:val="24"/>
              <w:lang w:val="en-IN" w:eastAsia="en-IN"/>
              <w14:ligatures w14:val="standardContextual"/>
            </w:rPr>
          </w:pPr>
          <w:hyperlink w:anchor="_Toc209598729" w:history="1">
            <w:r w:rsidRPr="00E30884">
              <w:rPr>
                <w:rStyle w:val="Hyperlink"/>
                <w:b/>
                <w:bCs/>
                <w:noProof/>
              </w:rPr>
              <w:t>3.3</w:t>
            </w:r>
            <w:r>
              <w:rPr>
                <w:rFonts w:cstheme="minorBidi"/>
                <w:noProof/>
                <w:kern w:val="2"/>
                <w:sz w:val="24"/>
                <w:szCs w:val="24"/>
                <w:lang w:val="en-IN" w:eastAsia="en-IN"/>
                <w14:ligatures w14:val="standardContextual"/>
              </w:rPr>
              <w:tab/>
            </w:r>
            <w:r w:rsidRPr="00E30884">
              <w:rPr>
                <w:rStyle w:val="Hyperlink"/>
                <w:b/>
                <w:bCs/>
                <w:noProof/>
              </w:rPr>
              <w:t>Competitive Landscape</w:t>
            </w:r>
            <w:r>
              <w:rPr>
                <w:noProof/>
                <w:webHidden/>
              </w:rPr>
              <w:tab/>
            </w:r>
            <w:r>
              <w:rPr>
                <w:noProof/>
                <w:webHidden/>
              </w:rPr>
              <w:fldChar w:fldCharType="begin"/>
            </w:r>
            <w:r>
              <w:rPr>
                <w:noProof/>
                <w:webHidden/>
              </w:rPr>
              <w:instrText xml:space="preserve"> PAGEREF _Toc209598729 \h </w:instrText>
            </w:r>
            <w:r>
              <w:rPr>
                <w:noProof/>
                <w:webHidden/>
              </w:rPr>
            </w:r>
            <w:r>
              <w:rPr>
                <w:noProof/>
                <w:webHidden/>
              </w:rPr>
              <w:fldChar w:fldCharType="separate"/>
            </w:r>
            <w:r>
              <w:rPr>
                <w:noProof/>
                <w:webHidden/>
              </w:rPr>
              <w:t>6</w:t>
            </w:r>
            <w:r>
              <w:rPr>
                <w:noProof/>
                <w:webHidden/>
              </w:rPr>
              <w:fldChar w:fldCharType="end"/>
            </w:r>
          </w:hyperlink>
        </w:p>
        <w:p w14:paraId="6D627EA7" w14:textId="4CBD5218" w:rsidR="00A642D8" w:rsidRDefault="00A642D8">
          <w:pPr>
            <w:pStyle w:val="TOC2"/>
            <w:tabs>
              <w:tab w:val="left" w:pos="960"/>
              <w:tab w:val="right" w:leader="dot" w:pos="9016"/>
            </w:tabs>
            <w:rPr>
              <w:rFonts w:cstheme="minorBidi"/>
              <w:noProof/>
              <w:kern w:val="2"/>
              <w:sz w:val="24"/>
              <w:szCs w:val="24"/>
              <w:lang w:val="en-IN" w:eastAsia="en-IN"/>
              <w14:ligatures w14:val="standardContextual"/>
            </w:rPr>
          </w:pPr>
          <w:hyperlink w:anchor="_Toc209598730" w:history="1">
            <w:r w:rsidRPr="00E30884">
              <w:rPr>
                <w:rStyle w:val="Hyperlink"/>
                <w:b/>
                <w:bCs/>
                <w:noProof/>
              </w:rPr>
              <w:t>3.4</w:t>
            </w:r>
            <w:r>
              <w:rPr>
                <w:rFonts w:cstheme="minorBidi"/>
                <w:noProof/>
                <w:kern w:val="2"/>
                <w:sz w:val="24"/>
                <w:szCs w:val="24"/>
                <w:lang w:val="en-IN" w:eastAsia="en-IN"/>
                <w14:ligatures w14:val="standardContextual"/>
              </w:rPr>
              <w:tab/>
            </w:r>
            <w:r w:rsidRPr="00E30884">
              <w:rPr>
                <w:rStyle w:val="Hyperlink"/>
                <w:b/>
                <w:bCs/>
                <w:noProof/>
              </w:rPr>
              <w:t>Management, Regulatory, &amp; Risks</w:t>
            </w:r>
            <w:r>
              <w:rPr>
                <w:noProof/>
                <w:webHidden/>
              </w:rPr>
              <w:tab/>
            </w:r>
            <w:r>
              <w:rPr>
                <w:noProof/>
                <w:webHidden/>
              </w:rPr>
              <w:fldChar w:fldCharType="begin"/>
            </w:r>
            <w:r>
              <w:rPr>
                <w:noProof/>
                <w:webHidden/>
              </w:rPr>
              <w:instrText xml:space="preserve"> PAGEREF _Toc209598730 \h </w:instrText>
            </w:r>
            <w:r>
              <w:rPr>
                <w:noProof/>
                <w:webHidden/>
              </w:rPr>
            </w:r>
            <w:r>
              <w:rPr>
                <w:noProof/>
                <w:webHidden/>
              </w:rPr>
              <w:fldChar w:fldCharType="separate"/>
            </w:r>
            <w:r>
              <w:rPr>
                <w:noProof/>
                <w:webHidden/>
              </w:rPr>
              <w:t>6</w:t>
            </w:r>
            <w:r>
              <w:rPr>
                <w:noProof/>
                <w:webHidden/>
              </w:rPr>
              <w:fldChar w:fldCharType="end"/>
            </w:r>
          </w:hyperlink>
        </w:p>
        <w:p w14:paraId="76A1AD3F" w14:textId="1345C1FF" w:rsidR="00A642D8" w:rsidRDefault="00A642D8">
          <w:pPr>
            <w:pStyle w:val="TOC1"/>
            <w:tabs>
              <w:tab w:val="left" w:pos="440"/>
              <w:tab w:val="right" w:leader="dot" w:pos="9016"/>
            </w:tabs>
            <w:rPr>
              <w:rFonts w:cstheme="minorBidi"/>
              <w:noProof/>
              <w:kern w:val="2"/>
              <w:sz w:val="24"/>
              <w:szCs w:val="24"/>
              <w:lang w:val="en-IN" w:eastAsia="en-IN"/>
              <w14:ligatures w14:val="standardContextual"/>
            </w:rPr>
          </w:pPr>
          <w:hyperlink w:anchor="_Toc209598731" w:history="1">
            <w:r w:rsidRPr="00E30884">
              <w:rPr>
                <w:rStyle w:val="Hyperlink"/>
                <w:b/>
                <w:bCs/>
                <w:noProof/>
              </w:rPr>
              <w:t>4</w:t>
            </w:r>
            <w:r>
              <w:rPr>
                <w:rFonts w:cstheme="minorBidi"/>
                <w:noProof/>
                <w:kern w:val="2"/>
                <w:sz w:val="24"/>
                <w:szCs w:val="24"/>
                <w:lang w:val="en-IN" w:eastAsia="en-IN"/>
                <w14:ligatures w14:val="standardContextual"/>
              </w:rPr>
              <w:tab/>
            </w:r>
            <w:r w:rsidRPr="00E30884">
              <w:rPr>
                <w:rStyle w:val="Hyperlink"/>
                <w:b/>
                <w:bCs/>
                <w:noProof/>
              </w:rPr>
              <w:t>Investment Conclusion</w:t>
            </w:r>
            <w:r>
              <w:rPr>
                <w:noProof/>
                <w:webHidden/>
              </w:rPr>
              <w:tab/>
            </w:r>
            <w:r>
              <w:rPr>
                <w:noProof/>
                <w:webHidden/>
              </w:rPr>
              <w:fldChar w:fldCharType="begin"/>
            </w:r>
            <w:r>
              <w:rPr>
                <w:noProof/>
                <w:webHidden/>
              </w:rPr>
              <w:instrText xml:space="preserve"> PAGEREF _Toc209598731 \h </w:instrText>
            </w:r>
            <w:r>
              <w:rPr>
                <w:noProof/>
                <w:webHidden/>
              </w:rPr>
            </w:r>
            <w:r>
              <w:rPr>
                <w:noProof/>
                <w:webHidden/>
              </w:rPr>
              <w:fldChar w:fldCharType="separate"/>
            </w:r>
            <w:r>
              <w:rPr>
                <w:noProof/>
                <w:webHidden/>
              </w:rPr>
              <w:t>7</w:t>
            </w:r>
            <w:r>
              <w:rPr>
                <w:noProof/>
                <w:webHidden/>
              </w:rPr>
              <w:fldChar w:fldCharType="end"/>
            </w:r>
          </w:hyperlink>
        </w:p>
        <w:p w14:paraId="33804F56" w14:textId="2ED7EF51" w:rsidR="00A642D8" w:rsidRDefault="00A642D8">
          <w:pPr>
            <w:pStyle w:val="TOC1"/>
            <w:tabs>
              <w:tab w:val="left" w:pos="440"/>
              <w:tab w:val="right" w:leader="dot" w:pos="9016"/>
            </w:tabs>
            <w:rPr>
              <w:rFonts w:cstheme="minorBidi"/>
              <w:noProof/>
              <w:kern w:val="2"/>
              <w:sz w:val="24"/>
              <w:szCs w:val="24"/>
              <w:lang w:val="en-IN" w:eastAsia="en-IN"/>
              <w14:ligatures w14:val="standardContextual"/>
            </w:rPr>
          </w:pPr>
          <w:hyperlink w:anchor="_Toc209598732" w:history="1">
            <w:r w:rsidRPr="00E30884">
              <w:rPr>
                <w:rStyle w:val="Hyperlink"/>
                <w:b/>
                <w:bCs/>
                <w:noProof/>
              </w:rPr>
              <w:t>5</w:t>
            </w:r>
            <w:r>
              <w:rPr>
                <w:rFonts w:cstheme="minorBidi"/>
                <w:noProof/>
                <w:kern w:val="2"/>
                <w:sz w:val="24"/>
                <w:szCs w:val="24"/>
                <w:lang w:val="en-IN" w:eastAsia="en-IN"/>
                <w14:ligatures w14:val="standardContextual"/>
              </w:rPr>
              <w:tab/>
            </w:r>
            <w:r w:rsidRPr="00E30884">
              <w:rPr>
                <w:rStyle w:val="Hyperlink"/>
                <w:b/>
                <w:bCs/>
                <w:noProof/>
              </w:rPr>
              <w:t>Valuation Assumptions and Limitations</w:t>
            </w:r>
            <w:r>
              <w:rPr>
                <w:noProof/>
                <w:webHidden/>
              </w:rPr>
              <w:tab/>
            </w:r>
            <w:r>
              <w:rPr>
                <w:noProof/>
                <w:webHidden/>
              </w:rPr>
              <w:fldChar w:fldCharType="begin"/>
            </w:r>
            <w:r>
              <w:rPr>
                <w:noProof/>
                <w:webHidden/>
              </w:rPr>
              <w:instrText xml:space="preserve"> PAGEREF _Toc209598732 \h </w:instrText>
            </w:r>
            <w:r>
              <w:rPr>
                <w:noProof/>
                <w:webHidden/>
              </w:rPr>
            </w:r>
            <w:r>
              <w:rPr>
                <w:noProof/>
                <w:webHidden/>
              </w:rPr>
              <w:fldChar w:fldCharType="separate"/>
            </w:r>
            <w:r>
              <w:rPr>
                <w:noProof/>
                <w:webHidden/>
              </w:rPr>
              <w:t>8</w:t>
            </w:r>
            <w:r>
              <w:rPr>
                <w:noProof/>
                <w:webHidden/>
              </w:rPr>
              <w:fldChar w:fldCharType="end"/>
            </w:r>
          </w:hyperlink>
        </w:p>
        <w:p w14:paraId="5C705D0C" w14:textId="29EDB273" w:rsidR="00A642D8" w:rsidRDefault="00A642D8">
          <w:pPr>
            <w:pStyle w:val="TOC2"/>
            <w:tabs>
              <w:tab w:val="left" w:pos="960"/>
              <w:tab w:val="right" w:leader="dot" w:pos="9016"/>
            </w:tabs>
            <w:rPr>
              <w:rFonts w:cstheme="minorBidi"/>
              <w:noProof/>
              <w:kern w:val="2"/>
              <w:sz w:val="24"/>
              <w:szCs w:val="24"/>
              <w:lang w:val="en-IN" w:eastAsia="en-IN"/>
              <w14:ligatures w14:val="standardContextual"/>
            </w:rPr>
          </w:pPr>
          <w:hyperlink w:anchor="_Toc209598733" w:history="1">
            <w:r w:rsidRPr="00E30884">
              <w:rPr>
                <w:rStyle w:val="Hyperlink"/>
                <w:b/>
                <w:bCs/>
                <w:noProof/>
              </w:rPr>
              <w:t>5.1</w:t>
            </w:r>
            <w:r>
              <w:rPr>
                <w:rFonts w:cstheme="minorBidi"/>
                <w:noProof/>
                <w:kern w:val="2"/>
                <w:sz w:val="24"/>
                <w:szCs w:val="24"/>
                <w:lang w:val="en-IN" w:eastAsia="en-IN"/>
                <w14:ligatures w14:val="standardContextual"/>
              </w:rPr>
              <w:tab/>
            </w:r>
            <w:r w:rsidRPr="00E30884">
              <w:rPr>
                <w:rStyle w:val="Hyperlink"/>
                <w:b/>
                <w:bCs/>
                <w:noProof/>
              </w:rPr>
              <w:t>Key Assumptions</w:t>
            </w:r>
            <w:r>
              <w:rPr>
                <w:noProof/>
                <w:webHidden/>
              </w:rPr>
              <w:tab/>
            </w:r>
            <w:r>
              <w:rPr>
                <w:noProof/>
                <w:webHidden/>
              </w:rPr>
              <w:fldChar w:fldCharType="begin"/>
            </w:r>
            <w:r>
              <w:rPr>
                <w:noProof/>
                <w:webHidden/>
              </w:rPr>
              <w:instrText xml:space="preserve"> PAGEREF _Toc209598733 \h </w:instrText>
            </w:r>
            <w:r>
              <w:rPr>
                <w:noProof/>
                <w:webHidden/>
              </w:rPr>
            </w:r>
            <w:r>
              <w:rPr>
                <w:noProof/>
                <w:webHidden/>
              </w:rPr>
              <w:fldChar w:fldCharType="separate"/>
            </w:r>
            <w:r>
              <w:rPr>
                <w:noProof/>
                <w:webHidden/>
              </w:rPr>
              <w:t>8</w:t>
            </w:r>
            <w:r>
              <w:rPr>
                <w:noProof/>
                <w:webHidden/>
              </w:rPr>
              <w:fldChar w:fldCharType="end"/>
            </w:r>
          </w:hyperlink>
        </w:p>
        <w:p w14:paraId="5DAE8826" w14:textId="2018BAA5" w:rsidR="00A642D8" w:rsidRDefault="00A642D8">
          <w:pPr>
            <w:pStyle w:val="TOC2"/>
            <w:tabs>
              <w:tab w:val="left" w:pos="960"/>
              <w:tab w:val="right" w:leader="dot" w:pos="9016"/>
            </w:tabs>
            <w:rPr>
              <w:rFonts w:cstheme="minorBidi"/>
              <w:noProof/>
              <w:kern w:val="2"/>
              <w:sz w:val="24"/>
              <w:szCs w:val="24"/>
              <w:lang w:val="en-IN" w:eastAsia="en-IN"/>
              <w14:ligatures w14:val="standardContextual"/>
            </w:rPr>
          </w:pPr>
          <w:hyperlink w:anchor="_Toc209598734" w:history="1">
            <w:r w:rsidRPr="00E30884">
              <w:rPr>
                <w:rStyle w:val="Hyperlink"/>
                <w:b/>
                <w:bCs/>
                <w:noProof/>
              </w:rPr>
              <w:t>5.2</w:t>
            </w:r>
            <w:r>
              <w:rPr>
                <w:rFonts w:cstheme="minorBidi"/>
                <w:noProof/>
                <w:kern w:val="2"/>
                <w:sz w:val="24"/>
                <w:szCs w:val="24"/>
                <w:lang w:val="en-IN" w:eastAsia="en-IN"/>
                <w14:ligatures w14:val="standardContextual"/>
              </w:rPr>
              <w:tab/>
            </w:r>
            <w:r w:rsidRPr="00E30884">
              <w:rPr>
                <w:rStyle w:val="Hyperlink"/>
                <w:b/>
                <w:bCs/>
                <w:noProof/>
              </w:rPr>
              <w:t>Model Limitations</w:t>
            </w:r>
            <w:r>
              <w:rPr>
                <w:noProof/>
                <w:webHidden/>
              </w:rPr>
              <w:tab/>
            </w:r>
            <w:r>
              <w:rPr>
                <w:noProof/>
                <w:webHidden/>
              </w:rPr>
              <w:fldChar w:fldCharType="begin"/>
            </w:r>
            <w:r>
              <w:rPr>
                <w:noProof/>
                <w:webHidden/>
              </w:rPr>
              <w:instrText xml:space="preserve"> PAGEREF _Toc209598734 \h </w:instrText>
            </w:r>
            <w:r>
              <w:rPr>
                <w:noProof/>
                <w:webHidden/>
              </w:rPr>
            </w:r>
            <w:r>
              <w:rPr>
                <w:noProof/>
                <w:webHidden/>
              </w:rPr>
              <w:fldChar w:fldCharType="separate"/>
            </w:r>
            <w:r>
              <w:rPr>
                <w:noProof/>
                <w:webHidden/>
              </w:rPr>
              <w:t>8</w:t>
            </w:r>
            <w:r>
              <w:rPr>
                <w:noProof/>
                <w:webHidden/>
              </w:rPr>
              <w:fldChar w:fldCharType="end"/>
            </w:r>
          </w:hyperlink>
        </w:p>
        <w:p w14:paraId="0BA9FE23" w14:textId="42E9E329" w:rsidR="00A642D8" w:rsidRDefault="00A642D8">
          <w:pPr>
            <w:pStyle w:val="TOC1"/>
            <w:tabs>
              <w:tab w:val="left" w:pos="440"/>
              <w:tab w:val="right" w:leader="dot" w:pos="9016"/>
            </w:tabs>
            <w:rPr>
              <w:rFonts w:cstheme="minorBidi"/>
              <w:noProof/>
              <w:kern w:val="2"/>
              <w:sz w:val="24"/>
              <w:szCs w:val="24"/>
              <w:lang w:val="en-IN" w:eastAsia="en-IN"/>
              <w14:ligatures w14:val="standardContextual"/>
            </w:rPr>
          </w:pPr>
          <w:hyperlink w:anchor="_Toc209598735" w:history="1">
            <w:r w:rsidRPr="00E30884">
              <w:rPr>
                <w:rStyle w:val="Hyperlink"/>
                <w:b/>
                <w:bCs/>
                <w:noProof/>
              </w:rPr>
              <w:t>6</w:t>
            </w:r>
            <w:r>
              <w:rPr>
                <w:rFonts w:cstheme="minorBidi"/>
                <w:noProof/>
                <w:kern w:val="2"/>
                <w:sz w:val="24"/>
                <w:szCs w:val="24"/>
                <w:lang w:val="en-IN" w:eastAsia="en-IN"/>
                <w14:ligatures w14:val="standardContextual"/>
              </w:rPr>
              <w:tab/>
            </w:r>
            <w:r w:rsidRPr="00E30884">
              <w:rPr>
                <w:rStyle w:val="Hyperlink"/>
                <w:b/>
                <w:bCs/>
                <w:noProof/>
              </w:rPr>
              <w:t>Appendices</w:t>
            </w:r>
            <w:r>
              <w:rPr>
                <w:noProof/>
                <w:webHidden/>
              </w:rPr>
              <w:tab/>
            </w:r>
            <w:r>
              <w:rPr>
                <w:noProof/>
                <w:webHidden/>
              </w:rPr>
              <w:fldChar w:fldCharType="begin"/>
            </w:r>
            <w:r>
              <w:rPr>
                <w:noProof/>
                <w:webHidden/>
              </w:rPr>
              <w:instrText xml:space="preserve"> PAGEREF _Toc209598735 \h </w:instrText>
            </w:r>
            <w:r>
              <w:rPr>
                <w:noProof/>
                <w:webHidden/>
              </w:rPr>
            </w:r>
            <w:r>
              <w:rPr>
                <w:noProof/>
                <w:webHidden/>
              </w:rPr>
              <w:fldChar w:fldCharType="separate"/>
            </w:r>
            <w:r>
              <w:rPr>
                <w:noProof/>
                <w:webHidden/>
              </w:rPr>
              <w:t>8</w:t>
            </w:r>
            <w:r>
              <w:rPr>
                <w:noProof/>
                <w:webHidden/>
              </w:rPr>
              <w:fldChar w:fldCharType="end"/>
            </w:r>
          </w:hyperlink>
        </w:p>
        <w:p w14:paraId="13874083" w14:textId="567079CB" w:rsidR="00A642D8" w:rsidRDefault="00A642D8">
          <w:pPr>
            <w:pStyle w:val="TOC1"/>
            <w:tabs>
              <w:tab w:val="left" w:pos="440"/>
              <w:tab w:val="right" w:leader="dot" w:pos="9016"/>
            </w:tabs>
            <w:rPr>
              <w:rFonts w:cstheme="minorBidi"/>
              <w:noProof/>
              <w:kern w:val="2"/>
              <w:sz w:val="24"/>
              <w:szCs w:val="24"/>
              <w:lang w:val="en-IN" w:eastAsia="en-IN"/>
              <w14:ligatures w14:val="standardContextual"/>
            </w:rPr>
          </w:pPr>
          <w:hyperlink w:anchor="_Toc209598736" w:history="1">
            <w:r w:rsidRPr="00E30884">
              <w:rPr>
                <w:rStyle w:val="Hyperlink"/>
                <w:b/>
                <w:bCs/>
                <w:noProof/>
              </w:rPr>
              <w:t>7</w:t>
            </w:r>
            <w:r>
              <w:rPr>
                <w:rFonts w:cstheme="minorBidi"/>
                <w:noProof/>
                <w:kern w:val="2"/>
                <w:sz w:val="24"/>
                <w:szCs w:val="24"/>
                <w:lang w:val="en-IN" w:eastAsia="en-IN"/>
                <w14:ligatures w14:val="standardContextual"/>
              </w:rPr>
              <w:tab/>
            </w:r>
            <w:r w:rsidRPr="00E30884">
              <w:rPr>
                <w:rStyle w:val="Hyperlink"/>
                <w:b/>
                <w:bCs/>
                <w:noProof/>
              </w:rPr>
              <w:t>Data Sources</w:t>
            </w:r>
            <w:r>
              <w:rPr>
                <w:noProof/>
                <w:webHidden/>
              </w:rPr>
              <w:tab/>
            </w:r>
            <w:r>
              <w:rPr>
                <w:noProof/>
                <w:webHidden/>
              </w:rPr>
              <w:fldChar w:fldCharType="begin"/>
            </w:r>
            <w:r>
              <w:rPr>
                <w:noProof/>
                <w:webHidden/>
              </w:rPr>
              <w:instrText xml:space="preserve"> PAGEREF _Toc209598736 \h </w:instrText>
            </w:r>
            <w:r>
              <w:rPr>
                <w:noProof/>
                <w:webHidden/>
              </w:rPr>
            </w:r>
            <w:r>
              <w:rPr>
                <w:noProof/>
                <w:webHidden/>
              </w:rPr>
              <w:fldChar w:fldCharType="separate"/>
            </w:r>
            <w:r>
              <w:rPr>
                <w:noProof/>
                <w:webHidden/>
              </w:rPr>
              <w:t>8</w:t>
            </w:r>
            <w:r>
              <w:rPr>
                <w:noProof/>
                <w:webHidden/>
              </w:rPr>
              <w:fldChar w:fldCharType="end"/>
            </w:r>
          </w:hyperlink>
        </w:p>
        <w:p w14:paraId="46C2931E" w14:textId="18B6F063" w:rsidR="00A642D8" w:rsidRDefault="00A642D8">
          <w:pPr>
            <w:pStyle w:val="TOC1"/>
            <w:tabs>
              <w:tab w:val="left" w:pos="440"/>
              <w:tab w:val="right" w:leader="dot" w:pos="9016"/>
            </w:tabs>
            <w:rPr>
              <w:rFonts w:cstheme="minorBidi"/>
              <w:noProof/>
              <w:kern w:val="2"/>
              <w:sz w:val="24"/>
              <w:szCs w:val="24"/>
              <w:lang w:val="en-IN" w:eastAsia="en-IN"/>
              <w14:ligatures w14:val="standardContextual"/>
            </w:rPr>
          </w:pPr>
          <w:hyperlink w:anchor="_Toc209598737" w:history="1">
            <w:r w:rsidRPr="00E30884">
              <w:rPr>
                <w:rStyle w:val="Hyperlink"/>
                <w:b/>
                <w:bCs/>
                <w:noProof/>
              </w:rPr>
              <w:t>8</w:t>
            </w:r>
            <w:r>
              <w:rPr>
                <w:rFonts w:cstheme="minorBidi"/>
                <w:noProof/>
                <w:kern w:val="2"/>
                <w:sz w:val="24"/>
                <w:szCs w:val="24"/>
                <w:lang w:val="en-IN" w:eastAsia="en-IN"/>
                <w14:ligatures w14:val="standardContextual"/>
              </w:rPr>
              <w:tab/>
            </w:r>
            <w:r w:rsidRPr="00E30884">
              <w:rPr>
                <w:rStyle w:val="Hyperlink"/>
                <w:b/>
                <w:bCs/>
                <w:noProof/>
              </w:rPr>
              <w:t>Disclaimer</w:t>
            </w:r>
            <w:r>
              <w:rPr>
                <w:noProof/>
                <w:webHidden/>
              </w:rPr>
              <w:tab/>
            </w:r>
            <w:r>
              <w:rPr>
                <w:noProof/>
                <w:webHidden/>
              </w:rPr>
              <w:fldChar w:fldCharType="begin"/>
            </w:r>
            <w:r>
              <w:rPr>
                <w:noProof/>
                <w:webHidden/>
              </w:rPr>
              <w:instrText xml:space="preserve"> PAGEREF _Toc209598737 \h </w:instrText>
            </w:r>
            <w:r>
              <w:rPr>
                <w:noProof/>
                <w:webHidden/>
              </w:rPr>
            </w:r>
            <w:r>
              <w:rPr>
                <w:noProof/>
                <w:webHidden/>
              </w:rPr>
              <w:fldChar w:fldCharType="separate"/>
            </w:r>
            <w:r>
              <w:rPr>
                <w:noProof/>
                <w:webHidden/>
              </w:rPr>
              <w:t>9</w:t>
            </w:r>
            <w:r>
              <w:rPr>
                <w:noProof/>
                <w:webHidden/>
              </w:rPr>
              <w:fldChar w:fldCharType="end"/>
            </w:r>
          </w:hyperlink>
        </w:p>
        <w:p w14:paraId="360EEEDC" w14:textId="43786671" w:rsidR="00E5131F" w:rsidRDefault="00820DE1" w:rsidP="000D7DB6">
          <w:pPr>
            <w:pStyle w:val="TOC1"/>
            <w:tabs>
              <w:tab w:val="left" w:pos="440"/>
              <w:tab w:val="right" w:leader="dot" w:pos="9016"/>
            </w:tabs>
          </w:pPr>
          <w:r>
            <w:fldChar w:fldCharType="end"/>
          </w:r>
        </w:p>
      </w:sdtContent>
    </w:sdt>
    <w:p w14:paraId="4ED2D432" w14:textId="77777777" w:rsidR="0060510A" w:rsidRDefault="0060510A" w:rsidP="0060510A">
      <w:pPr>
        <w:spacing w:after="0" w:line="276" w:lineRule="auto"/>
      </w:pPr>
    </w:p>
    <w:p w14:paraId="10BDABD5" w14:textId="77777777" w:rsidR="006425AC" w:rsidRDefault="006425AC" w:rsidP="0060510A">
      <w:pPr>
        <w:spacing w:after="0" w:line="276" w:lineRule="auto"/>
      </w:pPr>
    </w:p>
    <w:p w14:paraId="5A54D3FD" w14:textId="77777777" w:rsidR="006425AC" w:rsidRDefault="006425AC" w:rsidP="0060510A">
      <w:pPr>
        <w:spacing w:after="0" w:line="276" w:lineRule="auto"/>
      </w:pPr>
    </w:p>
    <w:p w14:paraId="1326DA0C" w14:textId="77777777" w:rsidR="006425AC" w:rsidRDefault="006425AC" w:rsidP="0060510A">
      <w:pPr>
        <w:spacing w:after="0" w:line="276" w:lineRule="auto"/>
      </w:pPr>
    </w:p>
    <w:p w14:paraId="627B486E" w14:textId="77777777" w:rsidR="006425AC" w:rsidRDefault="006425AC" w:rsidP="0060510A">
      <w:pPr>
        <w:spacing w:after="0" w:line="276" w:lineRule="auto"/>
      </w:pPr>
    </w:p>
    <w:p w14:paraId="453F6C44" w14:textId="77777777" w:rsidR="006425AC" w:rsidRDefault="006425AC" w:rsidP="0060510A">
      <w:pPr>
        <w:spacing w:after="0" w:line="276" w:lineRule="auto"/>
      </w:pPr>
    </w:p>
    <w:p w14:paraId="578D601D" w14:textId="77777777" w:rsidR="006425AC" w:rsidRDefault="006425AC" w:rsidP="0060510A">
      <w:pPr>
        <w:spacing w:after="0" w:line="276" w:lineRule="auto"/>
      </w:pPr>
    </w:p>
    <w:p w14:paraId="77E6A4B2" w14:textId="77777777" w:rsidR="006425AC" w:rsidRDefault="006425AC" w:rsidP="0060510A">
      <w:pPr>
        <w:spacing w:after="0" w:line="276" w:lineRule="auto"/>
      </w:pPr>
    </w:p>
    <w:p w14:paraId="19DC3CD8" w14:textId="77777777" w:rsidR="006425AC" w:rsidRDefault="006425AC" w:rsidP="0060510A">
      <w:pPr>
        <w:spacing w:after="0" w:line="276" w:lineRule="auto"/>
      </w:pPr>
    </w:p>
    <w:p w14:paraId="4F53BFA6" w14:textId="77777777" w:rsidR="006425AC" w:rsidRDefault="006425AC" w:rsidP="0060510A">
      <w:pPr>
        <w:spacing w:after="0" w:line="276" w:lineRule="auto"/>
      </w:pPr>
    </w:p>
    <w:p w14:paraId="37AD895D" w14:textId="77777777" w:rsidR="006425AC" w:rsidRDefault="006425AC" w:rsidP="0060510A">
      <w:pPr>
        <w:spacing w:after="0" w:line="276" w:lineRule="auto"/>
      </w:pPr>
    </w:p>
    <w:p w14:paraId="08BBEF60" w14:textId="77777777" w:rsidR="006425AC" w:rsidRDefault="006425AC" w:rsidP="0060510A">
      <w:pPr>
        <w:spacing w:after="0" w:line="276" w:lineRule="auto"/>
      </w:pPr>
    </w:p>
    <w:p w14:paraId="3729C496" w14:textId="77777777" w:rsidR="006425AC" w:rsidRDefault="006425AC" w:rsidP="0060510A">
      <w:pPr>
        <w:spacing w:after="0" w:line="276" w:lineRule="auto"/>
      </w:pPr>
    </w:p>
    <w:p w14:paraId="25BC1B11" w14:textId="77777777" w:rsidR="006425AC" w:rsidRDefault="006425AC" w:rsidP="0060510A">
      <w:pPr>
        <w:spacing w:after="0" w:line="276" w:lineRule="auto"/>
      </w:pPr>
    </w:p>
    <w:p w14:paraId="75BED820" w14:textId="77777777" w:rsidR="006425AC" w:rsidRDefault="006425AC" w:rsidP="0060510A">
      <w:pPr>
        <w:spacing w:after="0" w:line="276" w:lineRule="auto"/>
      </w:pPr>
    </w:p>
    <w:p w14:paraId="5038CF54" w14:textId="77777777" w:rsidR="006425AC" w:rsidRDefault="006425AC" w:rsidP="0060510A">
      <w:pPr>
        <w:spacing w:after="0" w:line="276" w:lineRule="auto"/>
      </w:pPr>
    </w:p>
    <w:p w14:paraId="3AC05855" w14:textId="3E39EA00" w:rsidR="006D51A6" w:rsidRPr="00502318" w:rsidRDefault="006D51A6" w:rsidP="00502318">
      <w:pPr>
        <w:pStyle w:val="Heading1"/>
        <w:spacing w:before="0" w:after="0" w:line="276" w:lineRule="auto"/>
        <w:rPr>
          <w:b/>
          <w:bCs/>
          <w:color w:val="auto"/>
        </w:rPr>
      </w:pPr>
      <w:bookmarkStart w:id="1" w:name="_Toc209598720"/>
      <w:r w:rsidRPr="00502318">
        <w:rPr>
          <w:b/>
          <w:bCs/>
          <w:color w:val="auto"/>
        </w:rPr>
        <w:lastRenderedPageBreak/>
        <w:t>Executive Summary</w:t>
      </w:r>
      <w:bookmarkEnd w:id="1"/>
    </w:p>
    <w:p w14:paraId="00097C5D" w14:textId="77777777" w:rsidR="006D51A6" w:rsidRPr="00820B00" w:rsidRDefault="006D51A6" w:rsidP="00D72896">
      <w:pPr>
        <w:spacing w:after="0" w:line="276" w:lineRule="auto"/>
        <w:jc w:val="both"/>
        <w:rPr>
          <w:rFonts w:ascii="Arial" w:hAnsi="Arial" w:cs="Arial"/>
        </w:rPr>
      </w:pPr>
      <w:r w:rsidRPr="00820B00">
        <w:rPr>
          <w:rFonts w:ascii="Arial" w:hAnsi="Arial" w:cs="Arial"/>
        </w:rPr>
        <w:t>This report provides a comprehensive valuation of the National Stock Exchange of India Limited (NSE) in anticipation of its proposed Initial Public Offering (IPO). Our analysis, which combines a Discounted Cash Flow (DCF) model and a Comparable Company Analysis (CCA), establishes a final target price for the IPO.</w:t>
      </w:r>
    </w:p>
    <w:p w14:paraId="3A14A83D" w14:textId="77777777" w:rsidR="00602E8F" w:rsidRPr="00820B00" w:rsidRDefault="00602E8F" w:rsidP="00D72896">
      <w:pPr>
        <w:spacing w:after="0" w:line="276" w:lineRule="auto"/>
        <w:jc w:val="both"/>
        <w:rPr>
          <w:rFonts w:ascii="Arial" w:hAnsi="Arial" w:cs="Arial"/>
        </w:rPr>
      </w:pPr>
    </w:p>
    <w:p w14:paraId="06F4BA34" w14:textId="77777777" w:rsidR="006D51A6" w:rsidRPr="00820B00" w:rsidRDefault="006D51A6" w:rsidP="00D72896">
      <w:pPr>
        <w:spacing w:after="0" w:line="276" w:lineRule="auto"/>
        <w:jc w:val="both"/>
        <w:rPr>
          <w:rFonts w:ascii="Arial" w:hAnsi="Arial" w:cs="Arial"/>
        </w:rPr>
      </w:pPr>
      <w:r w:rsidRPr="00820B00">
        <w:rPr>
          <w:rFonts w:ascii="Arial" w:hAnsi="Arial" w:cs="Arial"/>
        </w:rPr>
        <w:t xml:space="preserve">Based on our two-tiered valuation, the company’s intrinsic value, derived from the DCF model, is </w:t>
      </w:r>
      <w:r w:rsidRPr="00820B00">
        <w:rPr>
          <w:rFonts w:ascii="Arial" w:hAnsi="Arial" w:cs="Arial"/>
          <w:b/>
          <w:bCs/>
        </w:rPr>
        <w:t>₹4,477.87 per share</w:t>
      </w:r>
      <w:r w:rsidRPr="00820B00">
        <w:rPr>
          <w:rFonts w:ascii="Arial" w:hAnsi="Arial" w:cs="Arial"/>
        </w:rPr>
        <w:t xml:space="preserve">, while its relative value, based on comparable market multiples, is </w:t>
      </w:r>
      <w:r w:rsidRPr="00820B00">
        <w:rPr>
          <w:rFonts w:ascii="Arial" w:hAnsi="Arial" w:cs="Arial"/>
          <w:b/>
          <w:bCs/>
        </w:rPr>
        <w:t>₹3,412.99 per share</w:t>
      </w:r>
      <w:r w:rsidRPr="00820B00">
        <w:rPr>
          <w:rFonts w:ascii="Arial" w:hAnsi="Arial" w:cs="Arial"/>
        </w:rPr>
        <w:t xml:space="preserve">. Our final target price for the IPO is </w:t>
      </w:r>
      <w:r w:rsidRPr="00820B00">
        <w:rPr>
          <w:rFonts w:ascii="Arial" w:hAnsi="Arial" w:cs="Arial"/>
          <w:b/>
          <w:bCs/>
        </w:rPr>
        <w:t>₹3,945.43 per share</w:t>
      </w:r>
      <w:r w:rsidRPr="00820B00">
        <w:rPr>
          <w:rFonts w:ascii="Arial" w:hAnsi="Arial" w:cs="Arial"/>
        </w:rPr>
        <w:t>, derived as a simple average of these two valuation methodologies.</w:t>
      </w:r>
    </w:p>
    <w:p w14:paraId="68BE9701" w14:textId="77777777" w:rsidR="00602E8F" w:rsidRPr="00820B00" w:rsidRDefault="00602E8F" w:rsidP="00D72896">
      <w:pPr>
        <w:spacing w:after="0" w:line="276" w:lineRule="auto"/>
        <w:jc w:val="both"/>
        <w:rPr>
          <w:rFonts w:ascii="Arial" w:hAnsi="Arial" w:cs="Arial"/>
        </w:rPr>
      </w:pPr>
    </w:p>
    <w:p w14:paraId="75981C21" w14:textId="77777777" w:rsidR="006D51A6" w:rsidRPr="00820B00" w:rsidRDefault="006D51A6" w:rsidP="00D72896">
      <w:pPr>
        <w:spacing w:after="0" w:line="276" w:lineRule="auto"/>
        <w:jc w:val="both"/>
        <w:rPr>
          <w:rFonts w:ascii="Arial" w:hAnsi="Arial" w:cs="Arial"/>
        </w:rPr>
      </w:pPr>
      <w:r w:rsidRPr="00820B00">
        <w:rPr>
          <w:rFonts w:ascii="Arial" w:hAnsi="Arial" w:cs="Arial"/>
        </w:rPr>
        <w:t xml:space="preserve">The valuation is supported by NSE’s robust financial performance, highlighted by its high net profit margins of </w:t>
      </w:r>
      <w:r w:rsidRPr="00820B00">
        <w:rPr>
          <w:rFonts w:ascii="Arial" w:hAnsi="Arial" w:cs="Arial"/>
          <w:b/>
          <w:bCs/>
        </w:rPr>
        <w:t>66.97%</w:t>
      </w:r>
      <w:r w:rsidRPr="00820B00">
        <w:rPr>
          <w:rFonts w:ascii="Arial" w:hAnsi="Arial" w:cs="Arial"/>
        </w:rPr>
        <w:t xml:space="preserve"> and a strong current ratio of </w:t>
      </w:r>
      <w:r w:rsidRPr="00820B00">
        <w:rPr>
          <w:rFonts w:ascii="Arial" w:hAnsi="Arial" w:cs="Arial"/>
          <w:b/>
          <w:bCs/>
        </w:rPr>
        <w:t>3.87</w:t>
      </w:r>
      <w:r w:rsidRPr="00820B00">
        <w:rPr>
          <w:rFonts w:ascii="Arial" w:hAnsi="Arial" w:cs="Arial"/>
        </w:rPr>
        <w:t xml:space="preserve"> projected by 2030. The company’s long-term growth potential is reflected in our forecasted 2030 financials, including revenue of </w:t>
      </w:r>
      <w:r w:rsidRPr="00820B00">
        <w:rPr>
          <w:rFonts w:ascii="Arial" w:hAnsi="Arial" w:cs="Arial"/>
          <w:b/>
          <w:bCs/>
        </w:rPr>
        <w:t>₹39,182.78 crore</w:t>
      </w:r>
      <w:r w:rsidRPr="00820B00">
        <w:rPr>
          <w:rFonts w:ascii="Arial" w:hAnsi="Arial" w:cs="Arial"/>
        </w:rPr>
        <w:t xml:space="preserve">, PAT of </w:t>
      </w:r>
      <w:r w:rsidRPr="00820B00">
        <w:rPr>
          <w:rFonts w:ascii="Arial" w:hAnsi="Arial" w:cs="Arial"/>
          <w:b/>
          <w:bCs/>
        </w:rPr>
        <w:t>₹26,239.58 crore</w:t>
      </w:r>
      <w:r w:rsidRPr="00820B00">
        <w:rPr>
          <w:rFonts w:ascii="Arial" w:hAnsi="Arial" w:cs="Arial"/>
        </w:rPr>
        <w:t xml:space="preserve">, and an EPS of </w:t>
      </w:r>
      <w:r w:rsidRPr="00820B00">
        <w:rPr>
          <w:rFonts w:ascii="Arial" w:hAnsi="Arial" w:cs="Arial"/>
          <w:b/>
          <w:bCs/>
        </w:rPr>
        <w:t>₹106.02</w:t>
      </w:r>
      <w:r w:rsidRPr="00820B00">
        <w:rPr>
          <w:rFonts w:ascii="Arial" w:hAnsi="Arial" w:cs="Arial"/>
        </w:rPr>
        <w:t>.</w:t>
      </w:r>
    </w:p>
    <w:p w14:paraId="1C9F7F04" w14:textId="77777777" w:rsidR="00605094" w:rsidRPr="00820B00" w:rsidRDefault="00605094" w:rsidP="00D72896">
      <w:pPr>
        <w:spacing w:after="0" w:line="276" w:lineRule="auto"/>
        <w:jc w:val="both"/>
        <w:rPr>
          <w:rFonts w:ascii="Arial" w:hAnsi="Arial" w:cs="Arial"/>
        </w:rPr>
      </w:pPr>
    </w:p>
    <w:p w14:paraId="677C112B" w14:textId="77777777" w:rsidR="006D51A6" w:rsidRPr="00820B00" w:rsidRDefault="006D51A6" w:rsidP="00D72896">
      <w:pPr>
        <w:spacing w:after="0" w:line="276" w:lineRule="auto"/>
        <w:jc w:val="both"/>
        <w:rPr>
          <w:rFonts w:ascii="Arial" w:hAnsi="Arial" w:cs="Arial"/>
        </w:rPr>
      </w:pPr>
      <w:r w:rsidRPr="00820B00">
        <w:rPr>
          <w:rFonts w:ascii="Arial" w:hAnsi="Arial" w:cs="Arial"/>
        </w:rPr>
        <w:t xml:space="preserve">It is important to note that this IPO is structured as an </w:t>
      </w:r>
      <w:r w:rsidRPr="00820B00">
        <w:rPr>
          <w:rFonts w:ascii="Arial" w:hAnsi="Arial" w:cs="Arial"/>
          <w:b/>
          <w:bCs/>
        </w:rPr>
        <w:t>Offer for Sale (OFS)</w:t>
      </w:r>
      <w:r w:rsidRPr="00820B00">
        <w:rPr>
          <w:rFonts w:ascii="Arial" w:hAnsi="Arial" w:cs="Arial"/>
        </w:rPr>
        <w:t>. The company itself is not raising new capital for strategic goals like expansion or debt repayment. Instead, the proceeds will go directly to existing shareholders selling their equity. Our valuation, therefore, is an assessment of the fair value of these shares being sold.</w:t>
      </w:r>
    </w:p>
    <w:p w14:paraId="65E890FF" w14:textId="77777777" w:rsidR="00605094" w:rsidRPr="00820B00" w:rsidRDefault="00605094" w:rsidP="00D72896">
      <w:pPr>
        <w:spacing w:after="0" w:line="276" w:lineRule="auto"/>
        <w:jc w:val="both"/>
        <w:rPr>
          <w:rFonts w:ascii="Arial" w:hAnsi="Arial" w:cs="Arial"/>
        </w:rPr>
      </w:pPr>
    </w:p>
    <w:p w14:paraId="1DAB9E14" w14:textId="77777777" w:rsidR="006D51A6" w:rsidRPr="00820B00" w:rsidRDefault="006D51A6" w:rsidP="00D72896">
      <w:pPr>
        <w:spacing w:after="0" w:line="276" w:lineRule="auto"/>
        <w:jc w:val="both"/>
        <w:rPr>
          <w:rFonts w:ascii="Arial" w:hAnsi="Arial" w:cs="Arial"/>
        </w:rPr>
      </w:pPr>
      <w:r w:rsidRPr="00820B00">
        <w:rPr>
          <w:rFonts w:ascii="Arial" w:hAnsi="Arial" w:cs="Arial"/>
        </w:rPr>
        <w:t>The final recommendation is to proceed with the IPO at the calculated target price, as it accurately reflects NSE’s market leadership, strong financial performance, and dominant position within India's growing capital markets.</w:t>
      </w:r>
    </w:p>
    <w:p w14:paraId="1C5C3455" w14:textId="77777777" w:rsidR="00F47709" w:rsidRPr="00820B00" w:rsidRDefault="00F47709" w:rsidP="00D72896">
      <w:pPr>
        <w:spacing w:after="0" w:line="276" w:lineRule="auto"/>
        <w:jc w:val="both"/>
        <w:rPr>
          <w:rFonts w:ascii="Arial" w:hAnsi="Arial" w:cs="Arial"/>
        </w:rPr>
      </w:pPr>
    </w:p>
    <w:p w14:paraId="6E06E965" w14:textId="77777777" w:rsidR="00BD7924" w:rsidRPr="003B7D53" w:rsidRDefault="00BD7924" w:rsidP="003B7D53">
      <w:pPr>
        <w:pStyle w:val="Heading1"/>
        <w:spacing w:before="0" w:after="0" w:line="276" w:lineRule="auto"/>
        <w:rPr>
          <w:b/>
          <w:bCs/>
          <w:color w:val="auto"/>
        </w:rPr>
      </w:pPr>
      <w:bookmarkStart w:id="2" w:name="_Toc209598721"/>
      <w:r w:rsidRPr="003B7D53">
        <w:rPr>
          <w:b/>
          <w:bCs/>
          <w:color w:val="auto"/>
        </w:rPr>
        <w:t>Financial Analysis &amp; Valuation</w:t>
      </w:r>
      <w:bookmarkEnd w:id="2"/>
    </w:p>
    <w:p w14:paraId="1A34B444" w14:textId="4DF909AC" w:rsidR="00BD7924" w:rsidRDefault="00BD7924" w:rsidP="00D72896">
      <w:pPr>
        <w:spacing w:after="0" w:line="276" w:lineRule="auto"/>
        <w:jc w:val="both"/>
        <w:rPr>
          <w:rFonts w:ascii="Arial" w:hAnsi="Arial" w:cs="Arial"/>
        </w:rPr>
      </w:pPr>
      <w:r w:rsidRPr="00820B00">
        <w:rPr>
          <w:rFonts w:ascii="Arial" w:hAnsi="Arial" w:cs="Arial"/>
        </w:rPr>
        <w:t>This section presents the quantitative evidence and methodologies used to derive the valuation of NSE, including a Discounted Cash Flow (DCF) model and a Comparable Company Analysis (CCA).</w:t>
      </w:r>
    </w:p>
    <w:p w14:paraId="5DC0A316" w14:textId="77777777" w:rsidR="00820B00" w:rsidRPr="00820B00" w:rsidRDefault="00820B00" w:rsidP="00D72896">
      <w:pPr>
        <w:spacing w:after="0" w:line="276" w:lineRule="auto"/>
        <w:jc w:val="both"/>
        <w:rPr>
          <w:rFonts w:ascii="Arial" w:hAnsi="Arial" w:cs="Arial"/>
        </w:rPr>
      </w:pPr>
    </w:p>
    <w:p w14:paraId="72F44FD2" w14:textId="77777777" w:rsidR="00BD7924" w:rsidRPr="00E95F28" w:rsidRDefault="00BD7924" w:rsidP="00E95F28">
      <w:pPr>
        <w:pStyle w:val="Heading2"/>
        <w:spacing w:before="0" w:after="0" w:line="276" w:lineRule="auto"/>
        <w:jc w:val="both"/>
        <w:rPr>
          <w:b/>
          <w:bCs/>
          <w:color w:val="auto"/>
        </w:rPr>
      </w:pPr>
      <w:bookmarkStart w:id="3" w:name="_Toc209598722"/>
      <w:r w:rsidRPr="00E95F28">
        <w:rPr>
          <w:b/>
          <w:bCs/>
          <w:color w:val="auto"/>
        </w:rPr>
        <w:t>Discounted Cash Flow (DCF) Valuation</w:t>
      </w:r>
      <w:bookmarkEnd w:id="3"/>
    </w:p>
    <w:p w14:paraId="21A71132" w14:textId="77777777" w:rsidR="00BD7924" w:rsidRDefault="00BD7924" w:rsidP="00D72896">
      <w:pPr>
        <w:spacing w:after="0" w:line="276" w:lineRule="auto"/>
        <w:jc w:val="both"/>
        <w:rPr>
          <w:rFonts w:ascii="Arial" w:hAnsi="Arial" w:cs="Arial"/>
        </w:rPr>
      </w:pPr>
      <w:r w:rsidRPr="00820B00">
        <w:rPr>
          <w:rFonts w:ascii="Arial" w:hAnsi="Arial" w:cs="Arial"/>
        </w:rPr>
        <w:t>Our primary valuation model is a DCF analysis, which estimates NSE’s intrinsic value by forecasting its future Unlevered Free Cash Flow (UFCF) and discounting it back to the present. The valuation is based on a Weighted Average Cost of Capital (WACC), which represents the minimum required rate of return for investors.</w:t>
      </w:r>
    </w:p>
    <w:p w14:paraId="790CA16D" w14:textId="77777777" w:rsidR="00820B00" w:rsidRPr="00820B00" w:rsidRDefault="00820B00" w:rsidP="00D72896">
      <w:pPr>
        <w:spacing w:after="0" w:line="276" w:lineRule="auto"/>
        <w:jc w:val="both"/>
        <w:rPr>
          <w:rFonts w:ascii="Arial" w:hAnsi="Arial" w:cs="Arial"/>
        </w:rPr>
      </w:pPr>
    </w:p>
    <w:p w14:paraId="214B5FD7" w14:textId="77777777" w:rsidR="00BD7924" w:rsidRPr="00820B00" w:rsidRDefault="00BD7924" w:rsidP="000D7DB6">
      <w:pPr>
        <w:spacing w:after="0" w:line="276" w:lineRule="auto"/>
        <w:ind w:left="567"/>
        <w:jc w:val="both"/>
        <w:rPr>
          <w:rFonts w:ascii="Arial" w:hAnsi="Arial" w:cs="Arial"/>
        </w:rPr>
      </w:pPr>
      <w:r w:rsidRPr="00820B00">
        <w:rPr>
          <w:rFonts w:ascii="Arial" w:hAnsi="Arial" w:cs="Arial"/>
          <w:b/>
          <w:bCs/>
        </w:rPr>
        <w:t>1. Weighted Average Cost of Capital (WACC)</w:t>
      </w:r>
      <w:r w:rsidRPr="00820B00">
        <w:rPr>
          <w:rFonts w:ascii="Arial" w:hAnsi="Arial" w:cs="Arial"/>
        </w:rPr>
        <w:t xml:space="preserve"> Given NSE’s zero-debt capital structure, its WACC is equivalent to its Cost of Equity. The WACC was calculated at </w:t>
      </w:r>
      <w:r w:rsidRPr="00820B00">
        <w:rPr>
          <w:rFonts w:ascii="Arial" w:hAnsi="Arial" w:cs="Arial"/>
          <w:b/>
          <w:bCs/>
        </w:rPr>
        <w:t>7.66%</w:t>
      </w:r>
      <w:r w:rsidRPr="00820B00">
        <w:rPr>
          <w:rFonts w:ascii="Arial" w:hAnsi="Arial" w:cs="Arial"/>
        </w:rPr>
        <w:t>, based on a risk-free rate of 6.49%, a market risk premium of 5.15%, and a beta of 0.23.</w:t>
      </w:r>
    </w:p>
    <w:p w14:paraId="63A8892E" w14:textId="77777777" w:rsidR="00BD7924" w:rsidRPr="00820B00" w:rsidRDefault="00BD7924" w:rsidP="000D7DB6">
      <w:pPr>
        <w:spacing w:after="0" w:line="276" w:lineRule="auto"/>
        <w:ind w:left="567"/>
        <w:jc w:val="both"/>
        <w:rPr>
          <w:rFonts w:ascii="Arial" w:hAnsi="Arial" w:cs="Arial"/>
        </w:rPr>
      </w:pPr>
      <w:r w:rsidRPr="00820B00">
        <w:rPr>
          <w:rFonts w:ascii="Arial" w:hAnsi="Arial" w:cs="Arial"/>
          <w:b/>
          <w:bCs/>
        </w:rPr>
        <w:lastRenderedPageBreak/>
        <w:t>2. Unlevered Free Cash Flow (UFCF) Projections</w:t>
      </w:r>
      <w:r w:rsidRPr="00820B00">
        <w:rPr>
          <w:rFonts w:ascii="Arial" w:hAnsi="Arial" w:cs="Arial"/>
        </w:rPr>
        <w:t xml:space="preserve"> The following table summarizes our forecasted UFCF for the five-year projection period, reflecting expected growth in key revenue streams.</w:t>
      </w:r>
    </w:p>
    <w:tbl>
      <w:tblPr>
        <w:tblStyle w:val="TableGrid"/>
        <w:tblW w:w="0" w:type="auto"/>
        <w:tblInd w:w="720" w:type="dxa"/>
        <w:tblLook w:val="04A0" w:firstRow="1" w:lastRow="0" w:firstColumn="1" w:lastColumn="0" w:noHBand="0" w:noVBand="1"/>
      </w:tblPr>
      <w:tblGrid>
        <w:gridCol w:w="1450"/>
        <w:gridCol w:w="3260"/>
      </w:tblGrid>
      <w:tr w:rsidR="00EC0289" w:rsidRPr="00820B00" w14:paraId="10562E51" w14:textId="77777777" w:rsidTr="000D7DB6">
        <w:tc>
          <w:tcPr>
            <w:tcW w:w="988" w:type="dxa"/>
          </w:tcPr>
          <w:p w14:paraId="14B02A8A" w14:textId="51AA03D6" w:rsidR="00EC0289" w:rsidRPr="00820B00" w:rsidRDefault="006A51D7" w:rsidP="000D7DB6">
            <w:pPr>
              <w:spacing w:line="276" w:lineRule="auto"/>
              <w:ind w:left="567"/>
              <w:jc w:val="both"/>
              <w:rPr>
                <w:rFonts w:ascii="Arial" w:hAnsi="Arial" w:cs="Arial"/>
                <w:b/>
                <w:bCs/>
              </w:rPr>
            </w:pPr>
            <w:r w:rsidRPr="00820B00">
              <w:rPr>
                <w:rFonts w:ascii="Arial" w:hAnsi="Arial" w:cs="Arial"/>
                <w:b/>
                <w:bCs/>
              </w:rPr>
              <w:t>YEAR</w:t>
            </w:r>
          </w:p>
        </w:tc>
        <w:tc>
          <w:tcPr>
            <w:tcW w:w="3260" w:type="dxa"/>
          </w:tcPr>
          <w:p w14:paraId="455CB345" w14:textId="3E627D18" w:rsidR="00EC0289" w:rsidRPr="00820B00" w:rsidRDefault="006A51D7" w:rsidP="000D7DB6">
            <w:pPr>
              <w:spacing w:line="276" w:lineRule="auto"/>
              <w:ind w:left="567"/>
              <w:jc w:val="both"/>
              <w:rPr>
                <w:rFonts w:ascii="Arial" w:hAnsi="Arial" w:cs="Arial"/>
                <w:b/>
                <w:bCs/>
              </w:rPr>
            </w:pPr>
            <w:r w:rsidRPr="00820B00">
              <w:rPr>
                <w:rFonts w:ascii="Arial" w:hAnsi="Arial" w:cs="Arial"/>
                <w:b/>
                <w:bCs/>
              </w:rPr>
              <w:t>FOCASTED UFCF (₹ crore)</w:t>
            </w:r>
          </w:p>
        </w:tc>
      </w:tr>
      <w:tr w:rsidR="00EC0289" w:rsidRPr="00820B00" w14:paraId="5199792D" w14:textId="77777777" w:rsidTr="000D7DB6">
        <w:tc>
          <w:tcPr>
            <w:tcW w:w="988" w:type="dxa"/>
          </w:tcPr>
          <w:p w14:paraId="553BA181" w14:textId="14D0F242" w:rsidR="006A51D7" w:rsidRPr="00820B00" w:rsidRDefault="006A51D7" w:rsidP="000D7DB6">
            <w:pPr>
              <w:spacing w:line="276" w:lineRule="auto"/>
              <w:ind w:left="567"/>
              <w:jc w:val="both"/>
              <w:rPr>
                <w:rFonts w:ascii="Arial" w:hAnsi="Arial" w:cs="Arial"/>
              </w:rPr>
            </w:pPr>
            <w:r w:rsidRPr="00820B00">
              <w:rPr>
                <w:rFonts w:ascii="Arial" w:hAnsi="Arial" w:cs="Arial"/>
              </w:rPr>
              <w:t>2026</w:t>
            </w:r>
          </w:p>
        </w:tc>
        <w:tc>
          <w:tcPr>
            <w:tcW w:w="3260" w:type="dxa"/>
          </w:tcPr>
          <w:p w14:paraId="6BAFC806" w14:textId="047F957F" w:rsidR="00EC0289" w:rsidRPr="00820B00" w:rsidRDefault="008B5EEF" w:rsidP="000D7DB6">
            <w:pPr>
              <w:spacing w:line="276" w:lineRule="auto"/>
              <w:ind w:left="567"/>
              <w:jc w:val="both"/>
              <w:rPr>
                <w:rFonts w:ascii="Arial" w:hAnsi="Arial" w:cs="Arial"/>
              </w:rPr>
            </w:pPr>
            <w:r w:rsidRPr="00820B00">
              <w:rPr>
                <w:rFonts w:ascii="Arial" w:eastAsia="Times New Roman" w:hAnsi="Arial" w:cs="Arial"/>
                <w:color w:val="000000"/>
                <w:kern w:val="0"/>
                <w:lang w:eastAsia="en-IN"/>
                <w14:ligatures w14:val="none"/>
              </w:rPr>
              <w:t>₹ 11,736.41</w:t>
            </w:r>
          </w:p>
        </w:tc>
      </w:tr>
      <w:tr w:rsidR="008B5EEF" w:rsidRPr="00820B00" w14:paraId="32D2EA22" w14:textId="77777777" w:rsidTr="000D7DB6">
        <w:tc>
          <w:tcPr>
            <w:tcW w:w="988" w:type="dxa"/>
          </w:tcPr>
          <w:p w14:paraId="07CA9BE0" w14:textId="6AF43815" w:rsidR="008B5EEF" w:rsidRPr="00820B00" w:rsidRDefault="008B5EEF" w:rsidP="000D7DB6">
            <w:pPr>
              <w:spacing w:line="276" w:lineRule="auto"/>
              <w:ind w:left="567"/>
              <w:jc w:val="both"/>
              <w:rPr>
                <w:rFonts w:ascii="Arial" w:hAnsi="Arial" w:cs="Arial"/>
              </w:rPr>
            </w:pPr>
            <w:r w:rsidRPr="00820B00">
              <w:rPr>
                <w:rFonts w:ascii="Arial" w:hAnsi="Arial" w:cs="Arial"/>
              </w:rPr>
              <w:t>2027</w:t>
            </w:r>
          </w:p>
        </w:tc>
        <w:tc>
          <w:tcPr>
            <w:tcW w:w="3260" w:type="dxa"/>
            <w:vAlign w:val="bottom"/>
          </w:tcPr>
          <w:p w14:paraId="02CAA2C4" w14:textId="0CB11F79" w:rsidR="008B5EEF" w:rsidRPr="00820B00" w:rsidRDefault="008B5EEF" w:rsidP="000D7DB6">
            <w:pPr>
              <w:spacing w:line="276" w:lineRule="auto"/>
              <w:ind w:left="567"/>
              <w:jc w:val="both"/>
              <w:rPr>
                <w:rFonts w:ascii="Arial" w:hAnsi="Arial" w:cs="Arial"/>
              </w:rPr>
            </w:pPr>
            <w:r w:rsidRPr="00820B00">
              <w:rPr>
                <w:rFonts w:ascii="Arial" w:eastAsia="Times New Roman" w:hAnsi="Arial" w:cs="Arial"/>
                <w:color w:val="000000"/>
                <w:kern w:val="0"/>
                <w:lang w:eastAsia="en-IN"/>
                <w14:ligatures w14:val="none"/>
              </w:rPr>
              <w:t>₹ 17,559.30</w:t>
            </w:r>
          </w:p>
        </w:tc>
      </w:tr>
      <w:tr w:rsidR="008B5EEF" w:rsidRPr="00820B00" w14:paraId="6BED9C66" w14:textId="77777777" w:rsidTr="000D7DB6">
        <w:tc>
          <w:tcPr>
            <w:tcW w:w="988" w:type="dxa"/>
          </w:tcPr>
          <w:p w14:paraId="606CE548" w14:textId="327BE3D5" w:rsidR="008B5EEF" w:rsidRPr="00820B00" w:rsidRDefault="008B5EEF" w:rsidP="000D7DB6">
            <w:pPr>
              <w:spacing w:line="276" w:lineRule="auto"/>
              <w:ind w:left="567"/>
              <w:jc w:val="both"/>
              <w:rPr>
                <w:rFonts w:ascii="Arial" w:hAnsi="Arial" w:cs="Arial"/>
              </w:rPr>
            </w:pPr>
            <w:r w:rsidRPr="00820B00">
              <w:rPr>
                <w:rFonts w:ascii="Arial" w:hAnsi="Arial" w:cs="Arial"/>
              </w:rPr>
              <w:t>2028</w:t>
            </w:r>
          </w:p>
        </w:tc>
        <w:tc>
          <w:tcPr>
            <w:tcW w:w="3260" w:type="dxa"/>
            <w:vAlign w:val="bottom"/>
          </w:tcPr>
          <w:p w14:paraId="4CA4DE36" w14:textId="06A8D1AB" w:rsidR="008B5EEF" w:rsidRPr="00820B00" w:rsidRDefault="008B5EEF" w:rsidP="000D7DB6">
            <w:pPr>
              <w:spacing w:line="276" w:lineRule="auto"/>
              <w:ind w:left="567"/>
              <w:jc w:val="both"/>
              <w:rPr>
                <w:rFonts w:ascii="Arial" w:hAnsi="Arial" w:cs="Arial"/>
              </w:rPr>
            </w:pPr>
            <w:r w:rsidRPr="00820B00">
              <w:rPr>
                <w:rFonts w:ascii="Arial" w:eastAsia="Times New Roman" w:hAnsi="Arial" w:cs="Arial"/>
                <w:color w:val="000000"/>
                <w:kern w:val="0"/>
                <w:lang w:eastAsia="en-IN"/>
                <w14:ligatures w14:val="none"/>
              </w:rPr>
              <w:t>₹ 20,670.73</w:t>
            </w:r>
          </w:p>
        </w:tc>
      </w:tr>
      <w:tr w:rsidR="008B5EEF" w:rsidRPr="00820B00" w14:paraId="3B404645" w14:textId="77777777" w:rsidTr="000D7DB6">
        <w:tc>
          <w:tcPr>
            <w:tcW w:w="988" w:type="dxa"/>
          </w:tcPr>
          <w:p w14:paraId="1595ECA5" w14:textId="4D599EEC" w:rsidR="008B5EEF" w:rsidRPr="00820B00" w:rsidRDefault="008B5EEF" w:rsidP="000D7DB6">
            <w:pPr>
              <w:spacing w:line="276" w:lineRule="auto"/>
              <w:ind w:left="567"/>
              <w:jc w:val="both"/>
              <w:rPr>
                <w:rFonts w:ascii="Arial" w:hAnsi="Arial" w:cs="Arial"/>
              </w:rPr>
            </w:pPr>
            <w:r w:rsidRPr="00820B00">
              <w:rPr>
                <w:rFonts w:ascii="Arial" w:hAnsi="Arial" w:cs="Arial"/>
              </w:rPr>
              <w:t>2029</w:t>
            </w:r>
          </w:p>
        </w:tc>
        <w:tc>
          <w:tcPr>
            <w:tcW w:w="3260" w:type="dxa"/>
            <w:vAlign w:val="bottom"/>
          </w:tcPr>
          <w:p w14:paraId="33A42586" w14:textId="5F7071A5" w:rsidR="008B5EEF" w:rsidRPr="00820B00" w:rsidRDefault="008B5EEF" w:rsidP="000D7DB6">
            <w:pPr>
              <w:spacing w:line="276" w:lineRule="auto"/>
              <w:ind w:left="567"/>
              <w:jc w:val="both"/>
              <w:rPr>
                <w:rFonts w:ascii="Arial" w:hAnsi="Arial" w:cs="Arial"/>
              </w:rPr>
            </w:pPr>
            <w:r w:rsidRPr="00820B00">
              <w:rPr>
                <w:rFonts w:ascii="Arial" w:eastAsia="Times New Roman" w:hAnsi="Arial" w:cs="Arial"/>
                <w:color w:val="000000"/>
                <w:kern w:val="0"/>
                <w:lang w:eastAsia="en-IN"/>
                <w14:ligatures w14:val="none"/>
              </w:rPr>
              <w:t>₹ 21,581.49</w:t>
            </w:r>
          </w:p>
        </w:tc>
      </w:tr>
      <w:tr w:rsidR="008B5EEF" w:rsidRPr="00820B00" w14:paraId="68386CDD" w14:textId="77777777" w:rsidTr="000D7DB6">
        <w:tc>
          <w:tcPr>
            <w:tcW w:w="988" w:type="dxa"/>
          </w:tcPr>
          <w:p w14:paraId="2BD48E93" w14:textId="454D56D8" w:rsidR="008B5EEF" w:rsidRPr="00820B00" w:rsidRDefault="008B5EEF" w:rsidP="000D7DB6">
            <w:pPr>
              <w:spacing w:line="276" w:lineRule="auto"/>
              <w:ind w:left="567"/>
              <w:jc w:val="both"/>
              <w:rPr>
                <w:rFonts w:ascii="Arial" w:hAnsi="Arial" w:cs="Arial"/>
              </w:rPr>
            </w:pPr>
            <w:r w:rsidRPr="00820B00">
              <w:rPr>
                <w:rFonts w:ascii="Arial" w:hAnsi="Arial" w:cs="Arial"/>
              </w:rPr>
              <w:t>2030</w:t>
            </w:r>
          </w:p>
        </w:tc>
        <w:tc>
          <w:tcPr>
            <w:tcW w:w="3260" w:type="dxa"/>
            <w:vAlign w:val="bottom"/>
          </w:tcPr>
          <w:p w14:paraId="146E5826" w14:textId="2602D07A" w:rsidR="008B5EEF" w:rsidRPr="00820B00" w:rsidRDefault="008B5EEF" w:rsidP="000D7DB6">
            <w:pPr>
              <w:spacing w:line="276" w:lineRule="auto"/>
              <w:ind w:left="567"/>
              <w:jc w:val="both"/>
              <w:rPr>
                <w:rFonts w:ascii="Arial" w:hAnsi="Arial" w:cs="Arial"/>
              </w:rPr>
            </w:pPr>
            <w:r w:rsidRPr="00820B00">
              <w:rPr>
                <w:rFonts w:ascii="Arial" w:eastAsia="Times New Roman" w:hAnsi="Arial" w:cs="Arial"/>
                <w:color w:val="000000"/>
                <w:kern w:val="0"/>
                <w:lang w:eastAsia="en-IN"/>
                <w14:ligatures w14:val="none"/>
              </w:rPr>
              <w:t>₹ 25,794.65</w:t>
            </w:r>
          </w:p>
        </w:tc>
      </w:tr>
    </w:tbl>
    <w:p w14:paraId="5D67B13A" w14:textId="77777777" w:rsidR="00F47709" w:rsidRPr="00820B00" w:rsidRDefault="00F47709" w:rsidP="000D7DB6">
      <w:pPr>
        <w:spacing w:after="0" w:line="276" w:lineRule="auto"/>
        <w:ind w:left="567"/>
        <w:jc w:val="both"/>
        <w:rPr>
          <w:rFonts w:ascii="Arial" w:hAnsi="Arial" w:cs="Arial"/>
        </w:rPr>
      </w:pPr>
    </w:p>
    <w:p w14:paraId="08308C7B" w14:textId="77777777" w:rsidR="00416E1C" w:rsidRPr="00820B00" w:rsidRDefault="00416E1C" w:rsidP="000D7DB6">
      <w:pPr>
        <w:spacing w:after="0" w:line="276" w:lineRule="auto"/>
        <w:ind w:left="567"/>
        <w:jc w:val="both"/>
        <w:rPr>
          <w:rFonts w:ascii="Arial" w:hAnsi="Arial" w:cs="Arial"/>
        </w:rPr>
      </w:pPr>
      <w:r w:rsidRPr="00820B00">
        <w:rPr>
          <w:rFonts w:ascii="Arial" w:hAnsi="Arial" w:cs="Arial"/>
          <w:b/>
          <w:bCs/>
        </w:rPr>
        <w:t>3. Terminal Value Calculation</w:t>
      </w:r>
      <w:r w:rsidRPr="00820B00">
        <w:rPr>
          <w:rFonts w:ascii="Arial" w:hAnsi="Arial" w:cs="Arial"/>
        </w:rPr>
        <w:t xml:space="preserve"> To capture the value of cash flows beyond the explicit forecast, we calculated the terminal value using two methodologies:</w:t>
      </w:r>
    </w:p>
    <w:p w14:paraId="498A0E6B" w14:textId="77777777" w:rsidR="00416E1C" w:rsidRDefault="00416E1C" w:rsidP="000D7DB6">
      <w:pPr>
        <w:numPr>
          <w:ilvl w:val="0"/>
          <w:numId w:val="14"/>
        </w:numPr>
        <w:tabs>
          <w:tab w:val="num" w:pos="1440"/>
        </w:tabs>
        <w:spacing w:after="0" w:line="276" w:lineRule="auto"/>
        <w:ind w:left="993" w:hanging="284"/>
        <w:jc w:val="both"/>
        <w:rPr>
          <w:rFonts w:ascii="Arial" w:hAnsi="Arial" w:cs="Arial"/>
        </w:rPr>
      </w:pPr>
      <w:r w:rsidRPr="00820B00">
        <w:rPr>
          <w:rFonts w:ascii="Arial" w:hAnsi="Arial" w:cs="Arial"/>
          <w:b/>
          <w:bCs/>
        </w:rPr>
        <w:t>Perpetuity Growth Method:</w:t>
      </w:r>
      <w:r w:rsidRPr="00820B00">
        <w:rPr>
          <w:rFonts w:ascii="Arial" w:hAnsi="Arial" w:cs="Arial"/>
        </w:rPr>
        <w:t xml:space="preserve"> Assuming a long-term perpetual growth rate of </w:t>
      </w:r>
      <w:r w:rsidRPr="00820B00">
        <w:rPr>
          <w:rFonts w:ascii="Arial" w:hAnsi="Arial" w:cs="Arial"/>
          <w:b/>
          <w:bCs/>
        </w:rPr>
        <w:t>6%</w:t>
      </w:r>
      <w:r w:rsidRPr="00820B00">
        <w:rPr>
          <w:rFonts w:ascii="Arial" w:hAnsi="Arial" w:cs="Arial"/>
        </w:rPr>
        <w:t xml:space="preserve">, the Terminal Value is </w:t>
      </w:r>
      <w:r w:rsidRPr="00820B00">
        <w:rPr>
          <w:rFonts w:ascii="Arial" w:hAnsi="Arial" w:cs="Arial"/>
          <w:b/>
          <w:bCs/>
        </w:rPr>
        <w:t>₹16,49,778.81 crore</w:t>
      </w:r>
      <w:r w:rsidRPr="00820B00">
        <w:rPr>
          <w:rFonts w:ascii="Arial" w:hAnsi="Arial" w:cs="Arial"/>
        </w:rPr>
        <w:t>.</w:t>
      </w:r>
    </w:p>
    <w:p w14:paraId="50580081" w14:textId="77777777" w:rsidR="00416E1C" w:rsidRDefault="00416E1C" w:rsidP="000D7DB6">
      <w:pPr>
        <w:numPr>
          <w:ilvl w:val="0"/>
          <w:numId w:val="14"/>
        </w:numPr>
        <w:tabs>
          <w:tab w:val="num" w:pos="1440"/>
        </w:tabs>
        <w:spacing w:after="0" w:line="276" w:lineRule="auto"/>
        <w:ind w:left="993" w:hanging="284"/>
        <w:jc w:val="both"/>
        <w:rPr>
          <w:rFonts w:ascii="Arial" w:hAnsi="Arial" w:cs="Arial"/>
        </w:rPr>
      </w:pPr>
      <w:r w:rsidRPr="00820B00">
        <w:rPr>
          <w:rFonts w:ascii="Arial" w:hAnsi="Arial" w:cs="Arial"/>
          <w:b/>
          <w:bCs/>
        </w:rPr>
        <w:t>Exit Multiple Method:</w:t>
      </w:r>
      <w:r w:rsidRPr="00820B00">
        <w:rPr>
          <w:rFonts w:ascii="Arial" w:hAnsi="Arial" w:cs="Arial"/>
        </w:rPr>
        <w:t xml:space="preserve"> Based on a median peer EV/EBITDA exit multiple of </w:t>
      </w:r>
      <w:r w:rsidRPr="00820B00">
        <w:rPr>
          <w:rFonts w:ascii="Arial" w:hAnsi="Arial" w:cs="Arial"/>
          <w:b/>
          <w:bCs/>
        </w:rPr>
        <w:t>44.30x</w:t>
      </w:r>
      <w:r w:rsidRPr="00820B00">
        <w:rPr>
          <w:rFonts w:ascii="Arial" w:hAnsi="Arial" w:cs="Arial"/>
        </w:rPr>
        <w:t xml:space="preserve">, the Terminal Value is </w:t>
      </w:r>
      <w:r w:rsidRPr="00820B00">
        <w:rPr>
          <w:rFonts w:ascii="Arial" w:hAnsi="Arial" w:cs="Arial"/>
          <w:b/>
          <w:bCs/>
        </w:rPr>
        <w:t>₹13,34,388.18 crore</w:t>
      </w:r>
      <w:r w:rsidRPr="00820B00">
        <w:rPr>
          <w:rFonts w:ascii="Arial" w:hAnsi="Arial" w:cs="Arial"/>
        </w:rPr>
        <w:t>.</w:t>
      </w:r>
    </w:p>
    <w:p w14:paraId="28268CC3" w14:textId="77777777" w:rsidR="00820B00" w:rsidRPr="00820B00" w:rsidRDefault="00820B00" w:rsidP="000D7DB6">
      <w:pPr>
        <w:spacing w:after="0" w:line="276" w:lineRule="auto"/>
        <w:ind w:left="567"/>
        <w:jc w:val="both"/>
        <w:rPr>
          <w:rFonts w:ascii="Arial" w:hAnsi="Arial" w:cs="Arial"/>
        </w:rPr>
      </w:pPr>
    </w:p>
    <w:p w14:paraId="5B182256" w14:textId="77777777" w:rsidR="00416E1C" w:rsidRPr="00820B00" w:rsidRDefault="00416E1C" w:rsidP="000D7DB6">
      <w:pPr>
        <w:spacing w:after="0" w:line="276" w:lineRule="auto"/>
        <w:ind w:left="567"/>
        <w:jc w:val="both"/>
        <w:rPr>
          <w:rFonts w:ascii="Arial" w:hAnsi="Arial" w:cs="Arial"/>
        </w:rPr>
      </w:pPr>
      <w:r w:rsidRPr="00820B00">
        <w:rPr>
          <w:rFonts w:ascii="Arial" w:hAnsi="Arial" w:cs="Arial"/>
          <w:b/>
          <w:bCs/>
        </w:rPr>
        <w:t>4. Final DCF Valuation</w:t>
      </w:r>
      <w:r w:rsidRPr="00820B00">
        <w:rPr>
          <w:rFonts w:ascii="Arial" w:hAnsi="Arial" w:cs="Arial"/>
        </w:rPr>
        <w:t xml:space="preserve"> The present value of the projected UFCF and the terminal value yields our final DCF valuation. The average of the two methodologies provides a robust and balanced intrinsic valuation.</w:t>
      </w:r>
    </w:p>
    <w:tbl>
      <w:tblPr>
        <w:tblStyle w:val="TableGrid"/>
        <w:tblW w:w="0" w:type="auto"/>
        <w:tblInd w:w="720" w:type="dxa"/>
        <w:tblLook w:val="04A0" w:firstRow="1" w:lastRow="0" w:firstColumn="1" w:lastColumn="0" w:noHBand="0" w:noVBand="1"/>
      </w:tblPr>
      <w:tblGrid>
        <w:gridCol w:w="2122"/>
        <w:gridCol w:w="3118"/>
        <w:gridCol w:w="1985"/>
      </w:tblGrid>
      <w:tr w:rsidR="007E2804" w:rsidRPr="00820B00" w14:paraId="0F393A51" w14:textId="77777777" w:rsidTr="000D7DB6">
        <w:tc>
          <w:tcPr>
            <w:tcW w:w="2122" w:type="dxa"/>
          </w:tcPr>
          <w:p w14:paraId="22F2D049" w14:textId="0ABD4639" w:rsidR="007E2804" w:rsidRPr="00820B00" w:rsidRDefault="007E2804" w:rsidP="000D7DB6">
            <w:pPr>
              <w:spacing w:line="276" w:lineRule="auto"/>
              <w:ind w:left="567"/>
              <w:jc w:val="both"/>
              <w:rPr>
                <w:rFonts w:ascii="Arial" w:hAnsi="Arial" w:cs="Arial"/>
                <w:b/>
                <w:bCs/>
              </w:rPr>
            </w:pPr>
            <w:r w:rsidRPr="00820B00">
              <w:rPr>
                <w:rFonts w:ascii="Arial" w:hAnsi="Arial" w:cs="Arial"/>
                <w:b/>
                <w:bCs/>
              </w:rPr>
              <w:t>Valuation Method</w:t>
            </w:r>
          </w:p>
        </w:tc>
        <w:tc>
          <w:tcPr>
            <w:tcW w:w="3118" w:type="dxa"/>
          </w:tcPr>
          <w:p w14:paraId="582D423B" w14:textId="64A95455" w:rsidR="007E2804" w:rsidRPr="00820B00" w:rsidRDefault="007E2804" w:rsidP="000D7DB6">
            <w:pPr>
              <w:spacing w:line="276" w:lineRule="auto"/>
              <w:ind w:left="567"/>
              <w:jc w:val="both"/>
              <w:rPr>
                <w:rFonts w:ascii="Arial" w:hAnsi="Arial" w:cs="Arial"/>
                <w:b/>
                <w:bCs/>
              </w:rPr>
            </w:pPr>
            <w:r w:rsidRPr="00820B00">
              <w:rPr>
                <w:rFonts w:ascii="Arial" w:hAnsi="Arial" w:cs="Arial"/>
                <w:b/>
                <w:bCs/>
              </w:rPr>
              <w:t>Enterprise Value (₹ crore)</w:t>
            </w:r>
          </w:p>
        </w:tc>
        <w:tc>
          <w:tcPr>
            <w:tcW w:w="1985" w:type="dxa"/>
          </w:tcPr>
          <w:p w14:paraId="5B52B6BC" w14:textId="172039DE" w:rsidR="007E2804" w:rsidRPr="00820B00" w:rsidRDefault="00325B3F" w:rsidP="000D7DB6">
            <w:pPr>
              <w:spacing w:line="276" w:lineRule="auto"/>
              <w:ind w:left="567"/>
              <w:jc w:val="both"/>
              <w:rPr>
                <w:rFonts w:ascii="Arial" w:hAnsi="Arial" w:cs="Arial"/>
                <w:b/>
                <w:bCs/>
              </w:rPr>
            </w:pPr>
            <w:r w:rsidRPr="00820B00">
              <w:rPr>
                <w:rFonts w:ascii="Arial" w:hAnsi="Arial" w:cs="Arial"/>
                <w:b/>
                <w:bCs/>
              </w:rPr>
              <w:t>Per Share Price</w:t>
            </w:r>
          </w:p>
        </w:tc>
      </w:tr>
      <w:tr w:rsidR="007E2804" w:rsidRPr="00820B00" w14:paraId="135DE97F" w14:textId="77777777" w:rsidTr="000D7DB6">
        <w:tc>
          <w:tcPr>
            <w:tcW w:w="2122" w:type="dxa"/>
          </w:tcPr>
          <w:p w14:paraId="217EFE1C" w14:textId="1FBE45F6" w:rsidR="007E2804" w:rsidRPr="00820B00" w:rsidRDefault="00325B3F" w:rsidP="000D7DB6">
            <w:pPr>
              <w:spacing w:line="276" w:lineRule="auto"/>
              <w:ind w:left="567"/>
              <w:jc w:val="both"/>
              <w:rPr>
                <w:rFonts w:ascii="Arial" w:hAnsi="Arial" w:cs="Arial"/>
              </w:rPr>
            </w:pPr>
            <w:r w:rsidRPr="00820B00">
              <w:rPr>
                <w:rFonts w:ascii="Arial" w:hAnsi="Arial" w:cs="Arial"/>
              </w:rPr>
              <w:t>Perpetuity Growth</w:t>
            </w:r>
          </w:p>
        </w:tc>
        <w:tc>
          <w:tcPr>
            <w:tcW w:w="3118" w:type="dxa"/>
          </w:tcPr>
          <w:p w14:paraId="1FE732FE" w14:textId="2AD32E4C" w:rsidR="007E2804" w:rsidRPr="00820B00" w:rsidRDefault="007924FB" w:rsidP="000D7DB6">
            <w:pPr>
              <w:spacing w:line="276" w:lineRule="auto"/>
              <w:ind w:left="567"/>
              <w:jc w:val="both"/>
              <w:rPr>
                <w:rFonts w:ascii="Arial" w:hAnsi="Arial" w:cs="Arial"/>
              </w:rPr>
            </w:pPr>
            <w:r w:rsidRPr="00820B00">
              <w:rPr>
                <w:rFonts w:ascii="Arial" w:hAnsi="Arial" w:cs="Arial"/>
              </w:rPr>
              <w:t>₹12,17,315.78</w:t>
            </w:r>
          </w:p>
        </w:tc>
        <w:tc>
          <w:tcPr>
            <w:tcW w:w="1985" w:type="dxa"/>
          </w:tcPr>
          <w:p w14:paraId="039C044E" w14:textId="03933CC3" w:rsidR="007E2804" w:rsidRPr="00820B00" w:rsidRDefault="007924FB" w:rsidP="000D7DB6">
            <w:pPr>
              <w:spacing w:line="276" w:lineRule="auto"/>
              <w:ind w:left="567"/>
              <w:jc w:val="both"/>
              <w:rPr>
                <w:rFonts w:ascii="Arial" w:hAnsi="Arial" w:cs="Arial"/>
              </w:rPr>
            </w:pPr>
            <w:r w:rsidRPr="00820B00">
              <w:rPr>
                <w:rFonts w:ascii="Arial" w:hAnsi="Arial" w:cs="Arial"/>
              </w:rPr>
              <w:t>₹4,918.45</w:t>
            </w:r>
          </w:p>
        </w:tc>
      </w:tr>
      <w:tr w:rsidR="007E2804" w:rsidRPr="00820B00" w14:paraId="300CBA98" w14:textId="77777777" w:rsidTr="000D7DB6">
        <w:tc>
          <w:tcPr>
            <w:tcW w:w="2122" w:type="dxa"/>
          </w:tcPr>
          <w:p w14:paraId="14D379B7" w14:textId="1A7D9417" w:rsidR="007E2804" w:rsidRPr="00820B00" w:rsidRDefault="00325B3F" w:rsidP="000D7DB6">
            <w:pPr>
              <w:spacing w:line="276" w:lineRule="auto"/>
              <w:ind w:left="567"/>
              <w:jc w:val="both"/>
              <w:rPr>
                <w:rFonts w:ascii="Arial" w:hAnsi="Arial" w:cs="Arial"/>
              </w:rPr>
            </w:pPr>
            <w:r w:rsidRPr="00820B00">
              <w:rPr>
                <w:rFonts w:ascii="Arial" w:hAnsi="Arial" w:cs="Arial"/>
              </w:rPr>
              <w:t>Exit Multiple</w:t>
            </w:r>
          </w:p>
        </w:tc>
        <w:tc>
          <w:tcPr>
            <w:tcW w:w="3118" w:type="dxa"/>
          </w:tcPr>
          <w:p w14:paraId="0FF12D63" w14:textId="17C90C37" w:rsidR="007E2804" w:rsidRPr="00820B00" w:rsidRDefault="007924FB" w:rsidP="000D7DB6">
            <w:pPr>
              <w:spacing w:line="276" w:lineRule="auto"/>
              <w:ind w:left="567"/>
              <w:jc w:val="both"/>
              <w:rPr>
                <w:rFonts w:ascii="Arial" w:hAnsi="Arial" w:cs="Arial"/>
              </w:rPr>
            </w:pPr>
            <w:r w:rsidRPr="00820B00">
              <w:rPr>
                <w:rFonts w:ascii="Arial" w:hAnsi="Arial" w:cs="Arial"/>
              </w:rPr>
              <w:t>₹9,99,228.33</w:t>
            </w:r>
          </w:p>
        </w:tc>
        <w:tc>
          <w:tcPr>
            <w:tcW w:w="1985" w:type="dxa"/>
          </w:tcPr>
          <w:p w14:paraId="3266E284" w14:textId="1D350EEF" w:rsidR="007E2804" w:rsidRPr="00820B00" w:rsidRDefault="007924FB" w:rsidP="000D7DB6">
            <w:pPr>
              <w:spacing w:line="276" w:lineRule="auto"/>
              <w:ind w:left="567"/>
              <w:jc w:val="both"/>
              <w:rPr>
                <w:rFonts w:ascii="Arial" w:hAnsi="Arial" w:cs="Arial"/>
              </w:rPr>
            </w:pPr>
            <w:r w:rsidRPr="00820B00">
              <w:rPr>
                <w:rFonts w:ascii="Arial" w:hAnsi="Arial" w:cs="Arial"/>
              </w:rPr>
              <w:t>₹4,037.29</w:t>
            </w:r>
          </w:p>
        </w:tc>
      </w:tr>
      <w:tr w:rsidR="007E2804" w:rsidRPr="00820B00" w14:paraId="771DB664" w14:textId="77777777" w:rsidTr="000D7DB6">
        <w:tc>
          <w:tcPr>
            <w:tcW w:w="2122" w:type="dxa"/>
          </w:tcPr>
          <w:p w14:paraId="735F2E7C" w14:textId="7E91AEF4" w:rsidR="007E2804" w:rsidRPr="00820B00" w:rsidRDefault="00325B3F" w:rsidP="000D7DB6">
            <w:pPr>
              <w:spacing w:line="276" w:lineRule="auto"/>
              <w:ind w:left="567"/>
              <w:jc w:val="both"/>
              <w:rPr>
                <w:rFonts w:ascii="Arial" w:hAnsi="Arial" w:cs="Arial"/>
              </w:rPr>
            </w:pPr>
            <w:r w:rsidRPr="00820B00">
              <w:rPr>
                <w:rFonts w:ascii="Arial" w:hAnsi="Arial" w:cs="Arial"/>
              </w:rPr>
              <w:t>Average (Blended)</w:t>
            </w:r>
          </w:p>
        </w:tc>
        <w:tc>
          <w:tcPr>
            <w:tcW w:w="3118" w:type="dxa"/>
          </w:tcPr>
          <w:p w14:paraId="25874003" w14:textId="1E0D90A7" w:rsidR="007E2804" w:rsidRPr="00820B00" w:rsidRDefault="007924FB" w:rsidP="000D7DB6">
            <w:pPr>
              <w:spacing w:line="276" w:lineRule="auto"/>
              <w:ind w:left="567"/>
              <w:jc w:val="both"/>
              <w:rPr>
                <w:rFonts w:ascii="Arial" w:hAnsi="Arial" w:cs="Arial"/>
              </w:rPr>
            </w:pPr>
            <w:r w:rsidRPr="00820B00">
              <w:rPr>
                <w:rFonts w:ascii="Arial" w:hAnsi="Arial" w:cs="Arial"/>
              </w:rPr>
              <w:t>₹11,08,272.06</w:t>
            </w:r>
          </w:p>
        </w:tc>
        <w:tc>
          <w:tcPr>
            <w:tcW w:w="1985" w:type="dxa"/>
          </w:tcPr>
          <w:p w14:paraId="50AF7B65" w14:textId="5C150002" w:rsidR="007E2804" w:rsidRPr="00820B00" w:rsidRDefault="007924FB" w:rsidP="000D7DB6">
            <w:pPr>
              <w:spacing w:line="276" w:lineRule="auto"/>
              <w:ind w:left="567"/>
              <w:jc w:val="both"/>
              <w:rPr>
                <w:rFonts w:ascii="Arial" w:hAnsi="Arial" w:cs="Arial"/>
              </w:rPr>
            </w:pPr>
            <w:r w:rsidRPr="00820B00">
              <w:rPr>
                <w:rFonts w:ascii="Arial" w:hAnsi="Arial" w:cs="Arial"/>
              </w:rPr>
              <w:t>₹4,477.87</w:t>
            </w:r>
          </w:p>
        </w:tc>
      </w:tr>
    </w:tbl>
    <w:p w14:paraId="24558917" w14:textId="77777777" w:rsidR="00416E1C" w:rsidRPr="00820B00" w:rsidRDefault="00416E1C" w:rsidP="00D72896">
      <w:pPr>
        <w:spacing w:after="0" w:line="276" w:lineRule="auto"/>
        <w:jc w:val="both"/>
        <w:rPr>
          <w:rFonts w:ascii="Arial" w:hAnsi="Arial" w:cs="Arial"/>
        </w:rPr>
      </w:pPr>
    </w:p>
    <w:p w14:paraId="16DC50F4" w14:textId="77777777" w:rsidR="00604F37" w:rsidRPr="00820B00" w:rsidRDefault="00604F37" w:rsidP="00E95F28">
      <w:pPr>
        <w:pStyle w:val="Heading2"/>
        <w:spacing w:before="0" w:after="0" w:line="276" w:lineRule="auto"/>
        <w:jc w:val="both"/>
        <w:rPr>
          <w:rFonts w:ascii="Arial" w:hAnsi="Arial" w:cs="Arial"/>
          <w:b/>
          <w:bCs/>
          <w:sz w:val="28"/>
          <w:szCs w:val="28"/>
        </w:rPr>
      </w:pPr>
      <w:bookmarkStart w:id="4" w:name="_Toc209598723"/>
      <w:r w:rsidRPr="00E95F28">
        <w:rPr>
          <w:b/>
          <w:bCs/>
          <w:color w:val="auto"/>
        </w:rPr>
        <w:t>Comparable Company Analysis (CCA)</w:t>
      </w:r>
      <w:bookmarkEnd w:id="4"/>
    </w:p>
    <w:p w14:paraId="1D1A6CEC" w14:textId="77777777" w:rsidR="00604F37" w:rsidRDefault="00604F37" w:rsidP="000D7DB6">
      <w:pPr>
        <w:spacing w:after="0" w:line="276" w:lineRule="auto"/>
        <w:ind w:left="567"/>
        <w:jc w:val="both"/>
        <w:rPr>
          <w:rFonts w:ascii="Arial" w:hAnsi="Arial" w:cs="Arial"/>
        </w:rPr>
      </w:pPr>
      <w:r w:rsidRPr="00820B00">
        <w:rPr>
          <w:rFonts w:ascii="Arial" w:hAnsi="Arial" w:cs="Arial"/>
        </w:rPr>
        <w:t>Our CCA provides a relative valuation for NSE by benchmarking it against a group of publicly traded peers to derive a fair value based on market multiples.</w:t>
      </w:r>
    </w:p>
    <w:p w14:paraId="1FFE9DDA" w14:textId="77777777" w:rsidR="00820B00" w:rsidRPr="00820B00" w:rsidRDefault="00820B00" w:rsidP="000D7DB6">
      <w:pPr>
        <w:spacing w:after="0" w:line="276" w:lineRule="auto"/>
        <w:ind w:left="567"/>
        <w:jc w:val="both"/>
        <w:rPr>
          <w:rFonts w:ascii="Arial" w:hAnsi="Arial" w:cs="Arial"/>
        </w:rPr>
      </w:pPr>
    </w:p>
    <w:p w14:paraId="65E7497B" w14:textId="77777777" w:rsidR="006958FE" w:rsidRPr="00820B00" w:rsidRDefault="00604F37" w:rsidP="000D7DB6">
      <w:pPr>
        <w:spacing w:after="0" w:line="276" w:lineRule="auto"/>
        <w:ind w:left="567"/>
        <w:jc w:val="both"/>
        <w:rPr>
          <w:rFonts w:ascii="Arial" w:hAnsi="Arial" w:cs="Arial"/>
        </w:rPr>
      </w:pPr>
      <w:r w:rsidRPr="00820B00">
        <w:rPr>
          <w:rFonts w:ascii="Arial" w:hAnsi="Arial" w:cs="Arial"/>
          <w:b/>
          <w:bCs/>
        </w:rPr>
        <w:t>1. Peer Group and Multiples</w:t>
      </w:r>
      <w:r w:rsidRPr="00820B00">
        <w:rPr>
          <w:rFonts w:ascii="Arial" w:hAnsi="Arial" w:cs="Arial"/>
        </w:rPr>
        <w:t xml:space="preserve"> </w:t>
      </w:r>
    </w:p>
    <w:p w14:paraId="19D149C4" w14:textId="0177A450" w:rsidR="00604F37" w:rsidRPr="00820B00" w:rsidRDefault="00604F37" w:rsidP="000D7DB6">
      <w:pPr>
        <w:spacing w:after="0" w:line="276" w:lineRule="auto"/>
        <w:ind w:left="567"/>
        <w:jc w:val="both"/>
        <w:rPr>
          <w:rFonts w:ascii="Arial" w:hAnsi="Arial" w:cs="Arial"/>
        </w:rPr>
      </w:pPr>
      <w:r w:rsidRPr="00820B00">
        <w:rPr>
          <w:rFonts w:ascii="Arial" w:hAnsi="Arial" w:cs="Arial"/>
        </w:rPr>
        <w:t>The analysis is based on a peer group consisting of BSE, MCX, and CDSL. The following table summarizes the median multiples used for the valuation, which are derived from this peer group.</w:t>
      </w:r>
    </w:p>
    <w:tbl>
      <w:tblPr>
        <w:tblStyle w:val="TableGrid"/>
        <w:tblW w:w="0" w:type="auto"/>
        <w:tblInd w:w="720" w:type="dxa"/>
        <w:tblLook w:val="04A0" w:firstRow="1" w:lastRow="0" w:firstColumn="1" w:lastColumn="0" w:noHBand="0" w:noVBand="1"/>
      </w:tblPr>
      <w:tblGrid>
        <w:gridCol w:w="2037"/>
        <w:gridCol w:w="1610"/>
      </w:tblGrid>
      <w:tr w:rsidR="00160BBC" w:rsidRPr="00820B00" w14:paraId="22E881C5" w14:textId="77777777" w:rsidTr="000D7DB6">
        <w:tc>
          <w:tcPr>
            <w:tcW w:w="1470" w:type="dxa"/>
          </w:tcPr>
          <w:p w14:paraId="5949D817" w14:textId="487403EA" w:rsidR="00160BBC" w:rsidRPr="00820B00" w:rsidRDefault="006A6266" w:rsidP="000D7DB6">
            <w:pPr>
              <w:spacing w:line="276" w:lineRule="auto"/>
              <w:ind w:left="567"/>
              <w:jc w:val="both"/>
              <w:rPr>
                <w:rFonts w:ascii="Arial" w:hAnsi="Arial" w:cs="Arial"/>
                <w:b/>
                <w:bCs/>
              </w:rPr>
            </w:pPr>
            <w:r w:rsidRPr="00820B00">
              <w:rPr>
                <w:rFonts w:ascii="Arial" w:hAnsi="Arial" w:cs="Arial"/>
                <w:b/>
                <w:bCs/>
              </w:rPr>
              <w:t>Metric</w:t>
            </w:r>
          </w:p>
        </w:tc>
        <w:tc>
          <w:tcPr>
            <w:tcW w:w="1043" w:type="dxa"/>
          </w:tcPr>
          <w:p w14:paraId="00F3C566" w14:textId="75524CE3" w:rsidR="00160BBC" w:rsidRPr="00820B00" w:rsidRDefault="006A6266" w:rsidP="000D7DB6">
            <w:pPr>
              <w:spacing w:line="276" w:lineRule="auto"/>
              <w:ind w:left="567"/>
              <w:jc w:val="both"/>
              <w:rPr>
                <w:rFonts w:ascii="Arial" w:hAnsi="Arial" w:cs="Arial"/>
                <w:b/>
                <w:bCs/>
              </w:rPr>
            </w:pPr>
            <w:r w:rsidRPr="00820B00">
              <w:rPr>
                <w:rFonts w:ascii="Arial" w:hAnsi="Arial" w:cs="Arial"/>
                <w:b/>
                <w:bCs/>
              </w:rPr>
              <w:t>Median</w:t>
            </w:r>
          </w:p>
        </w:tc>
      </w:tr>
      <w:tr w:rsidR="00160BBC" w:rsidRPr="00820B00" w14:paraId="364E4B89" w14:textId="77777777" w:rsidTr="000D7DB6">
        <w:tc>
          <w:tcPr>
            <w:tcW w:w="1470" w:type="dxa"/>
          </w:tcPr>
          <w:p w14:paraId="4CC72062" w14:textId="00D56B70" w:rsidR="00160BBC" w:rsidRPr="00820B00" w:rsidRDefault="006A6266" w:rsidP="000D7DB6">
            <w:pPr>
              <w:spacing w:line="276" w:lineRule="auto"/>
              <w:ind w:left="567"/>
              <w:jc w:val="both"/>
              <w:rPr>
                <w:rFonts w:ascii="Arial" w:hAnsi="Arial" w:cs="Arial"/>
              </w:rPr>
            </w:pPr>
            <w:r w:rsidRPr="00820B00">
              <w:rPr>
                <w:rFonts w:ascii="Arial" w:hAnsi="Arial" w:cs="Arial"/>
              </w:rPr>
              <w:t>P/E Ratio</w:t>
            </w:r>
          </w:p>
        </w:tc>
        <w:tc>
          <w:tcPr>
            <w:tcW w:w="1043" w:type="dxa"/>
          </w:tcPr>
          <w:p w14:paraId="0E322F53" w14:textId="3F07AB43" w:rsidR="00160BBC" w:rsidRPr="00820B00" w:rsidRDefault="006958FE" w:rsidP="000D7DB6">
            <w:pPr>
              <w:spacing w:line="276" w:lineRule="auto"/>
              <w:ind w:left="567"/>
              <w:jc w:val="both"/>
              <w:rPr>
                <w:rFonts w:ascii="Arial" w:hAnsi="Arial" w:cs="Arial"/>
              </w:rPr>
            </w:pPr>
            <w:r w:rsidRPr="00820B00">
              <w:rPr>
                <w:rFonts w:ascii="Arial" w:hAnsi="Arial" w:cs="Arial"/>
              </w:rPr>
              <w:t>62.93x</w:t>
            </w:r>
          </w:p>
        </w:tc>
      </w:tr>
      <w:tr w:rsidR="00160BBC" w:rsidRPr="00820B00" w14:paraId="2B407D51" w14:textId="77777777" w:rsidTr="000D7DB6">
        <w:tc>
          <w:tcPr>
            <w:tcW w:w="1470" w:type="dxa"/>
          </w:tcPr>
          <w:p w14:paraId="74B48C13" w14:textId="2A6A59DC" w:rsidR="00160BBC" w:rsidRPr="00820B00" w:rsidRDefault="006A6266" w:rsidP="000D7DB6">
            <w:pPr>
              <w:spacing w:line="276" w:lineRule="auto"/>
              <w:ind w:left="567"/>
              <w:jc w:val="both"/>
              <w:rPr>
                <w:rFonts w:ascii="Arial" w:hAnsi="Arial" w:cs="Arial"/>
              </w:rPr>
            </w:pPr>
            <w:r w:rsidRPr="00820B00">
              <w:rPr>
                <w:rFonts w:ascii="Arial" w:hAnsi="Arial" w:cs="Arial"/>
              </w:rPr>
              <w:t>EV/EBITDA</w:t>
            </w:r>
          </w:p>
        </w:tc>
        <w:tc>
          <w:tcPr>
            <w:tcW w:w="1043" w:type="dxa"/>
          </w:tcPr>
          <w:p w14:paraId="4D6EB5C7" w14:textId="111557C7" w:rsidR="00160BBC" w:rsidRPr="00820B00" w:rsidRDefault="006958FE" w:rsidP="000D7DB6">
            <w:pPr>
              <w:spacing w:line="276" w:lineRule="auto"/>
              <w:ind w:left="567"/>
              <w:jc w:val="both"/>
              <w:rPr>
                <w:rFonts w:ascii="Arial" w:hAnsi="Arial" w:cs="Arial"/>
              </w:rPr>
            </w:pPr>
            <w:r w:rsidRPr="00820B00">
              <w:rPr>
                <w:rFonts w:ascii="Arial" w:hAnsi="Arial" w:cs="Arial"/>
              </w:rPr>
              <w:t>44.23x</w:t>
            </w:r>
          </w:p>
        </w:tc>
      </w:tr>
    </w:tbl>
    <w:p w14:paraId="35B7C991" w14:textId="77777777" w:rsidR="00F47709" w:rsidRDefault="00F47709" w:rsidP="000D7DB6">
      <w:pPr>
        <w:spacing w:after="0" w:line="276" w:lineRule="auto"/>
        <w:ind w:left="567"/>
        <w:jc w:val="both"/>
        <w:rPr>
          <w:rFonts w:ascii="Arial" w:hAnsi="Arial" w:cs="Arial"/>
        </w:rPr>
      </w:pPr>
    </w:p>
    <w:p w14:paraId="3FFF3C6D" w14:textId="77777777" w:rsidR="00A642D8" w:rsidRDefault="00A642D8" w:rsidP="000D7DB6">
      <w:pPr>
        <w:spacing w:after="0" w:line="276" w:lineRule="auto"/>
        <w:ind w:left="567"/>
        <w:jc w:val="both"/>
        <w:rPr>
          <w:rFonts w:ascii="Arial" w:hAnsi="Arial" w:cs="Arial"/>
        </w:rPr>
      </w:pPr>
    </w:p>
    <w:p w14:paraId="59A06AC3" w14:textId="77777777" w:rsidR="00A642D8" w:rsidRPr="00820B00" w:rsidRDefault="00A642D8" w:rsidP="000D7DB6">
      <w:pPr>
        <w:spacing w:after="0" w:line="276" w:lineRule="auto"/>
        <w:ind w:left="567"/>
        <w:jc w:val="both"/>
        <w:rPr>
          <w:rFonts w:ascii="Arial" w:hAnsi="Arial" w:cs="Arial"/>
        </w:rPr>
      </w:pPr>
    </w:p>
    <w:p w14:paraId="15164C81" w14:textId="77777777" w:rsidR="006958FE" w:rsidRPr="00820B00" w:rsidRDefault="006958FE" w:rsidP="000D7DB6">
      <w:pPr>
        <w:spacing w:after="0" w:line="276" w:lineRule="auto"/>
        <w:ind w:left="567"/>
        <w:jc w:val="both"/>
        <w:rPr>
          <w:rFonts w:ascii="Arial" w:hAnsi="Arial" w:cs="Arial"/>
        </w:rPr>
      </w:pPr>
      <w:r w:rsidRPr="00820B00">
        <w:rPr>
          <w:rFonts w:ascii="Arial" w:hAnsi="Arial" w:cs="Arial"/>
          <w:b/>
          <w:bCs/>
        </w:rPr>
        <w:lastRenderedPageBreak/>
        <w:t>2. Final CCA Valuation</w:t>
      </w:r>
      <w:r w:rsidRPr="00820B00">
        <w:rPr>
          <w:rFonts w:ascii="Arial" w:hAnsi="Arial" w:cs="Arial"/>
        </w:rPr>
        <w:t xml:space="preserve"> </w:t>
      </w:r>
    </w:p>
    <w:p w14:paraId="6B34FBD0" w14:textId="0B6DF9D6" w:rsidR="00F47709" w:rsidRPr="00820B00" w:rsidRDefault="006958FE" w:rsidP="000D7DB6">
      <w:pPr>
        <w:spacing w:after="0" w:line="276" w:lineRule="auto"/>
        <w:ind w:left="567"/>
        <w:jc w:val="both"/>
        <w:rPr>
          <w:rFonts w:ascii="Arial" w:hAnsi="Arial" w:cs="Arial"/>
        </w:rPr>
      </w:pPr>
      <w:r w:rsidRPr="00820B00">
        <w:rPr>
          <w:rFonts w:ascii="Arial" w:hAnsi="Arial" w:cs="Arial"/>
        </w:rPr>
        <w:t>By applying the median multiples to NSE’s projected 2026 financials, we arrive at the following valuations:</w:t>
      </w:r>
    </w:p>
    <w:tbl>
      <w:tblPr>
        <w:tblStyle w:val="TableGrid"/>
        <w:tblW w:w="0" w:type="auto"/>
        <w:tblInd w:w="720" w:type="dxa"/>
        <w:tblLook w:val="04A0" w:firstRow="1" w:lastRow="0" w:firstColumn="1" w:lastColumn="0" w:noHBand="0" w:noVBand="1"/>
      </w:tblPr>
      <w:tblGrid>
        <w:gridCol w:w="2122"/>
        <w:gridCol w:w="2409"/>
        <w:gridCol w:w="2127"/>
      </w:tblGrid>
      <w:tr w:rsidR="00517169" w:rsidRPr="00820B00" w14:paraId="32205C4D" w14:textId="77777777" w:rsidTr="000D7DB6">
        <w:tc>
          <w:tcPr>
            <w:tcW w:w="2122" w:type="dxa"/>
          </w:tcPr>
          <w:p w14:paraId="2FF6AA0D" w14:textId="4529A417" w:rsidR="00517169" w:rsidRPr="00820B00" w:rsidRDefault="00517169" w:rsidP="000D7DB6">
            <w:pPr>
              <w:spacing w:line="276" w:lineRule="auto"/>
              <w:ind w:left="567"/>
              <w:jc w:val="both"/>
              <w:rPr>
                <w:rFonts w:ascii="Arial" w:hAnsi="Arial" w:cs="Arial"/>
                <w:b/>
                <w:bCs/>
              </w:rPr>
            </w:pPr>
            <w:r w:rsidRPr="00820B00">
              <w:rPr>
                <w:rFonts w:ascii="Arial" w:hAnsi="Arial" w:cs="Arial"/>
                <w:b/>
                <w:bCs/>
              </w:rPr>
              <w:t>Valuation Method</w:t>
            </w:r>
          </w:p>
        </w:tc>
        <w:tc>
          <w:tcPr>
            <w:tcW w:w="2409" w:type="dxa"/>
          </w:tcPr>
          <w:p w14:paraId="24E67863" w14:textId="214D3B8B" w:rsidR="00517169" w:rsidRPr="00820B00" w:rsidRDefault="00517169" w:rsidP="000D7DB6">
            <w:pPr>
              <w:spacing w:line="276" w:lineRule="auto"/>
              <w:ind w:left="567"/>
              <w:jc w:val="both"/>
              <w:rPr>
                <w:rFonts w:ascii="Arial" w:hAnsi="Arial" w:cs="Arial"/>
                <w:b/>
                <w:bCs/>
              </w:rPr>
            </w:pPr>
            <w:r w:rsidRPr="00820B00">
              <w:rPr>
                <w:rFonts w:ascii="Arial" w:hAnsi="Arial" w:cs="Arial"/>
                <w:b/>
                <w:bCs/>
              </w:rPr>
              <w:t>Equity Value (₹ crore)</w:t>
            </w:r>
          </w:p>
        </w:tc>
        <w:tc>
          <w:tcPr>
            <w:tcW w:w="2127" w:type="dxa"/>
          </w:tcPr>
          <w:p w14:paraId="38A52244" w14:textId="3FF63748" w:rsidR="00517169" w:rsidRPr="00820B00" w:rsidRDefault="00517169" w:rsidP="000D7DB6">
            <w:pPr>
              <w:spacing w:line="276" w:lineRule="auto"/>
              <w:ind w:left="567"/>
              <w:jc w:val="both"/>
              <w:rPr>
                <w:rFonts w:ascii="Arial" w:hAnsi="Arial" w:cs="Arial"/>
                <w:b/>
                <w:bCs/>
              </w:rPr>
            </w:pPr>
            <w:r w:rsidRPr="00820B00">
              <w:rPr>
                <w:rFonts w:ascii="Arial" w:hAnsi="Arial" w:cs="Arial"/>
                <w:b/>
                <w:bCs/>
              </w:rPr>
              <w:t>Per Share Price (₹)</w:t>
            </w:r>
          </w:p>
        </w:tc>
      </w:tr>
      <w:tr w:rsidR="00517169" w:rsidRPr="00820B00" w14:paraId="1AFDC6BE" w14:textId="77777777" w:rsidTr="000D7DB6">
        <w:tc>
          <w:tcPr>
            <w:tcW w:w="2122" w:type="dxa"/>
          </w:tcPr>
          <w:p w14:paraId="1E81C865" w14:textId="6B64B099" w:rsidR="00517169" w:rsidRPr="00820B00" w:rsidRDefault="00517169" w:rsidP="000D7DB6">
            <w:pPr>
              <w:spacing w:line="276" w:lineRule="auto"/>
              <w:ind w:left="567"/>
              <w:jc w:val="both"/>
              <w:rPr>
                <w:rFonts w:ascii="Arial" w:hAnsi="Arial" w:cs="Arial"/>
              </w:rPr>
            </w:pPr>
            <w:r w:rsidRPr="00820B00">
              <w:rPr>
                <w:rFonts w:ascii="Arial" w:hAnsi="Arial" w:cs="Arial"/>
              </w:rPr>
              <w:t>P/E Multiple</w:t>
            </w:r>
          </w:p>
        </w:tc>
        <w:tc>
          <w:tcPr>
            <w:tcW w:w="2409" w:type="dxa"/>
          </w:tcPr>
          <w:p w14:paraId="73F19D09" w14:textId="61B46895" w:rsidR="00517169" w:rsidRPr="00820B00" w:rsidRDefault="00775198" w:rsidP="000D7DB6">
            <w:pPr>
              <w:spacing w:line="276" w:lineRule="auto"/>
              <w:ind w:left="567"/>
              <w:jc w:val="both"/>
              <w:rPr>
                <w:rFonts w:ascii="Arial" w:hAnsi="Arial" w:cs="Arial"/>
              </w:rPr>
            </w:pPr>
            <w:r w:rsidRPr="00820B00">
              <w:rPr>
                <w:rFonts w:ascii="Arial" w:hAnsi="Arial" w:cs="Arial"/>
              </w:rPr>
              <w:t>₹8,44,714.62</w:t>
            </w:r>
          </w:p>
        </w:tc>
        <w:tc>
          <w:tcPr>
            <w:tcW w:w="2127" w:type="dxa"/>
          </w:tcPr>
          <w:p w14:paraId="17225403" w14:textId="20711796" w:rsidR="00517169" w:rsidRPr="00820B00" w:rsidRDefault="00775198" w:rsidP="000D7DB6">
            <w:pPr>
              <w:spacing w:line="276" w:lineRule="auto"/>
              <w:ind w:left="567"/>
              <w:jc w:val="both"/>
              <w:rPr>
                <w:rFonts w:ascii="Arial" w:hAnsi="Arial" w:cs="Arial"/>
              </w:rPr>
            </w:pPr>
            <w:r w:rsidRPr="00820B00">
              <w:rPr>
                <w:rFonts w:ascii="Arial" w:hAnsi="Arial" w:cs="Arial"/>
              </w:rPr>
              <w:t>₹3,412.99</w:t>
            </w:r>
          </w:p>
        </w:tc>
      </w:tr>
      <w:tr w:rsidR="00517169" w:rsidRPr="00820B00" w14:paraId="27E938D2" w14:textId="77777777" w:rsidTr="000D7DB6">
        <w:tc>
          <w:tcPr>
            <w:tcW w:w="2122" w:type="dxa"/>
          </w:tcPr>
          <w:p w14:paraId="14BE1DB9" w14:textId="69881E57" w:rsidR="00517169" w:rsidRPr="00820B00" w:rsidRDefault="00517169" w:rsidP="000D7DB6">
            <w:pPr>
              <w:spacing w:line="276" w:lineRule="auto"/>
              <w:ind w:left="567"/>
              <w:jc w:val="both"/>
              <w:rPr>
                <w:rFonts w:ascii="Arial" w:hAnsi="Arial" w:cs="Arial"/>
              </w:rPr>
            </w:pPr>
            <w:r w:rsidRPr="00820B00">
              <w:rPr>
                <w:rFonts w:ascii="Arial" w:hAnsi="Arial" w:cs="Arial"/>
              </w:rPr>
              <w:t>EV/EBITDA Multiple</w:t>
            </w:r>
          </w:p>
        </w:tc>
        <w:tc>
          <w:tcPr>
            <w:tcW w:w="2409" w:type="dxa"/>
          </w:tcPr>
          <w:p w14:paraId="5C870C9C" w14:textId="687B0576" w:rsidR="00517169" w:rsidRPr="00820B00" w:rsidRDefault="00775198" w:rsidP="000D7DB6">
            <w:pPr>
              <w:spacing w:line="276" w:lineRule="auto"/>
              <w:ind w:left="567"/>
              <w:jc w:val="both"/>
              <w:rPr>
                <w:rFonts w:ascii="Arial" w:hAnsi="Arial" w:cs="Arial"/>
              </w:rPr>
            </w:pPr>
            <w:r w:rsidRPr="00820B00">
              <w:rPr>
                <w:rFonts w:ascii="Arial" w:hAnsi="Arial" w:cs="Arial"/>
              </w:rPr>
              <w:t>₹7,05,172.46</w:t>
            </w:r>
          </w:p>
        </w:tc>
        <w:tc>
          <w:tcPr>
            <w:tcW w:w="2127" w:type="dxa"/>
          </w:tcPr>
          <w:p w14:paraId="43FBA4AC" w14:textId="48571B96" w:rsidR="00517169" w:rsidRPr="00820B00" w:rsidRDefault="00775198" w:rsidP="000D7DB6">
            <w:pPr>
              <w:spacing w:line="276" w:lineRule="auto"/>
              <w:ind w:left="567"/>
              <w:jc w:val="both"/>
              <w:rPr>
                <w:rFonts w:ascii="Arial" w:hAnsi="Arial" w:cs="Arial"/>
              </w:rPr>
            </w:pPr>
            <w:r w:rsidRPr="00820B00">
              <w:rPr>
                <w:rFonts w:ascii="Arial" w:hAnsi="Arial" w:cs="Arial"/>
              </w:rPr>
              <w:t>₹2,849.18</w:t>
            </w:r>
          </w:p>
        </w:tc>
      </w:tr>
      <w:tr w:rsidR="00517169" w:rsidRPr="00820B00" w14:paraId="1357E59A" w14:textId="77777777" w:rsidTr="000D7DB6">
        <w:tc>
          <w:tcPr>
            <w:tcW w:w="2122" w:type="dxa"/>
          </w:tcPr>
          <w:p w14:paraId="39359E11" w14:textId="02A1079D" w:rsidR="00517169" w:rsidRPr="00820B00" w:rsidRDefault="00775198" w:rsidP="000D7DB6">
            <w:pPr>
              <w:spacing w:line="276" w:lineRule="auto"/>
              <w:ind w:left="567"/>
              <w:jc w:val="both"/>
              <w:rPr>
                <w:rFonts w:ascii="Arial" w:hAnsi="Arial" w:cs="Arial"/>
              </w:rPr>
            </w:pPr>
            <w:r w:rsidRPr="00820B00">
              <w:rPr>
                <w:rFonts w:ascii="Arial" w:hAnsi="Arial" w:cs="Arial"/>
              </w:rPr>
              <w:t>Average (Blended)</w:t>
            </w:r>
          </w:p>
        </w:tc>
        <w:tc>
          <w:tcPr>
            <w:tcW w:w="2409" w:type="dxa"/>
          </w:tcPr>
          <w:p w14:paraId="58FDBA7B" w14:textId="4F381F7F" w:rsidR="00517169" w:rsidRPr="00820B00" w:rsidRDefault="00775198" w:rsidP="000D7DB6">
            <w:pPr>
              <w:spacing w:line="276" w:lineRule="auto"/>
              <w:ind w:left="567"/>
              <w:jc w:val="both"/>
              <w:rPr>
                <w:rFonts w:ascii="Arial" w:hAnsi="Arial" w:cs="Arial"/>
              </w:rPr>
            </w:pPr>
            <w:r w:rsidRPr="00820B00">
              <w:rPr>
                <w:rFonts w:ascii="Arial" w:hAnsi="Arial" w:cs="Arial"/>
              </w:rPr>
              <w:t>₹7,74,943.54</w:t>
            </w:r>
          </w:p>
        </w:tc>
        <w:tc>
          <w:tcPr>
            <w:tcW w:w="2127" w:type="dxa"/>
          </w:tcPr>
          <w:p w14:paraId="18E7E564" w14:textId="419B8F01" w:rsidR="00517169" w:rsidRPr="00820B00" w:rsidRDefault="00F766B6" w:rsidP="000D7DB6">
            <w:pPr>
              <w:spacing w:line="276" w:lineRule="auto"/>
              <w:ind w:left="567"/>
              <w:jc w:val="both"/>
              <w:rPr>
                <w:rFonts w:ascii="Arial" w:hAnsi="Arial" w:cs="Arial"/>
              </w:rPr>
            </w:pPr>
            <w:r w:rsidRPr="00820B00">
              <w:rPr>
                <w:rFonts w:ascii="Arial" w:hAnsi="Arial" w:cs="Arial"/>
              </w:rPr>
              <w:t>₹3,131.08</w:t>
            </w:r>
          </w:p>
        </w:tc>
      </w:tr>
    </w:tbl>
    <w:p w14:paraId="534A6970" w14:textId="77777777" w:rsidR="00F766B6" w:rsidRPr="00820B00" w:rsidRDefault="00F766B6" w:rsidP="00D72896">
      <w:pPr>
        <w:spacing w:after="0" w:line="276" w:lineRule="auto"/>
        <w:jc w:val="both"/>
        <w:rPr>
          <w:rFonts w:ascii="Arial" w:hAnsi="Arial" w:cs="Arial"/>
        </w:rPr>
      </w:pPr>
    </w:p>
    <w:p w14:paraId="14BDF92D" w14:textId="77777777" w:rsidR="003B0295" w:rsidRPr="00E95F28" w:rsidRDefault="003B0295" w:rsidP="00E95F28">
      <w:pPr>
        <w:pStyle w:val="Heading2"/>
        <w:spacing w:before="0" w:after="0" w:line="276" w:lineRule="auto"/>
        <w:jc w:val="both"/>
        <w:rPr>
          <w:b/>
          <w:bCs/>
          <w:color w:val="auto"/>
        </w:rPr>
      </w:pPr>
      <w:bookmarkStart w:id="5" w:name="_Toc209598724"/>
      <w:r w:rsidRPr="00E95F28">
        <w:rPr>
          <w:b/>
          <w:bCs/>
          <w:color w:val="auto"/>
        </w:rPr>
        <w:t>Sensitivity Analysis</w:t>
      </w:r>
      <w:bookmarkEnd w:id="5"/>
    </w:p>
    <w:p w14:paraId="570CE40D" w14:textId="77777777" w:rsidR="003B0295" w:rsidRDefault="003B0295" w:rsidP="000D7DB6">
      <w:pPr>
        <w:spacing w:after="0" w:line="276" w:lineRule="auto"/>
        <w:ind w:left="576"/>
        <w:jc w:val="both"/>
        <w:rPr>
          <w:rFonts w:ascii="Arial" w:hAnsi="Arial" w:cs="Arial"/>
        </w:rPr>
      </w:pPr>
      <w:r w:rsidRPr="00820B00">
        <w:rPr>
          <w:rFonts w:ascii="Arial" w:hAnsi="Arial" w:cs="Arial"/>
        </w:rPr>
        <w:t>A sensitivity analysis is a critical component of a robust valuation, as it tests the model's assumptions by showing the range of potential outcomes. The table below illustrates how NSE’s valuation changes based on varying inputs for the Weighted Average Cost of Capital (WACC) and the long-term perpetuity growth rate.</w:t>
      </w:r>
    </w:p>
    <w:tbl>
      <w:tblPr>
        <w:tblStyle w:val="TableGrid"/>
        <w:tblW w:w="8440" w:type="dxa"/>
        <w:tblInd w:w="576" w:type="dxa"/>
        <w:tblLook w:val="04A0" w:firstRow="1" w:lastRow="0" w:firstColumn="1" w:lastColumn="0" w:noHBand="0" w:noVBand="1"/>
      </w:tblPr>
      <w:tblGrid>
        <w:gridCol w:w="1146"/>
        <w:gridCol w:w="1508"/>
        <w:gridCol w:w="1528"/>
        <w:gridCol w:w="1365"/>
        <w:gridCol w:w="1528"/>
        <w:gridCol w:w="1365"/>
      </w:tblGrid>
      <w:tr w:rsidR="00DE6B1A" w:rsidRPr="00820B00" w14:paraId="35F70B02" w14:textId="77777777" w:rsidTr="000D7DB6">
        <w:tc>
          <w:tcPr>
            <w:tcW w:w="979" w:type="dxa"/>
          </w:tcPr>
          <w:p w14:paraId="4E4D74AE" w14:textId="689CAB3B" w:rsidR="00DE6B1A" w:rsidRPr="000D7DB6" w:rsidRDefault="00DE6B1A" w:rsidP="00D72896">
            <w:pPr>
              <w:spacing w:line="276" w:lineRule="auto"/>
              <w:jc w:val="both"/>
              <w:rPr>
                <w:rFonts w:ascii="Arial" w:hAnsi="Arial" w:cs="Arial"/>
                <w:color w:val="ADADAD" w:themeColor="background2" w:themeShade="BF"/>
                <w:sz w:val="19"/>
                <w:szCs w:val="19"/>
                <w:highlight w:val="lightGray"/>
              </w:rPr>
            </w:pPr>
          </w:p>
        </w:tc>
        <w:tc>
          <w:tcPr>
            <w:tcW w:w="7461" w:type="dxa"/>
            <w:gridSpan w:val="5"/>
          </w:tcPr>
          <w:p w14:paraId="7601967C" w14:textId="260B7F27" w:rsidR="00DE6B1A" w:rsidRPr="000D7DB6" w:rsidRDefault="00DE6B1A" w:rsidP="00820B00">
            <w:pPr>
              <w:spacing w:line="276" w:lineRule="auto"/>
              <w:jc w:val="center"/>
              <w:rPr>
                <w:rFonts w:ascii="Arial" w:hAnsi="Arial" w:cs="Arial"/>
                <w:b/>
                <w:bCs/>
                <w:sz w:val="19"/>
                <w:szCs w:val="19"/>
              </w:rPr>
            </w:pPr>
            <w:r w:rsidRPr="000D7DB6">
              <w:rPr>
                <w:rFonts w:ascii="Arial" w:hAnsi="Arial" w:cs="Arial"/>
                <w:b/>
                <w:bCs/>
                <w:sz w:val="19"/>
                <w:szCs w:val="19"/>
              </w:rPr>
              <w:t>WACC</w:t>
            </w:r>
          </w:p>
        </w:tc>
      </w:tr>
      <w:tr w:rsidR="00DE6B1A" w:rsidRPr="00820B00" w14:paraId="207DF445" w14:textId="77777777" w:rsidTr="000D7DB6">
        <w:tc>
          <w:tcPr>
            <w:tcW w:w="979" w:type="dxa"/>
          </w:tcPr>
          <w:p w14:paraId="616E1E39" w14:textId="3A3C070D" w:rsidR="00DE6B1A" w:rsidRPr="000D7DB6" w:rsidRDefault="00943D4F" w:rsidP="00D72896">
            <w:pPr>
              <w:spacing w:line="276" w:lineRule="auto"/>
              <w:jc w:val="both"/>
              <w:rPr>
                <w:rFonts w:ascii="Arial" w:hAnsi="Arial" w:cs="Arial"/>
                <w:b/>
                <w:bCs/>
                <w:sz w:val="19"/>
                <w:szCs w:val="19"/>
              </w:rPr>
            </w:pPr>
            <w:r w:rsidRPr="000D7DB6">
              <w:rPr>
                <w:rFonts w:ascii="Arial" w:hAnsi="Arial" w:cs="Arial"/>
                <w:b/>
                <w:bCs/>
                <w:sz w:val="19"/>
                <w:szCs w:val="19"/>
              </w:rPr>
              <w:t>Perpetuity Growth Rate</w:t>
            </w:r>
            <w:r w:rsidR="0034046B" w:rsidRPr="000D7DB6">
              <w:rPr>
                <w:rFonts w:ascii="Arial" w:hAnsi="Arial" w:cs="Arial"/>
                <w:b/>
                <w:bCs/>
                <w:sz w:val="19"/>
                <w:szCs w:val="19"/>
              </w:rPr>
              <w:t xml:space="preserve"> </w:t>
            </w:r>
          </w:p>
        </w:tc>
        <w:tc>
          <w:tcPr>
            <w:tcW w:w="1597" w:type="dxa"/>
          </w:tcPr>
          <w:p w14:paraId="588A4A05" w14:textId="3B4EE2F7" w:rsidR="00DE6B1A" w:rsidRPr="000D7DB6" w:rsidRDefault="00943D4F" w:rsidP="00D72896">
            <w:pPr>
              <w:spacing w:line="276" w:lineRule="auto"/>
              <w:jc w:val="both"/>
              <w:rPr>
                <w:rFonts w:ascii="Arial" w:hAnsi="Arial" w:cs="Arial"/>
                <w:sz w:val="19"/>
                <w:szCs w:val="19"/>
              </w:rPr>
            </w:pPr>
            <w:r w:rsidRPr="000D7DB6">
              <w:rPr>
                <w:rFonts w:ascii="Arial" w:hAnsi="Arial" w:cs="Arial"/>
                <w:sz w:val="19"/>
                <w:szCs w:val="19"/>
              </w:rPr>
              <w:t>6.66</w:t>
            </w:r>
            <w:r w:rsidR="00130151" w:rsidRPr="000D7DB6">
              <w:rPr>
                <w:rFonts w:ascii="Arial" w:hAnsi="Arial" w:cs="Arial"/>
                <w:sz w:val="19"/>
                <w:szCs w:val="19"/>
              </w:rPr>
              <w:t>%</w:t>
            </w:r>
          </w:p>
        </w:tc>
        <w:tc>
          <w:tcPr>
            <w:tcW w:w="1549" w:type="dxa"/>
          </w:tcPr>
          <w:p w14:paraId="4C468F70" w14:textId="5C65EC41" w:rsidR="00DE6B1A" w:rsidRPr="000D7DB6" w:rsidRDefault="00943D4F" w:rsidP="00D72896">
            <w:pPr>
              <w:spacing w:line="276" w:lineRule="auto"/>
              <w:jc w:val="both"/>
              <w:rPr>
                <w:rFonts w:ascii="Arial" w:hAnsi="Arial" w:cs="Arial"/>
                <w:sz w:val="19"/>
                <w:szCs w:val="19"/>
              </w:rPr>
            </w:pPr>
            <w:r w:rsidRPr="000D7DB6">
              <w:rPr>
                <w:rFonts w:ascii="Arial" w:hAnsi="Arial" w:cs="Arial"/>
                <w:sz w:val="19"/>
                <w:szCs w:val="19"/>
              </w:rPr>
              <w:t>7.16</w:t>
            </w:r>
            <w:r w:rsidR="00130151" w:rsidRPr="000D7DB6">
              <w:rPr>
                <w:rFonts w:ascii="Arial" w:hAnsi="Arial" w:cs="Arial"/>
                <w:sz w:val="19"/>
                <w:szCs w:val="19"/>
              </w:rPr>
              <w:t>%</w:t>
            </w:r>
          </w:p>
        </w:tc>
        <w:tc>
          <w:tcPr>
            <w:tcW w:w="1383" w:type="dxa"/>
          </w:tcPr>
          <w:p w14:paraId="49F98B90" w14:textId="4D256CB4" w:rsidR="00DE6B1A" w:rsidRPr="000D7DB6" w:rsidRDefault="006B0C44" w:rsidP="00D72896">
            <w:pPr>
              <w:spacing w:line="276" w:lineRule="auto"/>
              <w:jc w:val="both"/>
              <w:rPr>
                <w:rFonts w:ascii="Arial" w:hAnsi="Arial" w:cs="Arial"/>
                <w:sz w:val="19"/>
                <w:szCs w:val="19"/>
              </w:rPr>
            </w:pPr>
            <w:r w:rsidRPr="000D7DB6">
              <w:rPr>
                <w:rFonts w:ascii="Arial" w:hAnsi="Arial" w:cs="Arial"/>
                <w:sz w:val="19"/>
                <w:szCs w:val="19"/>
              </w:rPr>
              <w:t>7.66</w:t>
            </w:r>
            <w:r w:rsidR="00130151" w:rsidRPr="000D7DB6">
              <w:rPr>
                <w:rFonts w:ascii="Arial" w:hAnsi="Arial" w:cs="Arial"/>
                <w:sz w:val="19"/>
                <w:szCs w:val="19"/>
              </w:rPr>
              <w:t>%</w:t>
            </w:r>
          </w:p>
        </w:tc>
        <w:tc>
          <w:tcPr>
            <w:tcW w:w="1549" w:type="dxa"/>
          </w:tcPr>
          <w:p w14:paraId="056BDEEB" w14:textId="2FC80F3B" w:rsidR="00DE6B1A" w:rsidRPr="000D7DB6" w:rsidRDefault="006B0C44" w:rsidP="00D72896">
            <w:pPr>
              <w:spacing w:line="276" w:lineRule="auto"/>
              <w:jc w:val="both"/>
              <w:rPr>
                <w:rFonts w:ascii="Arial" w:hAnsi="Arial" w:cs="Arial"/>
                <w:sz w:val="19"/>
                <w:szCs w:val="19"/>
              </w:rPr>
            </w:pPr>
            <w:r w:rsidRPr="000D7DB6">
              <w:rPr>
                <w:rFonts w:ascii="Arial" w:hAnsi="Arial" w:cs="Arial"/>
                <w:sz w:val="19"/>
                <w:szCs w:val="19"/>
              </w:rPr>
              <w:t>8.16</w:t>
            </w:r>
            <w:r w:rsidR="00130151" w:rsidRPr="000D7DB6">
              <w:rPr>
                <w:rFonts w:ascii="Arial" w:hAnsi="Arial" w:cs="Arial"/>
                <w:sz w:val="19"/>
                <w:szCs w:val="19"/>
              </w:rPr>
              <w:t>%</w:t>
            </w:r>
          </w:p>
        </w:tc>
        <w:tc>
          <w:tcPr>
            <w:tcW w:w="1383" w:type="dxa"/>
          </w:tcPr>
          <w:p w14:paraId="16539B6A" w14:textId="28FD1C1B" w:rsidR="00DE6B1A" w:rsidRPr="000D7DB6" w:rsidRDefault="006B0C44" w:rsidP="00D72896">
            <w:pPr>
              <w:spacing w:line="276" w:lineRule="auto"/>
              <w:jc w:val="both"/>
              <w:rPr>
                <w:rFonts w:ascii="Arial" w:hAnsi="Arial" w:cs="Arial"/>
                <w:sz w:val="19"/>
                <w:szCs w:val="19"/>
              </w:rPr>
            </w:pPr>
            <w:r w:rsidRPr="000D7DB6">
              <w:rPr>
                <w:rFonts w:ascii="Arial" w:hAnsi="Arial" w:cs="Arial"/>
                <w:sz w:val="19"/>
                <w:szCs w:val="19"/>
              </w:rPr>
              <w:t>8.66</w:t>
            </w:r>
            <w:r w:rsidR="00130151" w:rsidRPr="000D7DB6">
              <w:rPr>
                <w:rFonts w:ascii="Arial" w:hAnsi="Arial" w:cs="Arial"/>
                <w:sz w:val="19"/>
                <w:szCs w:val="19"/>
              </w:rPr>
              <w:t>%</w:t>
            </w:r>
          </w:p>
        </w:tc>
      </w:tr>
      <w:tr w:rsidR="0034046B" w:rsidRPr="00820B00" w14:paraId="0A76AEDB" w14:textId="77777777" w:rsidTr="000D7DB6">
        <w:tc>
          <w:tcPr>
            <w:tcW w:w="979" w:type="dxa"/>
          </w:tcPr>
          <w:p w14:paraId="1B10CED7" w14:textId="142E8B0A" w:rsidR="0034046B" w:rsidRPr="000D7DB6" w:rsidRDefault="0034046B" w:rsidP="00D72896">
            <w:pPr>
              <w:spacing w:line="276" w:lineRule="auto"/>
              <w:jc w:val="both"/>
              <w:rPr>
                <w:rFonts w:ascii="Arial" w:hAnsi="Arial" w:cs="Arial"/>
                <w:sz w:val="19"/>
                <w:szCs w:val="19"/>
              </w:rPr>
            </w:pPr>
            <w:r w:rsidRPr="000D7DB6">
              <w:rPr>
                <w:rFonts w:ascii="Arial" w:hAnsi="Arial" w:cs="Arial"/>
                <w:sz w:val="19"/>
                <w:szCs w:val="19"/>
              </w:rPr>
              <w:t>4.00%</w:t>
            </w:r>
          </w:p>
        </w:tc>
        <w:tc>
          <w:tcPr>
            <w:tcW w:w="1597" w:type="dxa"/>
            <w:vAlign w:val="bottom"/>
          </w:tcPr>
          <w:p w14:paraId="6EDBC46D" w14:textId="4B301AA1"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8,09,425.10</w:t>
            </w:r>
          </w:p>
        </w:tc>
        <w:tc>
          <w:tcPr>
            <w:tcW w:w="1549" w:type="dxa"/>
            <w:vAlign w:val="bottom"/>
          </w:tcPr>
          <w:p w14:paraId="000B7DE4" w14:textId="58419357"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6,78,437.93</w:t>
            </w:r>
          </w:p>
        </w:tc>
        <w:tc>
          <w:tcPr>
            <w:tcW w:w="1383" w:type="dxa"/>
            <w:vAlign w:val="bottom"/>
          </w:tcPr>
          <w:p w14:paraId="53E943B5" w14:textId="2C7F6A7D"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5,83,283.74</w:t>
            </w:r>
          </w:p>
        </w:tc>
        <w:tc>
          <w:tcPr>
            <w:tcW w:w="1549" w:type="dxa"/>
            <w:vAlign w:val="bottom"/>
          </w:tcPr>
          <w:p w14:paraId="36D75338" w14:textId="6B7EA29C"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5,11,041.06</w:t>
            </w:r>
          </w:p>
        </w:tc>
        <w:tc>
          <w:tcPr>
            <w:tcW w:w="1383" w:type="dxa"/>
            <w:vAlign w:val="bottom"/>
          </w:tcPr>
          <w:p w14:paraId="7DA051FF" w14:textId="3B672641"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4,54,334.12</w:t>
            </w:r>
          </w:p>
        </w:tc>
      </w:tr>
      <w:tr w:rsidR="0034046B" w:rsidRPr="00820B00" w14:paraId="3CE4C30C" w14:textId="77777777" w:rsidTr="000D7DB6">
        <w:tc>
          <w:tcPr>
            <w:tcW w:w="979" w:type="dxa"/>
          </w:tcPr>
          <w:p w14:paraId="061ECDEC" w14:textId="35C7B245" w:rsidR="0034046B" w:rsidRPr="000D7DB6" w:rsidRDefault="0034046B" w:rsidP="00D72896">
            <w:pPr>
              <w:spacing w:line="276" w:lineRule="auto"/>
              <w:jc w:val="both"/>
              <w:rPr>
                <w:rFonts w:ascii="Arial" w:hAnsi="Arial" w:cs="Arial"/>
                <w:sz w:val="19"/>
                <w:szCs w:val="19"/>
              </w:rPr>
            </w:pPr>
            <w:r w:rsidRPr="000D7DB6">
              <w:rPr>
                <w:rFonts w:ascii="Arial" w:hAnsi="Arial" w:cs="Arial"/>
                <w:sz w:val="19"/>
                <w:szCs w:val="19"/>
              </w:rPr>
              <w:t>5.00%</w:t>
            </w:r>
          </w:p>
        </w:tc>
        <w:tc>
          <w:tcPr>
            <w:tcW w:w="1597" w:type="dxa"/>
            <w:vAlign w:val="bottom"/>
          </w:tcPr>
          <w:p w14:paraId="66CE7959" w14:textId="2E2C6543"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12,60,796.12</w:t>
            </w:r>
          </w:p>
        </w:tc>
        <w:tc>
          <w:tcPr>
            <w:tcW w:w="1549" w:type="dxa"/>
            <w:vAlign w:val="bottom"/>
          </w:tcPr>
          <w:p w14:paraId="1A124864" w14:textId="71B58086"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9,65,025.97</w:t>
            </w:r>
          </w:p>
        </w:tc>
        <w:tc>
          <w:tcPr>
            <w:tcW w:w="1383" w:type="dxa"/>
            <w:vAlign w:val="bottom"/>
          </w:tcPr>
          <w:p w14:paraId="4A6FDDDF" w14:textId="0E3D5379"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7,80,503.08</w:t>
            </w:r>
          </w:p>
        </w:tc>
        <w:tc>
          <w:tcPr>
            <w:tcW w:w="1549" w:type="dxa"/>
            <w:vAlign w:val="bottom"/>
          </w:tcPr>
          <w:p w14:paraId="409FA108" w14:textId="7E1FA2B7"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6,54,419.09</w:t>
            </w:r>
          </w:p>
        </w:tc>
        <w:tc>
          <w:tcPr>
            <w:tcW w:w="1383" w:type="dxa"/>
            <w:vAlign w:val="bottom"/>
          </w:tcPr>
          <w:p w14:paraId="46F194C2" w14:textId="2588FB16"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5,62,822.68</w:t>
            </w:r>
          </w:p>
        </w:tc>
      </w:tr>
      <w:tr w:rsidR="0034046B" w:rsidRPr="00820B00" w14:paraId="59EA81D3" w14:textId="77777777" w:rsidTr="000D7DB6">
        <w:tc>
          <w:tcPr>
            <w:tcW w:w="979" w:type="dxa"/>
          </w:tcPr>
          <w:p w14:paraId="2F1B84C4" w14:textId="7BA7B791" w:rsidR="0034046B" w:rsidRPr="000D7DB6" w:rsidRDefault="0034046B" w:rsidP="00D72896">
            <w:pPr>
              <w:spacing w:line="276" w:lineRule="auto"/>
              <w:jc w:val="both"/>
              <w:rPr>
                <w:rFonts w:ascii="Arial" w:hAnsi="Arial" w:cs="Arial"/>
                <w:sz w:val="19"/>
                <w:szCs w:val="19"/>
              </w:rPr>
            </w:pPr>
            <w:r w:rsidRPr="000D7DB6">
              <w:rPr>
                <w:rFonts w:ascii="Arial" w:hAnsi="Arial" w:cs="Arial"/>
                <w:sz w:val="19"/>
                <w:szCs w:val="19"/>
              </w:rPr>
              <w:t>6.00%</w:t>
            </w:r>
          </w:p>
        </w:tc>
        <w:tc>
          <w:tcPr>
            <w:tcW w:w="1597" w:type="dxa"/>
            <w:vAlign w:val="bottom"/>
          </w:tcPr>
          <w:p w14:paraId="4DC13223" w14:textId="4DFC0478"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30,79,958.14</w:t>
            </w:r>
          </w:p>
        </w:tc>
        <w:tc>
          <w:tcPr>
            <w:tcW w:w="1549" w:type="dxa"/>
            <w:vAlign w:val="bottom"/>
          </w:tcPr>
          <w:p w14:paraId="07AD47E1" w14:textId="131357C9"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17,45,731.33</w:t>
            </w:r>
          </w:p>
        </w:tc>
        <w:tc>
          <w:tcPr>
            <w:tcW w:w="1383" w:type="dxa"/>
            <w:vAlign w:val="bottom"/>
          </w:tcPr>
          <w:p w14:paraId="1DAB2A14" w14:textId="081A6884"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12,15,336.08</w:t>
            </w:r>
          </w:p>
        </w:tc>
        <w:tc>
          <w:tcPr>
            <w:tcW w:w="1549" w:type="dxa"/>
            <w:vAlign w:val="bottom"/>
          </w:tcPr>
          <w:p w14:paraId="4A7A029A" w14:textId="700E8330"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9,30,554.54</w:t>
            </w:r>
          </w:p>
        </w:tc>
        <w:tc>
          <w:tcPr>
            <w:tcW w:w="1383" w:type="dxa"/>
            <w:vAlign w:val="bottom"/>
          </w:tcPr>
          <w:p w14:paraId="45C2B6C5" w14:textId="79FC0D30"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7,52,881.57</w:t>
            </w:r>
          </w:p>
        </w:tc>
      </w:tr>
      <w:tr w:rsidR="0034046B" w:rsidRPr="00820B00" w14:paraId="3F7C6967" w14:textId="77777777" w:rsidTr="000D7DB6">
        <w:tc>
          <w:tcPr>
            <w:tcW w:w="979" w:type="dxa"/>
          </w:tcPr>
          <w:p w14:paraId="148368D3" w14:textId="20B31D62" w:rsidR="0034046B" w:rsidRPr="000D7DB6" w:rsidRDefault="0034046B" w:rsidP="00D72896">
            <w:pPr>
              <w:spacing w:line="276" w:lineRule="auto"/>
              <w:jc w:val="both"/>
              <w:rPr>
                <w:rFonts w:ascii="Arial" w:hAnsi="Arial" w:cs="Arial"/>
                <w:sz w:val="19"/>
                <w:szCs w:val="19"/>
              </w:rPr>
            </w:pPr>
            <w:r w:rsidRPr="000D7DB6">
              <w:rPr>
                <w:rFonts w:ascii="Arial" w:hAnsi="Arial" w:cs="Arial"/>
                <w:sz w:val="19"/>
                <w:szCs w:val="19"/>
              </w:rPr>
              <w:t>7.00%</w:t>
            </w:r>
          </w:p>
        </w:tc>
        <w:tc>
          <w:tcPr>
            <w:tcW w:w="1597" w:type="dxa"/>
            <w:vAlign w:val="bottom"/>
          </w:tcPr>
          <w:p w14:paraId="10593315" w14:textId="37C119AB"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FF0000"/>
                <w:kern w:val="0"/>
                <w:sz w:val="19"/>
                <w:szCs w:val="19"/>
                <w:lang w:eastAsia="en-IN"/>
                <w14:ligatures w14:val="none"/>
              </w:rPr>
              <w:t>₹ -58,01,832.88</w:t>
            </w:r>
          </w:p>
        </w:tc>
        <w:tc>
          <w:tcPr>
            <w:tcW w:w="1549" w:type="dxa"/>
            <w:vAlign w:val="bottom"/>
          </w:tcPr>
          <w:p w14:paraId="49096A98" w14:textId="161D5772"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1,22,85,253.67</w:t>
            </w:r>
          </w:p>
        </w:tc>
        <w:tc>
          <w:tcPr>
            <w:tcW w:w="1383" w:type="dxa"/>
            <w:vAlign w:val="bottom"/>
          </w:tcPr>
          <w:p w14:paraId="094B2B61" w14:textId="297553C8"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29,67,844.83</w:t>
            </w:r>
          </w:p>
        </w:tc>
        <w:tc>
          <w:tcPr>
            <w:tcW w:w="1549" w:type="dxa"/>
            <w:vAlign w:val="bottom"/>
          </w:tcPr>
          <w:p w14:paraId="23CBD9C5" w14:textId="49158CCD"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16,82,785.61</w:t>
            </w:r>
          </w:p>
        </w:tc>
        <w:tc>
          <w:tcPr>
            <w:tcW w:w="1383" w:type="dxa"/>
            <w:vAlign w:val="bottom"/>
          </w:tcPr>
          <w:p w14:paraId="5E6E1083" w14:textId="18D81702"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11,71,927.08</w:t>
            </w:r>
          </w:p>
        </w:tc>
      </w:tr>
      <w:tr w:rsidR="0034046B" w:rsidRPr="00820B00" w14:paraId="587E1FA4" w14:textId="77777777" w:rsidTr="000D7DB6">
        <w:tc>
          <w:tcPr>
            <w:tcW w:w="979" w:type="dxa"/>
          </w:tcPr>
          <w:p w14:paraId="4CDD7AD7" w14:textId="2A1EB5A2" w:rsidR="0034046B" w:rsidRPr="000D7DB6" w:rsidRDefault="0034046B" w:rsidP="00D72896">
            <w:pPr>
              <w:spacing w:line="276" w:lineRule="auto"/>
              <w:jc w:val="both"/>
              <w:rPr>
                <w:rFonts w:ascii="Arial" w:hAnsi="Arial" w:cs="Arial"/>
                <w:sz w:val="19"/>
                <w:szCs w:val="19"/>
              </w:rPr>
            </w:pPr>
            <w:r w:rsidRPr="000D7DB6">
              <w:rPr>
                <w:rFonts w:ascii="Arial" w:hAnsi="Arial" w:cs="Arial"/>
                <w:sz w:val="19"/>
                <w:szCs w:val="19"/>
              </w:rPr>
              <w:t>8.00%</w:t>
            </w:r>
          </w:p>
        </w:tc>
        <w:tc>
          <w:tcPr>
            <w:tcW w:w="1597" w:type="dxa"/>
            <w:vAlign w:val="bottom"/>
          </w:tcPr>
          <w:p w14:paraId="67BE6511" w14:textId="63F446D7"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FF0000"/>
                <w:kern w:val="0"/>
                <w:sz w:val="19"/>
                <w:szCs w:val="19"/>
                <w:lang w:eastAsia="en-IN"/>
                <w14:ligatures w14:val="none"/>
              </w:rPr>
              <w:t>₹ -14,27,219.39</w:t>
            </w:r>
          </w:p>
        </w:tc>
        <w:tc>
          <w:tcPr>
            <w:tcW w:w="1549" w:type="dxa"/>
            <w:vAlign w:val="bottom"/>
          </w:tcPr>
          <w:p w14:paraId="0E382AA6" w14:textId="3E3D4F3E"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FF0000"/>
                <w:kern w:val="0"/>
                <w:sz w:val="19"/>
                <w:szCs w:val="19"/>
                <w:lang w:eastAsia="en-IN"/>
                <w14:ligatures w14:val="none"/>
              </w:rPr>
              <w:t>₹ -22,69,324.80</w:t>
            </w:r>
          </w:p>
        </w:tc>
        <w:tc>
          <w:tcPr>
            <w:tcW w:w="1383" w:type="dxa"/>
            <w:vAlign w:val="bottom"/>
          </w:tcPr>
          <w:p w14:paraId="1BC8E43E" w14:textId="0DDBBCF4"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FF0000"/>
                <w:kern w:val="0"/>
                <w:sz w:val="19"/>
                <w:szCs w:val="19"/>
                <w:lang w:eastAsia="en-IN"/>
                <w14:ligatures w14:val="none"/>
              </w:rPr>
              <w:t>₹ -55,88,521.42</w:t>
            </w:r>
          </w:p>
        </w:tc>
        <w:tc>
          <w:tcPr>
            <w:tcW w:w="1549" w:type="dxa"/>
            <w:vAlign w:val="bottom"/>
          </w:tcPr>
          <w:p w14:paraId="04E8F25F" w14:textId="2389B562"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1,18,37,905.01</w:t>
            </w:r>
          </w:p>
        </w:tc>
        <w:tc>
          <w:tcPr>
            <w:tcW w:w="1383" w:type="dxa"/>
            <w:vAlign w:val="bottom"/>
          </w:tcPr>
          <w:p w14:paraId="77A6E3CD" w14:textId="015AD75D" w:rsidR="0034046B" w:rsidRPr="000D7DB6" w:rsidRDefault="0034046B" w:rsidP="00D72896">
            <w:pPr>
              <w:spacing w:line="276" w:lineRule="auto"/>
              <w:jc w:val="both"/>
              <w:rPr>
                <w:rFonts w:ascii="Arial" w:hAnsi="Arial" w:cs="Arial"/>
                <w:sz w:val="19"/>
                <w:szCs w:val="19"/>
              </w:rPr>
            </w:pPr>
            <w:r w:rsidRPr="000D7DB6">
              <w:rPr>
                <w:rFonts w:ascii="Arial" w:eastAsia="Times New Roman" w:hAnsi="Arial" w:cs="Arial"/>
                <w:color w:val="000000"/>
                <w:kern w:val="0"/>
                <w:sz w:val="19"/>
                <w:szCs w:val="19"/>
                <w:lang w:eastAsia="en-IN"/>
                <w14:ligatures w14:val="none"/>
              </w:rPr>
              <w:t>₹ 28,60,807.47</w:t>
            </w:r>
          </w:p>
        </w:tc>
      </w:tr>
    </w:tbl>
    <w:p w14:paraId="58F362A5" w14:textId="77777777" w:rsidR="00F47709" w:rsidRPr="00820B00" w:rsidRDefault="00F47709" w:rsidP="000D7DB6">
      <w:pPr>
        <w:spacing w:after="0" w:line="276" w:lineRule="auto"/>
        <w:ind w:left="576"/>
        <w:jc w:val="both"/>
        <w:rPr>
          <w:rFonts w:ascii="Arial" w:hAnsi="Arial" w:cs="Arial"/>
        </w:rPr>
      </w:pPr>
    </w:p>
    <w:p w14:paraId="7E2B36AC" w14:textId="77777777" w:rsidR="006D6A8B" w:rsidRPr="00820B00" w:rsidRDefault="006D6A8B" w:rsidP="000D7DB6">
      <w:pPr>
        <w:spacing w:after="0" w:line="276" w:lineRule="auto"/>
        <w:ind w:left="576"/>
        <w:jc w:val="both"/>
        <w:rPr>
          <w:rFonts w:ascii="Arial" w:hAnsi="Arial" w:cs="Arial"/>
        </w:rPr>
      </w:pPr>
      <w:r w:rsidRPr="00820B00">
        <w:rPr>
          <w:rFonts w:ascii="Arial" w:hAnsi="Arial" w:cs="Arial"/>
        </w:rPr>
        <w:t>The analysis demonstrates that the valuation is highly sensitive to changes in both WACC and the perpetuity growth rate, which underscores the importance of our core assumptions.</w:t>
      </w:r>
    </w:p>
    <w:p w14:paraId="3D34DFED" w14:textId="77777777" w:rsidR="006D6A8B" w:rsidRPr="00820B00" w:rsidRDefault="006D6A8B" w:rsidP="00D72896">
      <w:pPr>
        <w:spacing w:after="0" w:line="276" w:lineRule="auto"/>
        <w:jc w:val="both"/>
        <w:rPr>
          <w:rFonts w:ascii="Arial" w:hAnsi="Arial" w:cs="Arial"/>
        </w:rPr>
      </w:pPr>
    </w:p>
    <w:p w14:paraId="5ADD54F3" w14:textId="77777777" w:rsidR="006D6A8B" w:rsidRPr="00E95F28" w:rsidRDefault="006D6A8B" w:rsidP="00E95F28">
      <w:pPr>
        <w:pStyle w:val="Heading2"/>
        <w:spacing w:before="0" w:after="0" w:line="276" w:lineRule="auto"/>
        <w:jc w:val="both"/>
        <w:rPr>
          <w:b/>
          <w:bCs/>
          <w:color w:val="auto"/>
        </w:rPr>
      </w:pPr>
      <w:bookmarkStart w:id="6" w:name="_Toc209598725"/>
      <w:r w:rsidRPr="00E95F28">
        <w:rPr>
          <w:b/>
          <w:bCs/>
          <w:color w:val="auto"/>
        </w:rPr>
        <w:t>Key Financial Trends</w:t>
      </w:r>
      <w:bookmarkEnd w:id="6"/>
    </w:p>
    <w:p w14:paraId="7810E0D7" w14:textId="77777777" w:rsidR="006D6A8B" w:rsidRPr="00820B00" w:rsidRDefault="006D6A8B" w:rsidP="000D7DB6">
      <w:pPr>
        <w:spacing w:after="0" w:line="276" w:lineRule="auto"/>
        <w:ind w:left="567"/>
        <w:jc w:val="both"/>
        <w:rPr>
          <w:rFonts w:ascii="Arial" w:hAnsi="Arial" w:cs="Arial"/>
        </w:rPr>
      </w:pPr>
      <w:r w:rsidRPr="00820B00">
        <w:rPr>
          <w:rFonts w:ascii="Arial" w:hAnsi="Arial" w:cs="Arial"/>
        </w:rPr>
        <w:t>An analysis of historical and forecasted financials highlights several compelling trends that underpin NSE’s strong investment case.</w:t>
      </w:r>
    </w:p>
    <w:p w14:paraId="3A8E8DE5" w14:textId="77777777" w:rsidR="006D6A8B" w:rsidRPr="00A642D8" w:rsidRDefault="006D6A8B" w:rsidP="000D7DB6">
      <w:pPr>
        <w:numPr>
          <w:ilvl w:val="0"/>
          <w:numId w:val="15"/>
        </w:numPr>
        <w:tabs>
          <w:tab w:val="clear" w:pos="720"/>
          <w:tab w:val="num" w:pos="1134"/>
        </w:tabs>
        <w:spacing w:after="0" w:line="276" w:lineRule="auto"/>
        <w:ind w:left="1080" w:hanging="229"/>
        <w:jc w:val="both"/>
        <w:rPr>
          <w:rFonts w:ascii="Arial" w:hAnsi="Arial" w:cs="Arial"/>
          <w:sz w:val="22"/>
          <w:szCs w:val="22"/>
        </w:rPr>
      </w:pPr>
      <w:r w:rsidRPr="00A642D8">
        <w:rPr>
          <w:rFonts w:ascii="Arial" w:hAnsi="Arial" w:cs="Arial"/>
          <w:b/>
          <w:bCs/>
          <w:sz w:val="22"/>
          <w:szCs w:val="22"/>
        </w:rPr>
        <w:t>Exceptional Profitability:</w:t>
      </w:r>
      <w:r w:rsidRPr="00A642D8">
        <w:rPr>
          <w:rFonts w:ascii="Arial" w:hAnsi="Arial" w:cs="Arial"/>
          <w:sz w:val="22"/>
          <w:szCs w:val="22"/>
        </w:rPr>
        <w:t xml:space="preserve"> NSE maintains a </w:t>
      </w:r>
      <w:r w:rsidRPr="00A642D8">
        <w:rPr>
          <w:rFonts w:ascii="Arial" w:hAnsi="Arial" w:cs="Arial"/>
          <w:b/>
          <w:bCs/>
          <w:sz w:val="22"/>
          <w:szCs w:val="22"/>
        </w:rPr>
        <w:t>100% Gross Profit Margin</w:t>
      </w:r>
      <w:r w:rsidRPr="00A642D8">
        <w:rPr>
          <w:rFonts w:ascii="Arial" w:hAnsi="Arial" w:cs="Arial"/>
          <w:sz w:val="22"/>
          <w:szCs w:val="22"/>
        </w:rPr>
        <w:t xml:space="preserve"> and is forecasted to achieve a Net Profit Margin of </w:t>
      </w:r>
      <w:r w:rsidRPr="00A642D8">
        <w:rPr>
          <w:rFonts w:ascii="Arial" w:hAnsi="Arial" w:cs="Arial"/>
          <w:b/>
          <w:bCs/>
          <w:sz w:val="22"/>
          <w:szCs w:val="22"/>
        </w:rPr>
        <w:t>66.97%</w:t>
      </w:r>
      <w:r w:rsidRPr="00A642D8">
        <w:rPr>
          <w:rFonts w:ascii="Arial" w:hAnsi="Arial" w:cs="Arial"/>
          <w:sz w:val="22"/>
          <w:szCs w:val="22"/>
        </w:rPr>
        <w:t xml:space="preserve"> by 2030, a clear indicator of its dominant market position.</w:t>
      </w:r>
    </w:p>
    <w:p w14:paraId="09E6525A" w14:textId="77777777" w:rsidR="006D6A8B" w:rsidRPr="00A642D8" w:rsidRDefault="006D6A8B" w:rsidP="000D7DB6">
      <w:pPr>
        <w:numPr>
          <w:ilvl w:val="0"/>
          <w:numId w:val="15"/>
        </w:numPr>
        <w:tabs>
          <w:tab w:val="clear" w:pos="720"/>
          <w:tab w:val="num" w:pos="1134"/>
        </w:tabs>
        <w:spacing w:after="0" w:line="276" w:lineRule="auto"/>
        <w:ind w:left="1080" w:hanging="229"/>
        <w:jc w:val="both"/>
        <w:rPr>
          <w:rFonts w:ascii="Arial" w:hAnsi="Arial" w:cs="Arial"/>
          <w:sz w:val="22"/>
          <w:szCs w:val="22"/>
        </w:rPr>
      </w:pPr>
      <w:r w:rsidRPr="00A642D8">
        <w:rPr>
          <w:rFonts w:ascii="Arial" w:hAnsi="Arial" w:cs="Arial"/>
          <w:b/>
          <w:bCs/>
          <w:sz w:val="22"/>
          <w:szCs w:val="22"/>
        </w:rPr>
        <w:t>Robust Growth:</w:t>
      </w:r>
      <w:r w:rsidRPr="00A642D8">
        <w:rPr>
          <w:rFonts w:ascii="Arial" w:hAnsi="Arial" w:cs="Arial"/>
          <w:sz w:val="22"/>
          <w:szCs w:val="22"/>
        </w:rPr>
        <w:t xml:space="preserve"> The company has demonstrated a powerful growth trajectory, with its Earnings Per Share (EPS) growing from </w:t>
      </w:r>
      <w:r w:rsidRPr="00A642D8">
        <w:rPr>
          <w:rFonts w:ascii="Arial" w:hAnsi="Arial" w:cs="Arial"/>
          <w:b/>
          <w:bCs/>
          <w:sz w:val="22"/>
          <w:szCs w:val="22"/>
        </w:rPr>
        <w:t>₹6.90</w:t>
      </w:r>
      <w:r w:rsidRPr="00A642D8">
        <w:rPr>
          <w:rFonts w:ascii="Arial" w:hAnsi="Arial" w:cs="Arial"/>
          <w:sz w:val="22"/>
          <w:szCs w:val="22"/>
        </w:rPr>
        <w:t xml:space="preserve"> in 2019 to a forecasted </w:t>
      </w:r>
      <w:r w:rsidRPr="00A642D8">
        <w:rPr>
          <w:rFonts w:ascii="Arial" w:hAnsi="Arial" w:cs="Arial"/>
          <w:b/>
          <w:bCs/>
          <w:sz w:val="22"/>
          <w:szCs w:val="22"/>
        </w:rPr>
        <w:t>₹106.02</w:t>
      </w:r>
      <w:r w:rsidRPr="00A642D8">
        <w:rPr>
          <w:rFonts w:ascii="Arial" w:hAnsi="Arial" w:cs="Arial"/>
          <w:sz w:val="22"/>
          <w:szCs w:val="22"/>
        </w:rPr>
        <w:t xml:space="preserve"> by 2030.</w:t>
      </w:r>
    </w:p>
    <w:p w14:paraId="63F1F719" w14:textId="77777777" w:rsidR="006D6A8B" w:rsidRPr="00A642D8" w:rsidRDefault="006D6A8B" w:rsidP="000D7DB6">
      <w:pPr>
        <w:numPr>
          <w:ilvl w:val="0"/>
          <w:numId w:val="15"/>
        </w:numPr>
        <w:tabs>
          <w:tab w:val="clear" w:pos="720"/>
          <w:tab w:val="num" w:pos="1134"/>
        </w:tabs>
        <w:spacing w:after="0" w:line="276" w:lineRule="auto"/>
        <w:ind w:left="1080" w:hanging="229"/>
        <w:jc w:val="both"/>
        <w:rPr>
          <w:rFonts w:ascii="Arial" w:hAnsi="Arial" w:cs="Arial"/>
          <w:sz w:val="22"/>
          <w:szCs w:val="22"/>
        </w:rPr>
      </w:pPr>
      <w:r w:rsidRPr="00A642D8">
        <w:rPr>
          <w:rFonts w:ascii="Arial" w:hAnsi="Arial" w:cs="Arial"/>
          <w:b/>
          <w:bCs/>
          <w:sz w:val="22"/>
          <w:szCs w:val="22"/>
        </w:rPr>
        <w:t>Financial Strength:</w:t>
      </w:r>
      <w:r w:rsidRPr="00A642D8">
        <w:rPr>
          <w:rFonts w:ascii="Arial" w:hAnsi="Arial" w:cs="Arial"/>
          <w:sz w:val="22"/>
          <w:szCs w:val="22"/>
        </w:rPr>
        <w:t xml:space="preserve"> The company’s liquidity and solvency are strong and improving, with a forecasted Current Ratio of </w:t>
      </w:r>
      <w:r w:rsidRPr="00A642D8">
        <w:rPr>
          <w:rFonts w:ascii="Arial" w:hAnsi="Arial" w:cs="Arial"/>
          <w:b/>
          <w:bCs/>
          <w:sz w:val="22"/>
          <w:szCs w:val="22"/>
        </w:rPr>
        <w:t>3.87</w:t>
      </w:r>
      <w:r w:rsidRPr="00A642D8">
        <w:rPr>
          <w:rFonts w:ascii="Arial" w:hAnsi="Arial" w:cs="Arial"/>
          <w:sz w:val="22"/>
          <w:szCs w:val="22"/>
        </w:rPr>
        <w:t xml:space="preserve"> by 2030, demonstrating a healthy balance sheet.</w:t>
      </w:r>
    </w:p>
    <w:p w14:paraId="331A608A" w14:textId="77777777" w:rsidR="00F47709" w:rsidRPr="00820B00" w:rsidRDefault="00F47709" w:rsidP="00D72896">
      <w:pPr>
        <w:spacing w:after="0" w:line="276" w:lineRule="auto"/>
        <w:jc w:val="both"/>
        <w:rPr>
          <w:rFonts w:ascii="Arial" w:hAnsi="Arial" w:cs="Arial"/>
        </w:rPr>
      </w:pPr>
    </w:p>
    <w:p w14:paraId="1C32E994" w14:textId="77777777" w:rsidR="006F6331" w:rsidRPr="003B7D53" w:rsidRDefault="006F6331" w:rsidP="003B7D53">
      <w:pPr>
        <w:pStyle w:val="Heading1"/>
        <w:spacing w:before="0" w:after="0" w:line="276" w:lineRule="auto"/>
        <w:rPr>
          <w:b/>
          <w:bCs/>
          <w:color w:val="auto"/>
        </w:rPr>
      </w:pPr>
      <w:bookmarkStart w:id="7" w:name="_Toc209598726"/>
      <w:r w:rsidRPr="003B7D53">
        <w:rPr>
          <w:b/>
          <w:bCs/>
          <w:color w:val="auto"/>
        </w:rPr>
        <w:t>Qualitative &amp; Due Diligence Analysis</w:t>
      </w:r>
      <w:bookmarkEnd w:id="7"/>
    </w:p>
    <w:p w14:paraId="64140B0C" w14:textId="77777777" w:rsidR="00820B00" w:rsidRPr="00820B00" w:rsidRDefault="00820B00" w:rsidP="00D72896">
      <w:pPr>
        <w:spacing w:after="0" w:line="276" w:lineRule="auto"/>
        <w:jc w:val="both"/>
        <w:rPr>
          <w:rFonts w:ascii="Arial" w:hAnsi="Arial" w:cs="Arial"/>
        </w:rPr>
      </w:pPr>
    </w:p>
    <w:p w14:paraId="68378ACF" w14:textId="07ABC793" w:rsidR="006F6331" w:rsidRPr="0060510A" w:rsidRDefault="006F6331" w:rsidP="0060510A">
      <w:pPr>
        <w:pStyle w:val="Heading2"/>
        <w:spacing w:before="0" w:after="0" w:line="276" w:lineRule="auto"/>
        <w:jc w:val="both"/>
        <w:rPr>
          <w:b/>
          <w:bCs/>
          <w:color w:val="auto"/>
        </w:rPr>
      </w:pPr>
      <w:bookmarkStart w:id="8" w:name="_Toc209598727"/>
      <w:r w:rsidRPr="0060510A">
        <w:rPr>
          <w:b/>
          <w:bCs/>
          <w:color w:val="auto"/>
        </w:rPr>
        <w:t>Company Overview</w:t>
      </w:r>
      <w:bookmarkEnd w:id="8"/>
    </w:p>
    <w:p w14:paraId="35D5224F" w14:textId="1E48B819" w:rsidR="006F6331" w:rsidRDefault="006F6331" w:rsidP="000D7DB6">
      <w:pPr>
        <w:spacing w:after="0" w:line="276" w:lineRule="auto"/>
        <w:ind w:left="576"/>
        <w:jc w:val="both"/>
        <w:rPr>
          <w:rFonts w:ascii="Arial" w:hAnsi="Arial" w:cs="Arial"/>
        </w:rPr>
      </w:pPr>
      <w:r w:rsidRPr="00820B00">
        <w:rPr>
          <w:rFonts w:ascii="Arial" w:hAnsi="Arial" w:cs="Arial"/>
        </w:rPr>
        <w:t xml:space="preserve">The National Stock Exchange of India (NSE) is a leading and </w:t>
      </w:r>
      <w:r w:rsidR="00820B00" w:rsidRPr="00820B00">
        <w:rPr>
          <w:rFonts w:ascii="Arial" w:hAnsi="Arial" w:cs="Arial"/>
        </w:rPr>
        <w:t>fully integrated</w:t>
      </w:r>
      <w:r w:rsidRPr="00820B00">
        <w:rPr>
          <w:rFonts w:ascii="Arial" w:hAnsi="Arial" w:cs="Arial"/>
        </w:rPr>
        <w:t xml:space="preserve"> stock exchange. Initially the world's fourth largest by equity trading volume in 2015, it has since cemented its position as the </w:t>
      </w:r>
      <w:r w:rsidRPr="00820B00">
        <w:rPr>
          <w:rFonts w:ascii="Arial" w:hAnsi="Arial" w:cs="Arial"/>
          <w:b/>
          <w:bCs/>
        </w:rPr>
        <w:t>world's third largest in the equity segment in 2023</w:t>
      </w:r>
      <w:r w:rsidRPr="00820B00">
        <w:rPr>
          <w:rFonts w:ascii="Arial" w:hAnsi="Arial" w:cs="Arial"/>
        </w:rPr>
        <w:t xml:space="preserve"> by the number of trades. NSE's business model is horizontally integrated, encompassing trading, clearing, and settlement across a diverse range of asset classes, including equities, fixed income, and various derivatives.</w:t>
      </w:r>
    </w:p>
    <w:p w14:paraId="050E64FE" w14:textId="77777777" w:rsidR="00820B00" w:rsidRPr="00820B00" w:rsidRDefault="00820B00" w:rsidP="000D7DB6">
      <w:pPr>
        <w:spacing w:after="0" w:line="276" w:lineRule="auto"/>
        <w:ind w:left="576"/>
        <w:jc w:val="both"/>
        <w:rPr>
          <w:rFonts w:ascii="Arial" w:hAnsi="Arial" w:cs="Arial"/>
        </w:rPr>
      </w:pPr>
    </w:p>
    <w:p w14:paraId="4C91F4E2" w14:textId="77777777" w:rsidR="006F6331" w:rsidRPr="00820B00" w:rsidRDefault="006F6331" w:rsidP="000D7DB6">
      <w:pPr>
        <w:spacing w:after="0" w:line="276" w:lineRule="auto"/>
        <w:ind w:left="576"/>
        <w:jc w:val="both"/>
        <w:rPr>
          <w:rFonts w:ascii="Arial" w:hAnsi="Arial" w:cs="Arial"/>
        </w:rPr>
      </w:pPr>
      <w:r w:rsidRPr="00820B00">
        <w:rPr>
          <w:rFonts w:ascii="Arial" w:hAnsi="Arial" w:cs="Arial"/>
        </w:rPr>
        <w:t>Its primary product and service segments include:</w:t>
      </w:r>
    </w:p>
    <w:p w14:paraId="166C672F" w14:textId="77777777" w:rsidR="006F6331" w:rsidRPr="00820B00" w:rsidRDefault="006F6331" w:rsidP="000D7DB6">
      <w:pPr>
        <w:numPr>
          <w:ilvl w:val="0"/>
          <w:numId w:val="16"/>
        </w:numPr>
        <w:tabs>
          <w:tab w:val="clear" w:pos="720"/>
          <w:tab w:val="num" w:pos="1296"/>
        </w:tabs>
        <w:spacing w:after="0" w:line="276" w:lineRule="auto"/>
        <w:ind w:left="1296"/>
        <w:jc w:val="both"/>
        <w:rPr>
          <w:rFonts w:ascii="Arial" w:hAnsi="Arial" w:cs="Arial"/>
        </w:rPr>
      </w:pPr>
      <w:r w:rsidRPr="00820B00">
        <w:rPr>
          <w:rFonts w:ascii="Arial" w:hAnsi="Arial" w:cs="Arial"/>
          <w:b/>
          <w:bCs/>
        </w:rPr>
        <w:t>Cash and Equity Markets:</w:t>
      </w:r>
      <w:r w:rsidRPr="00820B00">
        <w:rPr>
          <w:rFonts w:ascii="Arial" w:hAnsi="Arial" w:cs="Arial"/>
        </w:rPr>
        <w:t xml:space="preserve"> Providing the core platform for the listing and trading of stocks, ETFs, mutual funds, and IPOs.</w:t>
      </w:r>
    </w:p>
    <w:p w14:paraId="57BF2AD3" w14:textId="77777777" w:rsidR="006F6331" w:rsidRPr="00820B00" w:rsidRDefault="006F6331" w:rsidP="000D7DB6">
      <w:pPr>
        <w:numPr>
          <w:ilvl w:val="0"/>
          <w:numId w:val="16"/>
        </w:numPr>
        <w:tabs>
          <w:tab w:val="clear" w:pos="720"/>
          <w:tab w:val="num" w:pos="1296"/>
        </w:tabs>
        <w:spacing w:after="0" w:line="276" w:lineRule="auto"/>
        <w:ind w:left="1296"/>
        <w:jc w:val="both"/>
        <w:rPr>
          <w:rFonts w:ascii="Arial" w:hAnsi="Arial" w:cs="Arial"/>
        </w:rPr>
      </w:pPr>
      <w:r w:rsidRPr="00820B00">
        <w:rPr>
          <w:rFonts w:ascii="Arial" w:hAnsi="Arial" w:cs="Arial"/>
          <w:b/>
          <w:bCs/>
        </w:rPr>
        <w:t>Derivatives Market:</w:t>
      </w:r>
      <w:r w:rsidRPr="00820B00">
        <w:rPr>
          <w:rFonts w:ascii="Arial" w:hAnsi="Arial" w:cs="Arial"/>
        </w:rPr>
        <w:t xml:space="preserve"> A dominant segment where NSE holds over a </w:t>
      </w:r>
      <w:r w:rsidRPr="00820B00">
        <w:rPr>
          <w:rFonts w:ascii="Arial" w:hAnsi="Arial" w:cs="Arial"/>
          <w:b/>
          <w:bCs/>
        </w:rPr>
        <w:t>90% market share</w:t>
      </w:r>
      <w:r w:rsidRPr="00820B00">
        <w:rPr>
          <w:rFonts w:ascii="Arial" w:hAnsi="Arial" w:cs="Arial"/>
        </w:rPr>
        <w:t xml:space="preserve"> in derivatives. This includes futures and options contracts on indices, equities, currencies, interest rates, and commodities. NSE has been the </w:t>
      </w:r>
      <w:r w:rsidRPr="00820B00">
        <w:rPr>
          <w:rFonts w:ascii="Arial" w:hAnsi="Arial" w:cs="Arial"/>
          <w:b/>
          <w:bCs/>
        </w:rPr>
        <w:t>world's largest derivatives exchange</w:t>
      </w:r>
      <w:r w:rsidRPr="00820B00">
        <w:rPr>
          <w:rFonts w:ascii="Arial" w:hAnsi="Arial" w:cs="Arial"/>
        </w:rPr>
        <w:t xml:space="preserve"> by number of trades for five consecutive years.</w:t>
      </w:r>
    </w:p>
    <w:p w14:paraId="5BDAB5B2" w14:textId="77777777" w:rsidR="006F6331" w:rsidRPr="00820B00" w:rsidRDefault="006F6331" w:rsidP="000D7DB6">
      <w:pPr>
        <w:numPr>
          <w:ilvl w:val="0"/>
          <w:numId w:val="16"/>
        </w:numPr>
        <w:tabs>
          <w:tab w:val="clear" w:pos="720"/>
          <w:tab w:val="num" w:pos="1296"/>
        </w:tabs>
        <w:spacing w:after="0" w:line="276" w:lineRule="auto"/>
        <w:ind w:left="1296"/>
        <w:jc w:val="both"/>
        <w:rPr>
          <w:rFonts w:ascii="Arial" w:hAnsi="Arial" w:cs="Arial"/>
        </w:rPr>
      </w:pPr>
      <w:r w:rsidRPr="00820B00">
        <w:rPr>
          <w:rFonts w:ascii="Arial" w:hAnsi="Arial" w:cs="Arial"/>
          <w:b/>
          <w:bCs/>
        </w:rPr>
        <w:t>Indices and Data:</w:t>
      </w:r>
      <w:r w:rsidRPr="00820B00">
        <w:rPr>
          <w:rFonts w:ascii="Arial" w:hAnsi="Arial" w:cs="Arial"/>
        </w:rPr>
        <w:t xml:space="preserve"> The company's flagship product, the </w:t>
      </w:r>
      <w:r w:rsidRPr="00820B00">
        <w:rPr>
          <w:rFonts w:ascii="Arial" w:hAnsi="Arial" w:cs="Arial"/>
          <w:b/>
          <w:bCs/>
        </w:rPr>
        <w:t>NIFTY 50</w:t>
      </w:r>
      <w:r w:rsidRPr="00820B00">
        <w:rPr>
          <w:rFonts w:ascii="Arial" w:hAnsi="Arial" w:cs="Arial"/>
        </w:rPr>
        <w:t xml:space="preserve"> index, is the benchmark for the Indian capital markets. NSE also generates significant revenue by selling real-time and historical market data to a wide range of institutional clients and data vendors.</w:t>
      </w:r>
    </w:p>
    <w:p w14:paraId="70794DB8" w14:textId="77777777" w:rsidR="006F6331" w:rsidRPr="00820B00" w:rsidRDefault="006F6331" w:rsidP="000D7DB6">
      <w:pPr>
        <w:numPr>
          <w:ilvl w:val="0"/>
          <w:numId w:val="16"/>
        </w:numPr>
        <w:tabs>
          <w:tab w:val="clear" w:pos="720"/>
          <w:tab w:val="num" w:pos="1296"/>
        </w:tabs>
        <w:spacing w:after="0" w:line="276" w:lineRule="auto"/>
        <w:ind w:left="1296"/>
        <w:jc w:val="both"/>
        <w:rPr>
          <w:rFonts w:ascii="Arial" w:hAnsi="Arial" w:cs="Arial"/>
        </w:rPr>
      </w:pPr>
      <w:r w:rsidRPr="00820B00">
        <w:rPr>
          <w:rFonts w:ascii="Arial" w:hAnsi="Arial" w:cs="Arial"/>
          <w:b/>
          <w:bCs/>
        </w:rPr>
        <w:t>Technology &amp; Education:</w:t>
      </w:r>
      <w:r w:rsidRPr="00820B00">
        <w:rPr>
          <w:rFonts w:ascii="Arial" w:hAnsi="Arial" w:cs="Arial"/>
        </w:rPr>
        <w:t xml:space="preserve"> NSE provides high-speed trading platforms like Direct Market Access (DMA) and offers extensive financial education and certification programs through its </w:t>
      </w:r>
      <w:r w:rsidRPr="00820B00">
        <w:rPr>
          <w:rFonts w:ascii="Arial" w:hAnsi="Arial" w:cs="Arial"/>
          <w:b/>
          <w:bCs/>
        </w:rPr>
        <w:t>NSE Academy</w:t>
      </w:r>
      <w:r w:rsidRPr="00820B00">
        <w:rPr>
          <w:rFonts w:ascii="Arial" w:hAnsi="Arial" w:cs="Arial"/>
        </w:rPr>
        <w:t>.</w:t>
      </w:r>
    </w:p>
    <w:p w14:paraId="247E8D81" w14:textId="77777777" w:rsidR="00820B00" w:rsidRDefault="00820B00" w:rsidP="00D72896">
      <w:pPr>
        <w:spacing w:after="0" w:line="276" w:lineRule="auto"/>
        <w:jc w:val="both"/>
        <w:rPr>
          <w:rFonts w:ascii="Arial" w:hAnsi="Arial" w:cs="Arial"/>
          <w:b/>
          <w:bCs/>
        </w:rPr>
      </w:pPr>
    </w:p>
    <w:p w14:paraId="78A786CC" w14:textId="66CB68C0" w:rsidR="006F6331" w:rsidRPr="0060510A" w:rsidRDefault="006F6331" w:rsidP="0060510A">
      <w:pPr>
        <w:pStyle w:val="Heading2"/>
        <w:spacing w:before="0" w:after="0" w:line="276" w:lineRule="auto"/>
        <w:jc w:val="both"/>
        <w:rPr>
          <w:b/>
          <w:bCs/>
          <w:color w:val="auto"/>
        </w:rPr>
      </w:pPr>
      <w:bookmarkStart w:id="9" w:name="_Toc209598728"/>
      <w:r w:rsidRPr="0060510A">
        <w:rPr>
          <w:b/>
          <w:bCs/>
          <w:color w:val="auto"/>
        </w:rPr>
        <w:t>Market &amp; Industry</w:t>
      </w:r>
      <w:bookmarkEnd w:id="9"/>
    </w:p>
    <w:p w14:paraId="4DEB4329" w14:textId="419B5A57" w:rsidR="006F6331" w:rsidRPr="00820B00" w:rsidRDefault="006F6331" w:rsidP="000D7DB6">
      <w:pPr>
        <w:spacing w:after="0" w:line="276" w:lineRule="auto"/>
        <w:ind w:left="567"/>
        <w:jc w:val="both"/>
        <w:rPr>
          <w:rFonts w:ascii="Arial" w:hAnsi="Arial" w:cs="Arial"/>
        </w:rPr>
      </w:pPr>
      <w:r w:rsidRPr="00820B00">
        <w:rPr>
          <w:rFonts w:ascii="Arial" w:hAnsi="Arial" w:cs="Arial"/>
        </w:rPr>
        <w:t xml:space="preserve">India's capital markets are experiencing a secular growth trend, </w:t>
      </w:r>
      <w:r w:rsidR="00820B00" w:rsidRPr="00820B00">
        <w:rPr>
          <w:rFonts w:ascii="Arial" w:hAnsi="Arial" w:cs="Arial"/>
        </w:rPr>
        <w:t>fuelled</w:t>
      </w:r>
      <w:r w:rsidRPr="00820B00">
        <w:rPr>
          <w:rFonts w:ascii="Arial" w:hAnsi="Arial" w:cs="Arial"/>
        </w:rPr>
        <w:t xml:space="preserve"> by a combination of </w:t>
      </w:r>
      <w:r w:rsidR="00820B00" w:rsidRPr="00820B00">
        <w:rPr>
          <w:rFonts w:ascii="Arial" w:hAnsi="Arial" w:cs="Arial"/>
        </w:rPr>
        <w:t>favourable</w:t>
      </w:r>
      <w:r w:rsidRPr="00820B00">
        <w:rPr>
          <w:rFonts w:ascii="Arial" w:hAnsi="Arial" w:cs="Arial"/>
        </w:rPr>
        <w:t xml:space="preserve"> macroeconomic conditions and a fundamental shift in household savings.</w:t>
      </w:r>
    </w:p>
    <w:p w14:paraId="557C49E5" w14:textId="77777777" w:rsidR="006F6331" w:rsidRPr="00820B00" w:rsidRDefault="006F6331" w:rsidP="000D7DB6">
      <w:pPr>
        <w:numPr>
          <w:ilvl w:val="0"/>
          <w:numId w:val="17"/>
        </w:numPr>
        <w:tabs>
          <w:tab w:val="clear" w:pos="720"/>
          <w:tab w:val="num" w:pos="1080"/>
        </w:tabs>
        <w:spacing w:after="0" w:line="276" w:lineRule="auto"/>
        <w:ind w:left="1080"/>
        <w:jc w:val="both"/>
        <w:rPr>
          <w:rFonts w:ascii="Arial" w:hAnsi="Arial" w:cs="Arial"/>
        </w:rPr>
      </w:pPr>
      <w:r w:rsidRPr="00820B00">
        <w:rPr>
          <w:rFonts w:ascii="Arial" w:hAnsi="Arial" w:cs="Arial"/>
          <w:b/>
          <w:bCs/>
        </w:rPr>
        <w:t>Macroeconomic Tailwinds:</w:t>
      </w:r>
      <w:r w:rsidRPr="00820B00">
        <w:rPr>
          <w:rFonts w:ascii="Arial" w:hAnsi="Arial" w:cs="Arial"/>
        </w:rPr>
        <w:t xml:space="preserve"> India's economy is on a high-growth trajectory and is poised to become the </w:t>
      </w:r>
      <w:r w:rsidRPr="00820B00">
        <w:rPr>
          <w:rFonts w:ascii="Arial" w:hAnsi="Arial" w:cs="Arial"/>
          <w:b/>
          <w:bCs/>
        </w:rPr>
        <w:t>world's third-largest economy by 2030</w:t>
      </w:r>
      <w:r w:rsidRPr="00820B00">
        <w:rPr>
          <w:rFonts w:ascii="Arial" w:hAnsi="Arial" w:cs="Arial"/>
        </w:rPr>
        <w:t>. This growth provides a significant boost to corporate earnings and investor sentiment, directly benefiting the exchange.</w:t>
      </w:r>
    </w:p>
    <w:p w14:paraId="1C2BB368" w14:textId="49ADF38A" w:rsidR="006F6331" w:rsidRPr="00820B00" w:rsidRDefault="006F6331" w:rsidP="000D7DB6">
      <w:pPr>
        <w:numPr>
          <w:ilvl w:val="0"/>
          <w:numId w:val="17"/>
        </w:numPr>
        <w:tabs>
          <w:tab w:val="clear" w:pos="720"/>
          <w:tab w:val="num" w:pos="1080"/>
        </w:tabs>
        <w:spacing w:after="0" w:line="276" w:lineRule="auto"/>
        <w:ind w:left="1080"/>
        <w:jc w:val="both"/>
        <w:rPr>
          <w:rFonts w:ascii="Arial" w:hAnsi="Arial" w:cs="Arial"/>
        </w:rPr>
      </w:pPr>
      <w:r w:rsidRPr="00820B00">
        <w:rPr>
          <w:rFonts w:ascii="Arial" w:hAnsi="Arial" w:cs="Arial"/>
          <w:b/>
          <w:bCs/>
        </w:rPr>
        <w:t>Retail Investor Boom:</w:t>
      </w:r>
      <w:r w:rsidRPr="00820B00">
        <w:rPr>
          <w:rFonts w:ascii="Arial" w:hAnsi="Arial" w:cs="Arial"/>
        </w:rPr>
        <w:t xml:space="preserve"> The Indian capital market has witnessed an unprecedented influx of retail investors. The number of demat accounts has skyrocketed from 4.9 crore in 2019 to </w:t>
      </w:r>
      <w:r w:rsidRPr="00820B00">
        <w:rPr>
          <w:rFonts w:ascii="Arial" w:hAnsi="Arial" w:cs="Arial"/>
          <w:b/>
          <w:bCs/>
        </w:rPr>
        <w:t xml:space="preserve">over 13 </w:t>
      </w:r>
      <w:r w:rsidR="00820B00" w:rsidRPr="00820B00">
        <w:rPr>
          <w:rFonts w:ascii="Arial" w:hAnsi="Arial" w:cs="Arial"/>
          <w:b/>
          <w:bCs/>
        </w:rPr>
        <w:t>crores</w:t>
      </w:r>
      <w:r w:rsidRPr="00820B00">
        <w:rPr>
          <w:rFonts w:ascii="Arial" w:hAnsi="Arial" w:cs="Arial"/>
          <w:b/>
          <w:bCs/>
        </w:rPr>
        <w:t xml:space="preserve"> by late 2024</w:t>
      </w:r>
      <w:r w:rsidRPr="00820B00">
        <w:rPr>
          <w:rFonts w:ascii="Arial" w:hAnsi="Arial" w:cs="Arial"/>
        </w:rPr>
        <w:t>. This surge is driven by several factors, including simplified digital on-boarding processes via mobile applications, rising financial literacy, and the shift of household savings from physical assets to financial instruments.</w:t>
      </w:r>
    </w:p>
    <w:p w14:paraId="538E4EC2" w14:textId="77777777" w:rsidR="006F6331" w:rsidRPr="00820B00" w:rsidRDefault="006F6331" w:rsidP="000D7DB6">
      <w:pPr>
        <w:numPr>
          <w:ilvl w:val="0"/>
          <w:numId w:val="17"/>
        </w:numPr>
        <w:tabs>
          <w:tab w:val="clear" w:pos="720"/>
          <w:tab w:val="num" w:pos="1080"/>
        </w:tabs>
        <w:spacing w:after="0" w:line="276" w:lineRule="auto"/>
        <w:ind w:left="1080"/>
        <w:jc w:val="both"/>
        <w:rPr>
          <w:rFonts w:ascii="Arial" w:hAnsi="Arial" w:cs="Arial"/>
        </w:rPr>
      </w:pPr>
      <w:r w:rsidRPr="00820B00">
        <w:rPr>
          <w:rFonts w:ascii="Arial" w:hAnsi="Arial" w:cs="Arial"/>
          <w:b/>
          <w:bCs/>
        </w:rPr>
        <w:lastRenderedPageBreak/>
        <w:t>Rising IPO Activity:</w:t>
      </w:r>
      <w:r w:rsidRPr="00820B00">
        <w:rPr>
          <w:rFonts w:ascii="Arial" w:hAnsi="Arial" w:cs="Arial"/>
        </w:rPr>
        <w:t xml:space="preserve"> As the economy grows, so does the pipeline of companies seeking to raise capital. India’s share of global IPOs is projected to increase, with a notable rise in listings from the SME sector. This trend provides a significant and growing revenue stream for the exchange.</w:t>
      </w:r>
    </w:p>
    <w:p w14:paraId="3416C67F" w14:textId="77777777" w:rsidR="00820B00" w:rsidRDefault="00820B00" w:rsidP="00D72896">
      <w:pPr>
        <w:spacing w:after="0" w:line="276" w:lineRule="auto"/>
        <w:jc w:val="both"/>
        <w:rPr>
          <w:rFonts w:ascii="Arial" w:hAnsi="Arial" w:cs="Arial"/>
          <w:b/>
          <w:bCs/>
        </w:rPr>
      </w:pPr>
    </w:p>
    <w:p w14:paraId="0F9004E2" w14:textId="0C33A392" w:rsidR="006F6331" w:rsidRPr="0060510A" w:rsidRDefault="006F6331" w:rsidP="0060510A">
      <w:pPr>
        <w:pStyle w:val="Heading2"/>
        <w:spacing w:before="0" w:after="0" w:line="276" w:lineRule="auto"/>
        <w:jc w:val="both"/>
        <w:rPr>
          <w:b/>
          <w:bCs/>
          <w:color w:val="auto"/>
        </w:rPr>
      </w:pPr>
      <w:bookmarkStart w:id="10" w:name="_Toc209598729"/>
      <w:r w:rsidRPr="0060510A">
        <w:rPr>
          <w:b/>
          <w:bCs/>
          <w:color w:val="auto"/>
        </w:rPr>
        <w:t>Competitive Landscape</w:t>
      </w:r>
      <w:bookmarkEnd w:id="10"/>
    </w:p>
    <w:p w14:paraId="231818D6" w14:textId="77777777" w:rsidR="006F6331" w:rsidRPr="00820B00" w:rsidRDefault="006F6331" w:rsidP="000D7DB6">
      <w:pPr>
        <w:spacing w:after="0" w:line="276" w:lineRule="auto"/>
        <w:ind w:left="567"/>
        <w:jc w:val="both"/>
        <w:rPr>
          <w:rFonts w:ascii="Arial" w:hAnsi="Arial" w:cs="Arial"/>
        </w:rPr>
      </w:pPr>
      <w:r w:rsidRPr="00820B00">
        <w:rPr>
          <w:rFonts w:ascii="Arial" w:hAnsi="Arial" w:cs="Arial"/>
        </w:rPr>
        <w:t>While the Bombay Stock Exchange (BSE) is its primary competitor, NSE maintains a dominant market position.</w:t>
      </w:r>
    </w:p>
    <w:p w14:paraId="6E7D8F33" w14:textId="77777777" w:rsidR="006F6331" w:rsidRPr="00820B00" w:rsidRDefault="006F6331" w:rsidP="00D72896">
      <w:pPr>
        <w:numPr>
          <w:ilvl w:val="0"/>
          <w:numId w:val="18"/>
        </w:numPr>
        <w:spacing w:after="0" w:line="276" w:lineRule="auto"/>
        <w:jc w:val="both"/>
        <w:rPr>
          <w:rFonts w:ascii="Arial" w:hAnsi="Arial" w:cs="Arial"/>
        </w:rPr>
      </w:pPr>
      <w:r w:rsidRPr="00820B00">
        <w:rPr>
          <w:rFonts w:ascii="Arial" w:hAnsi="Arial" w:cs="Arial"/>
          <w:b/>
          <w:bCs/>
        </w:rPr>
        <w:t>Market Leadership:</w:t>
      </w:r>
      <w:r w:rsidRPr="00820B00">
        <w:rPr>
          <w:rFonts w:ascii="Arial" w:hAnsi="Arial" w:cs="Arial"/>
        </w:rPr>
        <w:t xml:space="preserve"> NSE's dominance is most pronounced in the highly profitable derivatives segment, where it holds a decisive </w:t>
      </w:r>
      <w:r w:rsidRPr="00820B00">
        <w:rPr>
          <w:rFonts w:ascii="Arial" w:hAnsi="Arial" w:cs="Arial"/>
          <w:b/>
          <w:bCs/>
        </w:rPr>
        <w:t>~80% market share</w:t>
      </w:r>
      <w:r w:rsidRPr="00820B00">
        <w:rPr>
          <w:rFonts w:ascii="Arial" w:hAnsi="Arial" w:cs="Arial"/>
        </w:rPr>
        <w:t>. While BSE has made some recent inroads, NSE's liquidity, technological superiority, and deep-seated investor trust give it a significant competitive moat.</w:t>
      </w:r>
    </w:p>
    <w:p w14:paraId="61EB7FFA" w14:textId="77777777" w:rsidR="006F6331" w:rsidRPr="00820B00" w:rsidRDefault="006F6331" w:rsidP="00D72896">
      <w:pPr>
        <w:numPr>
          <w:ilvl w:val="0"/>
          <w:numId w:val="18"/>
        </w:numPr>
        <w:spacing w:after="0" w:line="276" w:lineRule="auto"/>
        <w:jc w:val="both"/>
        <w:rPr>
          <w:rFonts w:ascii="Arial" w:hAnsi="Arial" w:cs="Arial"/>
        </w:rPr>
      </w:pPr>
      <w:r w:rsidRPr="00820B00">
        <w:rPr>
          <w:rFonts w:ascii="Arial" w:hAnsi="Arial" w:cs="Arial"/>
          <w:b/>
          <w:bCs/>
        </w:rPr>
        <w:t>Technological Advantage:</w:t>
      </w:r>
      <w:r w:rsidRPr="00820B00">
        <w:rPr>
          <w:rFonts w:ascii="Arial" w:hAnsi="Arial" w:cs="Arial"/>
        </w:rPr>
        <w:t xml:space="preserve"> NSE was the first in India to launch electronic, screen-based trading, and it continues to invest heavily in its technology infrastructure to ensure high-speed, low-latency trading. This technological edge is a key reason for its high trading volume and liquidity, which in turn attracts more participants, creating a virtuous cycle.</w:t>
      </w:r>
    </w:p>
    <w:p w14:paraId="22997BC1" w14:textId="77777777" w:rsidR="006F6331" w:rsidRDefault="006F6331" w:rsidP="00D72896">
      <w:pPr>
        <w:numPr>
          <w:ilvl w:val="0"/>
          <w:numId w:val="18"/>
        </w:numPr>
        <w:spacing w:after="0" w:line="276" w:lineRule="auto"/>
        <w:jc w:val="both"/>
        <w:rPr>
          <w:rFonts w:ascii="Arial" w:hAnsi="Arial" w:cs="Arial"/>
        </w:rPr>
      </w:pPr>
      <w:r w:rsidRPr="00820B00">
        <w:rPr>
          <w:rFonts w:ascii="Arial" w:hAnsi="Arial" w:cs="Arial"/>
          <w:b/>
          <w:bCs/>
        </w:rPr>
        <w:t>Brand and Trust:</w:t>
      </w:r>
      <w:r w:rsidRPr="00820B00">
        <w:rPr>
          <w:rFonts w:ascii="Arial" w:hAnsi="Arial" w:cs="Arial"/>
        </w:rPr>
        <w:t xml:space="preserve"> The NIFTY 50 is the most widely tracked and trusted index in India, reinforcing the NSE's brand and solidifying its position as the market leader.</w:t>
      </w:r>
    </w:p>
    <w:p w14:paraId="2DC0CB07" w14:textId="77777777" w:rsidR="00820B00" w:rsidRPr="00820B00" w:rsidRDefault="00820B00" w:rsidP="00820B00">
      <w:pPr>
        <w:spacing w:after="0" w:line="276" w:lineRule="auto"/>
        <w:ind w:left="720"/>
        <w:jc w:val="both"/>
        <w:rPr>
          <w:rFonts w:ascii="Arial" w:hAnsi="Arial" w:cs="Arial"/>
        </w:rPr>
      </w:pPr>
    </w:p>
    <w:p w14:paraId="752D5E19" w14:textId="77777777" w:rsidR="006F6331" w:rsidRPr="0060510A" w:rsidRDefault="006F6331" w:rsidP="0060510A">
      <w:pPr>
        <w:pStyle w:val="Heading2"/>
        <w:spacing w:before="0" w:after="0" w:line="276" w:lineRule="auto"/>
        <w:jc w:val="both"/>
        <w:rPr>
          <w:b/>
          <w:bCs/>
          <w:color w:val="auto"/>
        </w:rPr>
      </w:pPr>
      <w:bookmarkStart w:id="11" w:name="_Toc209598730"/>
      <w:r w:rsidRPr="0060510A">
        <w:rPr>
          <w:b/>
          <w:bCs/>
          <w:color w:val="auto"/>
        </w:rPr>
        <w:t>Management, Regulatory, &amp; Risks</w:t>
      </w:r>
      <w:bookmarkEnd w:id="11"/>
    </w:p>
    <w:p w14:paraId="687FCDC1" w14:textId="77777777" w:rsidR="006F6331" w:rsidRPr="00820B00" w:rsidRDefault="006F6331" w:rsidP="000D7DB6">
      <w:pPr>
        <w:spacing w:after="0" w:line="276" w:lineRule="auto"/>
        <w:ind w:left="567"/>
        <w:jc w:val="both"/>
        <w:rPr>
          <w:rFonts w:ascii="Arial" w:hAnsi="Arial" w:cs="Arial"/>
        </w:rPr>
      </w:pPr>
      <w:r w:rsidRPr="00820B00">
        <w:rPr>
          <w:rFonts w:ascii="Arial" w:hAnsi="Arial" w:cs="Arial"/>
        </w:rPr>
        <w:t>The regulatory and governance landscape has been a key focus for the NSE. The company's proposed IPO has been on hold since its initial DRHP filing in 2016, pending the resolution of several regulatory and legal issues.</w:t>
      </w:r>
    </w:p>
    <w:p w14:paraId="0A055BE1" w14:textId="77777777" w:rsidR="006F6331" w:rsidRPr="00820B00" w:rsidRDefault="006F6331" w:rsidP="00D72896">
      <w:pPr>
        <w:numPr>
          <w:ilvl w:val="0"/>
          <w:numId w:val="19"/>
        </w:numPr>
        <w:spacing w:after="0" w:line="276" w:lineRule="auto"/>
        <w:jc w:val="both"/>
        <w:rPr>
          <w:rFonts w:ascii="Arial" w:hAnsi="Arial" w:cs="Arial"/>
        </w:rPr>
      </w:pPr>
      <w:r w:rsidRPr="00820B00">
        <w:rPr>
          <w:rFonts w:ascii="Arial" w:hAnsi="Arial" w:cs="Arial"/>
          <w:b/>
          <w:bCs/>
        </w:rPr>
        <w:t>Co-location Scam:</w:t>
      </w:r>
      <w:r w:rsidRPr="00820B00">
        <w:rPr>
          <w:rFonts w:ascii="Arial" w:hAnsi="Arial" w:cs="Arial"/>
        </w:rPr>
        <w:t xml:space="preserve"> This is the most significant regulatory issue. The investigation by the Central Bureau of Investigation (CBI) has focused on allegations of a few brokers gaining </w:t>
      </w:r>
      <w:r w:rsidRPr="00820B00">
        <w:rPr>
          <w:rFonts w:ascii="Arial" w:hAnsi="Arial" w:cs="Arial"/>
          <w:b/>
          <w:bCs/>
        </w:rPr>
        <w:t>preferential access</w:t>
      </w:r>
      <w:r w:rsidRPr="00820B00">
        <w:rPr>
          <w:rFonts w:ascii="Arial" w:hAnsi="Arial" w:cs="Arial"/>
        </w:rPr>
        <w:t xml:space="preserve"> to the exchange's data feed, enabling them to front-run other traders. The case has led to </w:t>
      </w:r>
      <w:r w:rsidRPr="00820B00">
        <w:rPr>
          <w:rFonts w:ascii="Arial" w:hAnsi="Arial" w:cs="Arial"/>
          <w:b/>
          <w:bCs/>
        </w:rPr>
        <w:t>criminal charges</w:t>
      </w:r>
      <w:r w:rsidRPr="00820B00">
        <w:rPr>
          <w:rFonts w:ascii="Arial" w:hAnsi="Arial" w:cs="Arial"/>
        </w:rPr>
        <w:t xml:space="preserve"> against former managing director </w:t>
      </w:r>
      <w:r w:rsidRPr="00820B00">
        <w:rPr>
          <w:rFonts w:ascii="Arial" w:hAnsi="Arial" w:cs="Arial"/>
          <w:b/>
          <w:bCs/>
        </w:rPr>
        <w:t>Chitra Ramkrishna</w:t>
      </w:r>
      <w:r w:rsidRPr="00820B00">
        <w:rPr>
          <w:rFonts w:ascii="Arial" w:hAnsi="Arial" w:cs="Arial"/>
        </w:rPr>
        <w:t xml:space="preserve"> and other senior executives. While some subsidiary cases have been disposed of, the main regulatory and criminal proceedings remain a key overhang.</w:t>
      </w:r>
    </w:p>
    <w:p w14:paraId="0AA27665" w14:textId="77777777" w:rsidR="006F6331" w:rsidRPr="00820B00" w:rsidRDefault="006F6331" w:rsidP="00D72896">
      <w:pPr>
        <w:numPr>
          <w:ilvl w:val="0"/>
          <w:numId w:val="19"/>
        </w:numPr>
        <w:spacing w:after="0" w:line="276" w:lineRule="auto"/>
        <w:jc w:val="both"/>
        <w:rPr>
          <w:rFonts w:ascii="Arial" w:hAnsi="Arial" w:cs="Arial"/>
        </w:rPr>
      </w:pPr>
      <w:r w:rsidRPr="00820B00">
        <w:rPr>
          <w:rFonts w:ascii="Arial" w:hAnsi="Arial" w:cs="Arial"/>
          <w:b/>
          <w:bCs/>
        </w:rPr>
        <w:t>Governance and IPO Delays:</w:t>
      </w:r>
      <w:r w:rsidRPr="00820B00">
        <w:rPr>
          <w:rFonts w:ascii="Arial" w:hAnsi="Arial" w:cs="Arial"/>
        </w:rPr>
        <w:t xml:space="preserve"> Beyond the co-location issue, SEBI has also raised broader concerns regarding NSE's governance and its ownership of the National Securities Clearing Corporation (NSCCL), which could create a conflict of interest. These concerns have been the primary reason for the </w:t>
      </w:r>
      <w:r w:rsidRPr="00820B00">
        <w:rPr>
          <w:rFonts w:ascii="Arial" w:hAnsi="Arial" w:cs="Arial"/>
          <w:b/>
          <w:bCs/>
        </w:rPr>
        <w:t>indefinite delay of the IPO</w:t>
      </w:r>
      <w:r w:rsidRPr="00820B00">
        <w:rPr>
          <w:rFonts w:ascii="Arial" w:hAnsi="Arial" w:cs="Arial"/>
        </w:rPr>
        <w:t>.</w:t>
      </w:r>
    </w:p>
    <w:p w14:paraId="15A4C840" w14:textId="77777777" w:rsidR="006F6331" w:rsidRPr="00820B00" w:rsidRDefault="006F6331" w:rsidP="00D72896">
      <w:pPr>
        <w:numPr>
          <w:ilvl w:val="0"/>
          <w:numId w:val="19"/>
        </w:numPr>
        <w:spacing w:after="0" w:line="276" w:lineRule="auto"/>
        <w:jc w:val="both"/>
        <w:rPr>
          <w:rFonts w:ascii="Arial" w:hAnsi="Arial" w:cs="Arial"/>
        </w:rPr>
      </w:pPr>
      <w:r w:rsidRPr="00820B00">
        <w:rPr>
          <w:rFonts w:ascii="Arial" w:hAnsi="Arial" w:cs="Arial"/>
          <w:b/>
          <w:bCs/>
        </w:rPr>
        <w:t>Technology &amp; Security Risk:</w:t>
      </w:r>
      <w:r w:rsidRPr="00820B00">
        <w:rPr>
          <w:rFonts w:ascii="Arial" w:hAnsi="Arial" w:cs="Arial"/>
        </w:rPr>
        <w:t xml:space="preserve"> Given the company’s heavy reliance on technology, there is a constant risk of system outages and security breaches. Any major failure could lead to significant financial losses and reputational damage.</w:t>
      </w:r>
    </w:p>
    <w:p w14:paraId="6DA304A2" w14:textId="77777777" w:rsidR="006F6331" w:rsidRPr="00820B00" w:rsidRDefault="006F6331" w:rsidP="00D72896">
      <w:pPr>
        <w:numPr>
          <w:ilvl w:val="0"/>
          <w:numId w:val="19"/>
        </w:numPr>
        <w:spacing w:after="0" w:line="276" w:lineRule="auto"/>
        <w:jc w:val="both"/>
        <w:rPr>
          <w:rFonts w:ascii="Arial" w:hAnsi="Arial" w:cs="Arial"/>
        </w:rPr>
      </w:pPr>
      <w:r w:rsidRPr="00820B00">
        <w:rPr>
          <w:rFonts w:ascii="Arial" w:hAnsi="Arial" w:cs="Arial"/>
          <w:b/>
          <w:bCs/>
        </w:rPr>
        <w:lastRenderedPageBreak/>
        <w:t>Litigation Risk:</w:t>
      </w:r>
      <w:r w:rsidRPr="00820B00">
        <w:rPr>
          <w:rFonts w:ascii="Arial" w:hAnsi="Arial" w:cs="Arial"/>
        </w:rPr>
        <w:t xml:space="preserve"> The company and its subsidiaries are involved in numerous legal proceedings, including tax, regulatory, and criminal matters. While the litigation with the Metropolitan Stock Exchange of India (MSEI) has been disposed of, the ongoing legal cases with SEBI and the CBI still represent a material risk.</w:t>
      </w:r>
    </w:p>
    <w:p w14:paraId="2986A70D" w14:textId="77777777" w:rsidR="00F47709" w:rsidRPr="00820B00" w:rsidRDefault="00F47709" w:rsidP="00D72896">
      <w:pPr>
        <w:spacing w:after="0" w:line="276" w:lineRule="auto"/>
        <w:jc w:val="both"/>
        <w:rPr>
          <w:rFonts w:ascii="Arial" w:hAnsi="Arial" w:cs="Arial"/>
        </w:rPr>
      </w:pPr>
    </w:p>
    <w:p w14:paraId="06594557" w14:textId="77777777" w:rsidR="00514DA3" w:rsidRPr="00E95F28" w:rsidRDefault="00514DA3" w:rsidP="00E95F28">
      <w:pPr>
        <w:pStyle w:val="Heading1"/>
        <w:spacing w:before="0" w:after="0" w:line="276" w:lineRule="auto"/>
        <w:rPr>
          <w:b/>
          <w:bCs/>
          <w:color w:val="auto"/>
        </w:rPr>
      </w:pPr>
      <w:bookmarkStart w:id="12" w:name="_Toc209598731"/>
      <w:r w:rsidRPr="00E95F28">
        <w:rPr>
          <w:b/>
          <w:bCs/>
          <w:color w:val="auto"/>
        </w:rPr>
        <w:t>Investment Conclusion</w:t>
      </w:r>
      <w:bookmarkEnd w:id="12"/>
    </w:p>
    <w:p w14:paraId="29C5C8D7" w14:textId="7D2BDEFB" w:rsidR="00514DA3" w:rsidRDefault="00514DA3" w:rsidP="00D72896">
      <w:pPr>
        <w:spacing w:after="0" w:line="276" w:lineRule="auto"/>
        <w:jc w:val="both"/>
        <w:rPr>
          <w:rFonts w:ascii="Arial" w:hAnsi="Arial" w:cs="Arial"/>
        </w:rPr>
      </w:pPr>
      <w:r w:rsidRPr="00820B00">
        <w:rPr>
          <w:rFonts w:ascii="Arial" w:hAnsi="Arial" w:cs="Arial"/>
        </w:rPr>
        <w:t xml:space="preserve">Based on a comprehensive analysis of NSE's business model, market position, financials, and a blended valuation, we recommend </w:t>
      </w:r>
      <w:r w:rsidR="00820B00" w:rsidRPr="00820B00">
        <w:rPr>
          <w:rFonts w:ascii="Arial" w:hAnsi="Arial" w:cs="Arial"/>
        </w:rPr>
        <w:t>Subscribing</w:t>
      </w:r>
      <w:r w:rsidRPr="00820B00">
        <w:rPr>
          <w:rFonts w:ascii="Arial" w:hAnsi="Arial" w:cs="Arial"/>
        </w:rPr>
        <w:t xml:space="preserve"> to the National Stock Exchange of India's IPO at or below the calculated target price of </w:t>
      </w:r>
      <w:r w:rsidRPr="00820B00">
        <w:rPr>
          <w:rFonts w:ascii="Arial" w:hAnsi="Arial" w:cs="Arial"/>
          <w:b/>
          <w:bCs/>
        </w:rPr>
        <w:t>₹3,945.43</w:t>
      </w:r>
      <w:r w:rsidRPr="00820B00">
        <w:rPr>
          <w:rFonts w:ascii="Arial" w:hAnsi="Arial" w:cs="Arial"/>
        </w:rPr>
        <w:t>.</w:t>
      </w:r>
    </w:p>
    <w:p w14:paraId="49FAA7A5" w14:textId="77777777" w:rsidR="00820B00" w:rsidRPr="00820B00" w:rsidRDefault="00820B00" w:rsidP="00D72896">
      <w:pPr>
        <w:spacing w:after="0" w:line="276" w:lineRule="auto"/>
        <w:jc w:val="both"/>
        <w:rPr>
          <w:rFonts w:ascii="Arial" w:hAnsi="Arial" w:cs="Arial"/>
        </w:rPr>
      </w:pPr>
    </w:p>
    <w:p w14:paraId="23B6965B" w14:textId="77777777" w:rsidR="00514DA3" w:rsidRDefault="00514DA3" w:rsidP="00D72896">
      <w:pPr>
        <w:spacing w:after="0" w:line="276" w:lineRule="auto"/>
        <w:jc w:val="both"/>
        <w:rPr>
          <w:rFonts w:ascii="Arial" w:hAnsi="Arial" w:cs="Arial"/>
        </w:rPr>
      </w:pPr>
      <w:r w:rsidRPr="00820B00">
        <w:rPr>
          <w:rFonts w:ascii="Arial" w:hAnsi="Arial" w:cs="Arial"/>
        </w:rPr>
        <w:t xml:space="preserve">Our opinion is driven by a clear comparison of the calculated valuation to the current unlisted market price and the company's powerful fundamentals. The unlisted share price for NSE is currently trading at approximately </w:t>
      </w:r>
      <w:r w:rsidRPr="00820B00">
        <w:rPr>
          <w:rFonts w:ascii="Arial" w:hAnsi="Arial" w:cs="Arial"/>
          <w:b/>
          <w:bCs/>
        </w:rPr>
        <w:t>₹2,025</w:t>
      </w:r>
      <w:r w:rsidRPr="00820B00">
        <w:rPr>
          <w:rFonts w:ascii="Arial" w:hAnsi="Arial" w:cs="Arial"/>
        </w:rPr>
        <w:t xml:space="preserve">, indicating a significant </w:t>
      </w:r>
      <w:r w:rsidRPr="00820B00">
        <w:rPr>
          <w:rFonts w:ascii="Arial" w:hAnsi="Arial" w:cs="Arial"/>
          <w:b/>
          <w:bCs/>
        </w:rPr>
        <w:t>48.7% discount</w:t>
      </w:r>
      <w:r w:rsidRPr="00820B00">
        <w:rPr>
          <w:rFonts w:ascii="Arial" w:hAnsi="Arial" w:cs="Arial"/>
        </w:rPr>
        <w:t xml:space="preserve"> to our calculated target price. This suggests substantial upside potential should the IPO proceed at a valuation closer to its intrinsic value.</w:t>
      </w:r>
    </w:p>
    <w:p w14:paraId="47623456" w14:textId="77777777" w:rsidR="00820B00" w:rsidRPr="00820B00" w:rsidRDefault="00820B00" w:rsidP="00D72896">
      <w:pPr>
        <w:spacing w:after="0" w:line="276" w:lineRule="auto"/>
        <w:jc w:val="both"/>
        <w:rPr>
          <w:rFonts w:ascii="Arial" w:hAnsi="Arial" w:cs="Arial"/>
        </w:rPr>
      </w:pPr>
    </w:p>
    <w:p w14:paraId="2EB2E804" w14:textId="77777777" w:rsidR="00514DA3" w:rsidRPr="00820B00" w:rsidRDefault="00514DA3" w:rsidP="00D72896">
      <w:pPr>
        <w:spacing w:after="0" w:line="276" w:lineRule="auto"/>
        <w:jc w:val="both"/>
        <w:rPr>
          <w:rFonts w:ascii="Arial" w:hAnsi="Arial" w:cs="Arial"/>
        </w:rPr>
      </w:pPr>
      <w:r w:rsidRPr="00820B00">
        <w:rPr>
          <w:rFonts w:ascii="Arial" w:hAnsi="Arial" w:cs="Arial"/>
        </w:rPr>
        <w:t>Our conviction is based on the following key factors:</w:t>
      </w:r>
    </w:p>
    <w:p w14:paraId="207BBBD2" w14:textId="77777777" w:rsidR="00514DA3" w:rsidRPr="00820B00" w:rsidRDefault="00514DA3" w:rsidP="00D72896">
      <w:pPr>
        <w:numPr>
          <w:ilvl w:val="0"/>
          <w:numId w:val="20"/>
        </w:numPr>
        <w:spacing w:after="0" w:line="276" w:lineRule="auto"/>
        <w:jc w:val="both"/>
        <w:rPr>
          <w:rFonts w:ascii="Arial" w:hAnsi="Arial" w:cs="Arial"/>
        </w:rPr>
      </w:pPr>
      <w:r w:rsidRPr="00820B00">
        <w:rPr>
          <w:rFonts w:ascii="Arial" w:hAnsi="Arial" w:cs="Arial"/>
          <w:b/>
          <w:bCs/>
        </w:rPr>
        <w:t>Dominant Market Leadership:</w:t>
      </w:r>
      <w:r w:rsidRPr="00820B00">
        <w:rPr>
          <w:rFonts w:ascii="Arial" w:hAnsi="Arial" w:cs="Arial"/>
        </w:rPr>
        <w:t xml:space="preserve"> NSE is the undisputed leader in India's capital markets, holding a commanding market share in the highly profitable derivatives segment, where it is the world's largest exchange by trading volume. This dominance provides a strong competitive moat and consistent revenue growth.</w:t>
      </w:r>
    </w:p>
    <w:p w14:paraId="45E11D03" w14:textId="77777777" w:rsidR="00514DA3" w:rsidRPr="00820B00" w:rsidRDefault="00514DA3" w:rsidP="00D72896">
      <w:pPr>
        <w:numPr>
          <w:ilvl w:val="0"/>
          <w:numId w:val="20"/>
        </w:numPr>
        <w:spacing w:after="0" w:line="276" w:lineRule="auto"/>
        <w:jc w:val="both"/>
        <w:rPr>
          <w:rFonts w:ascii="Arial" w:hAnsi="Arial" w:cs="Arial"/>
        </w:rPr>
      </w:pPr>
      <w:r w:rsidRPr="00820B00">
        <w:rPr>
          <w:rFonts w:ascii="Arial" w:hAnsi="Arial" w:cs="Arial"/>
          <w:b/>
          <w:bCs/>
        </w:rPr>
        <w:t>Strong Growth &amp; Profitability:</w:t>
      </w:r>
      <w:r w:rsidRPr="00820B00">
        <w:rPr>
          <w:rFonts w:ascii="Arial" w:hAnsi="Arial" w:cs="Arial"/>
        </w:rPr>
        <w:t xml:space="preserve"> The company has demonstrated impressive financial performance with high revenue and profit growth. India's macroeconomic tailwinds, coupled with a surge in retail investor participation and rising IPO activity, provide a powerful foundation for future growth.</w:t>
      </w:r>
    </w:p>
    <w:p w14:paraId="6822DEFE" w14:textId="77777777" w:rsidR="00514DA3" w:rsidRPr="00820B00" w:rsidRDefault="00514DA3" w:rsidP="00D72896">
      <w:pPr>
        <w:numPr>
          <w:ilvl w:val="0"/>
          <w:numId w:val="20"/>
        </w:numPr>
        <w:spacing w:after="0" w:line="276" w:lineRule="auto"/>
        <w:jc w:val="both"/>
        <w:rPr>
          <w:rFonts w:ascii="Arial" w:hAnsi="Arial" w:cs="Arial"/>
        </w:rPr>
      </w:pPr>
      <w:r w:rsidRPr="00820B00">
        <w:rPr>
          <w:rFonts w:ascii="Arial" w:hAnsi="Arial" w:cs="Arial"/>
          <w:b/>
          <w:bCs/>
        </w:rPr>
        <w:t>Fundamental Value &amp; Price Disparity:</w:t>
      </w:r>
      <w:r w:rsidRPr="00820B00">
        <w:rPr>
          <w:rFonts w:ascii="Arial" w:hAnsi="Arial" w:cs="Arial"/>
        </w:rPr>
        <w:t xml:space="preserve"> The target price of </w:t>
      </w:r>
      <w:r w:rsidRPr="00820B00">
        <w:rPr>
          <w:rFonts w:ascii="Arial" w:hAnsi="Arial" w:cs="Arial"/>
          <w:b/>
          <w:bCs/>
        </w:rPr>
        <w:t>₹3,945.43</w:t>
      </w:r>
      <w:r w:rsidRPr="00820B00">
        <w:rPr>
          <w:rFonts w:ascii="Arial" w:hAnsi="Arial" w:cs="Arial"/>
        </w:rPr>
        <w:t xml:space="preserve"> is a blended result of both our DCF and CCA valuations, reflecting the intrinsic value of the business. The significant discount to this price at which the shares currently trade in the unlisted market presents a compelling arbitrage opportunity for long-term investors.</w:t>
      </w:r>
    </w:p>
    <w:p w14:paraId="668D5680" w14:textId="77777777" w:rsidR="00367271" w:rsidRDefault="00367271" w:rsidP="00D72896">
      <w:pPr>
        <w:spacing w:after="0" w:line="276" w:lineRule="auto"/>
        <w:jc w:val="both"/>
        <w:rPr>
          <w:rFonts w:ascii="Arial" w:hAnsi="Arial" w:cs="Arial"/>
        </w:rPr>
      </w:pPr>
    </w:p>
    <w:p w14:paraId="1CD1AD7D" w14:textId="3CBAD515" w:rsidR="00514DA3" w:rsidRPr="00820B00" w:rsidRDefault="00514DA3" w:rsidP="00D72896">
      <w:pPr>
        <w:spacing w:after="0" w:line="276" w:lineRule="auto"/>
        <w:jc w:val="both"/>
        <w:rPr>
          <w:rFonts w:ascii="Arial" w:hAnsi="Arial" w:cs="Arial"/>
        </w:rPr>
      </w:pPr>
      <w:r w:rsidRPr="00820B00">
        <w:rPr>
          <w:rFonts w:ascii="Arial" w:hAnsi="Arial" w:cs="Arial"/>
        </w:rPr>
        <w:t>While the IPO remains on hold due to unresolved regulatory issues, the company’s strong fundamentals and the clear disparity between its intrinsic value and current unlisted price provide a strong argument for investment should the offering eventually proceed.</w:t>
      </w:r>
    </w:p>
    <w:p w14:paraId="1FF24984" w14:textId="77777777" w:rsidR="00A642D8" w:rsidRDefault="00A642D8" w:rsidP="00D72896">
      <w:pPr>
        <w:spacing w:after="0" w:line="276" w:lineRule="auto"/>
        <w:jc w:val="both"/>
        <w:rPr>
          <w:rFonts w:ascii="Arial" w:hAnsi="Arial" w:cs="Arial"/>
        </w:rPr>
      </w:pPr>
    </w:p>
    <w:p w14:paraId="7E0F04D7" w14:textId="77777777" w:rsidR="00A642D8" w:rsidRPr="00820B00" w:rsidRDefault="00A642D8" w:rsidP="00D72896">
      <w:pPr>
        <w:spacing w:after="0" w:line="276" w:lineRule="auto"/>
        <w:jc w:val="both"/>
        <w:rPr>
          <w:rFonts w:ascii="Arial" w:hAnsi="Arial" w:cs="Arial"/>
        </w:rPr>
      </w:pPr>
    </w:p>
    <w:p w14:paraId="66801870" w14:textId="77777777" w:rsidR="00E75E69" w:rsidRPr="00E95F28" w:rsidRDefault="00E75E69" w:rsidP="00E95F28">
      <w:pPr>
        <w:pStyle w:val="Heading1"/>
        <w:spacing w:before="0" w:after="0" w:line="276" w:lineRule="auto"/>
        <w:rPr>
          <w:b/>
          <w:bCs/>
          <w:color w:val="auto"/>
        </w:rPr>
      </w:pPr>
      <w:bookmarkStart w:id="13" w:name="_Toc209598732"/>
      <w:r w:rsidRPr="00E95F28">
        <w:rPr>
          <w:b/>
          <w:bCs/>
          <w:color w:val="auto"/>
        </w:rPr>
        <w:lastRenderedPageBreak/>
        <w:t>Valuation Assumptions and Limitations</w:t>
      </w:r>
      <w:bookmarkEnd w:id="13"/>
    </w:p>
    <w:p w14:paraId="5B366F35" w14:textId="77777777" w:rsidR="00E75E69" w:rsidRPr="00820B00" w:rsidRDefault="00E75E69" w:rsidP="00D72896">
      <w:pPr>
        <w:spacing w:after="0" w:line="276" w:lineRule="auto"/>
        <w:jc w:val="both"/>
        <w:rPr>
          <w:rFonts w:ascii="Arial" w:hAnsi="Arial" w:cs="Arial"/>
        </w:rPr>
      </w:pPr>
      <w:r w:rsidRPr="00820B00">
        <w:rPr>
          <w:rFonts w:ascii="Arial" w:hAnsi="Arial" w:cs="Arial"/>
        </w:rPr>
        <w:t>This valuation is based on a number of key assumptions and is subject to certain limitations. These are outlined below to ensure full transparency and to provide a comprehensive understanding of the factors influencing our conclusion.</w:t>
      </w:r>
    </w:p>
    <w:p w14:paraId="52551B05" w14:textId="77777777" w:rsidR="00E75E69" w:rsidRPr="0060510A" w:rsidRDefault="00E75E69" w:rsidP="0060510A">
      <w:pPr>
        <w:pStyle w:val="Heading2"/>
        <w:spacing w:before="0" w:after="0" w:line="276" w:lineRule="auto"/>
        <w:jc w:val="both"/>
        <w:rPr>
          <w:b/>
          <w:bCs/>
          <w:color w:val="auto"/>
        </w:rPr>
      </w:pPr>
      <w:bookmarkStart w:id="14" w:name="_Toc209598733"/>
      <w:r w:rsidRPr="0060510A">
        <w:rPr>
          <w:b/>
          <w:bCs/>
          <w:color w:val="auto"/>
        </w:rPr>
        <w:t>Key Assumptions</w:t>
      </w:r>
      <w:bookmarkEnd w:id="14"/>
    </w:p>
    <w:p w14:paraId="25FA75B2" w14:textId="77777777" w:rsidR="00E75E69" w:rsidRPr="00820B00" w:rsidRDefault="00E75E69" w:rsidP="00D72896">
      <w:pPr>
        <w:numPr>
          <w:ilvl w:val="0"/>
          <w:numId w:val="21"/>
        </w:numPr>
        <w:spacing w:after="0" w:line="276" w:lineRule="auto"/>
        <w:jc w:val="both"/>
        <w:rPr>
          <w:rFonts w:ascii="Arial" w:hAnsi="Arial" w:cs="Arial"/>
        </w:rPr>
      </w:pPr>
      <w:r w:rsidRPr="00820B00">
        <w:rPr>
          <w:rFonts w:ascii="Arial" w:hAnsi="Arial" w:cs="Arial"/>
          <w:b/>
          <w:bCs/>
        </w:rPr>
        <w:t>Growth Projections:</w:t>
      </w:r>
      <w:r w:rsidRPr="00820B00">
        <w:rPr>
          <w:rFonts w:ascii="Arial" w:hAnsi="Arial" w:cs="Arial"/>
        </w:rPr>
        <w:t xml:space="preserve"> Our model assumes a steady and consistent growth trajectory for NSE, driven by India's economic expansion and increasing retail participation.</w:t>
      </w:r>
    </w:p>
    <w:p w14:paraId="1481F034" w14:textId="77777777" w:rsidR="00E75E69" w:rsidRPr="00820B00" w:rsidRDefault="00E75E69" w:rsidP="00D72896">
      <w:pPr>
        <w:numPr>
          <w:ilvl w:val="0"/>
          <w:numId w:val="21"/>
        </w:numPr>
        <w:spacing w:after="0" w:line="276" w:lineRule="auto"/>
        <w:jc w:val="both"/>
        <w:rPr>
          <w:rFonts w:ascii="Arial" w:hAnsi="Arial" w:cs="Arial"/>
        </w:rPr>
      </w:pPr>
      <w:r w:rsidRPr="00820B00">
        <w:rPr>
          <w:rFonts w:ascii="Arial" w:hAnsi="Arial" w:cs="Arial"/>
          <w:b/>
          <w:bCs/>
        </w:rPr>
        <w:t>Weighted Average Cost of Capital (WACC):</w:t>
      </w:r>
      <w:r w:rsidRPr="00820B00">
        <w:rPr>
          <w:rFonts w:ascii="Arial" w:hAnsi="Arial" w:cs="Arial"/>
        </w:rPr>
        <w:t xml:space="preserve"> The WACC of </w:t>
      </w:r>
      <w:r w:rsidRPr="00820B00">
        <w:rPr>
          <w:rFonts w:ascii="Arial" w:hAnsi="Arial" w:cs="Arial"/>
          <w:b/>
          <w:bCs/>
        </w:rPr>
        <w:t>7.66%</w:t>
      </w:r>
      <w:r w:rsidRPr="00820B00">
        <w:rPr>
          <w:rFonts w:ascii="Arial" w:hAnsi="Arial" w:cs="Arial"/>
        </w:rPr>
        <w:t xml:space="preserve"> is based on our calculated cost of equity and the assumption of a continued zero-debt capital structure.</w:t>
      </w:r>
    </w:p>
    <w:p w14:paraId="57E8B9C1" w14:textId="77777777" w:rsidR="00E75E69" w:rsidRDefault="00E75E69" w:rsidP="00D72896">
      <w:pPr>
        <w:numPr>
          <w:ilvl w:val="0"/>
          <w:numId w:val="21"/>
        </w:numPr>
        <w:spacing w:after="0" w:line="276" w:lineRule="auto"/>
        <w:jc w:val="both"/>
        <w:rPr>
          <w:rFonts w:ascii="Arial" w:hAnsi="Arial" w:cs="Arial"/>
        </w:rPr>
      </w:pPr>
      <w:r w:rsidRPr="00820B00">
        <w:rPr>
          <w:rFonts w:ascii="Arial" w:hAnsi="Arial" w:cs="Arial"/>
          <w:b/>
          <w:bCs/>
        </w:rPr>
        <w:t>Perpetuity Growth Rate:</w:t>
      </w:r>
      <w:r w:rsidRPr="00820B00">
        <w:rPr>
          <w:rFonts w:ascii="Arial" w:hAnsi="Arial" w:cs="Arial"/>
        </w:rPr>
        <w:t xml:space="preserve"> Our terminal value calculation relies on a long-term perpetual growth rate of </w:t>
      </w:r>
      <w:r w:rsidRPr="00820B00">
        <w:rPr>
          <w:rFonts w:ascii="Arial" w:hAnsi="Arial" w:cs="Arial"/>
          <w:b/>
          <w:bCs/>
        </w:rPr>
        <w:t>6%</w:t>
      </w:r>
      <w:r w:rsidRPr="00820B00">
        <w:rPr>
          <w:rFonts w:ascii="Arial" w:hAnsi="Arial" w:cs="Arial"/>
        </w:rPr>
        <w:t>, which is in line with nominal GDP growth projections for the Indian economy.</w:t>
      </w:r>
    </w:p>
    <w:p w14:paraId="064272C7" w14:textId="77777777" w:rsidR="0060510A" w:rsidRPr="00820B00" w:rsidRDefault="0060510A" w:rsidP="0060510A">
      <w:pPr>
        <w:spacing w:after="0" w:line="276" w:lineRule="auto"/>
        <w:ind w:left="360"/>
        <w:jc w:val="both"/>
        <w:rPr>
          <w:rFonts w:ascii="Arial" w:hAnsi="Arial" w:cs="Arial"/>
        </w:rPr>
      </w:pPr>
    </w:p>
    <w:p w14:paraId="162B0A2A" w14:textId="77777777" w:rsidR="00E75E69" w:rsidRPr="0060510A" w:rsidRDefault="00E75E69" w:rsidP="0060510A">
      <w:pPr>
        <w:pStyle w:val="Heading2"/>
        <w:spacing w:before="0" w:after="0" w:line="276" w:lineRule="auto"/>
        <w:jc w:val="both"/>
        <w:rPr>
          <w:b/>
          <w:bCs/>
          <w:color w:val="auto"/>
        </w:rPr>
      </w:pPr>
      <w:bookmarkStart w:id="15" w:name="_Toc209598734"/>
      <w:r w:rsidRPr="0060510A">
        <w:rPr>
          <w:b/>
          <w:bCs/>
          <w:color w:val="auto"/>
        </w:rPr>
        <w:t>Model Limitations</w:t>
      </w:r>
      <w:bookmarkEnd w:id="15"/>
    </w:p>
    <w:p w14:paraId="0C31BA10" w14:textId="77777777" w:rsidR="00E75E69" w:rsidRPr="00820B00" w:rsidRDefault="00E75E69" w:rsidP="00D72896">
      <w:pPr>
        <w:numPr>
          <w:ilvl w:val="0"/>
          <w:numId w:val="22"/>
        </w:numPr>
        <w:spacing w:after="0" w:line="276" w:lineRule="auto"/>
        <w:jc w:val="both"/>
        <w:rPr>
          <w:rFonts w:ascii="Arial" w:hAnsi="Arial" w:cs="Arial"/>
        </w:rPr>
      </w:pPr>
      <w:r w:rsidRPr="00820B00">
        <w:rPr>
          <w:rFonts w:ascii="Arial" w:hAnsi="Arial" w:cs="Arial"/>
          <w:b/>
          <w:bCs/>
        </w:rPr>
        <w:t>Forecast Uncertainty:</w:t>
      </w:r>
      <w:r w:rsidRPr="00820B00">
        <w:rPr>
          <w:rFonts w:ascii="Arial" w:hAnsi="Arial" w:cs="Arial"/>
        </w:rPr>
        <w:t xml:space="preserve"> The valuation relies heavily on forecasted financial data, which is inherently uncertain and may not materialize as projected.</w:t>
      </w:r>
    </w:p>
    <w:p w14:paraId="6ABBB241" w14:textId="77777777" w:rsidR="00E75E69" w:rsidRPr="00820B00" w:rsidRDefault="00E75E69" w:rsidP="00D72896">
      <w:pPr>
        <w:numPr>
          <w:ilvl w:val="0"/>
          <w:numId w:val="22"/>
        </w:numPr>
        <w:spacing w:after="0" w:line="276" w:lineRule="auto"/>
        <w:jc w:val="both"/>
        <w:rPr>
          <w:rFonts w:ascii="Arial" w:hAnsi="Arial" w:cs="Arial"/>
        </w:rPr>
      </w:pPr>
      <w:r w:rsidRPr="00820B00">
        <w:rPr>
          <w:rFonts w:ascii="Arial" w:hAnsi="Arial" w:cs="Arial"/>
          <w:b/>
          <w:bCs/>
        </w:rPr>
        <w:t>Market Fluctuations:</w:t>
      </w:r>
      <w:r w:rsidRPr="00820B00">
        <w:rPr>
          <w:rFonts w:ascii="Arial" w:hAnsi="Arial" w:cs="Arial"/>
        </w:rPr>
        <w:t xml:space="preserve"> The valuation does not account for unforeseen market-wide events, geopolitical risks, or changes in investor sentiment that could impact trading volumes and, consequently, revenue.</w:t>
      </w:r>
    </w:p>
    <w:p w14:paraId="3DB25B87" w14:textId="77777777" w:rsidR="00E75E69" w:rsidRPr="00820B00" w:rsidRDefault="00E75E69" w:rsidP="00D72896">
      <w:pPr>
        <w:numPr>
          <w:ilvl w:val="0"/>
          <w:numId w:val="22"/>
        </w:numPr>
        <w:spacing w:after="0" w:line="276" w:lineRule="auto"/>
        <w:jc w:val="both"/>
        <w:rPr>
          <w:rFonts w:ascii="Arial" w:hAnsi="Arial" w:cs="Arial"/>
        </w:rPr>
      </w:pPr>
      <w:r w:rsidRPr="00820B00">
        <w:rPr>
          <w:rFonts w:ascii="Arial" w:hAnsi="Arial" w:cs="Arial"/>
          <w:b/>
          <w:bCs/>
        </w:rPr>
        <w:t>Regulatory &amp; Legal Risks:</w:t>
      </w:r>
      <w:r w:rsidRPr="00820B00">
        <w:rPr>
          <w:rFonts w:ascii="Arial" w:hAnsi="Arial" w:cs="Arial"/>
        </w:rPr>
        <w:t xml:space="preserve"> While we have addressed the co-location issue and other legal proceedings, the final outcome of these matters could have a material impact on the company's reputation and valuation.</w:t>
      </w:r>
    </w:p>
    <w:p w14:paraId="7E6E23CE" w14:textId="2BBD39D1" w:rsidR="00E75E69" w:rsidRPr="00820B00" w:rsidRDefault="00E75E69" w:rsidP="00D72896">
      <w:pPr>
        <w:spacing w:after="0" w:line="276" w:lineRule="auto"/>
        <w:jc w:val="both"/>
        <w:rPr>
          <w:rFonts w:ascii="Arial" w:hAnsi="Arial" w:cs="Arial"/>
        </w:rPr>
      </w:pPr>
    </w:p>
    <w:p w14:paraId="626086E7" w14:textId="77777777" w:rsidR="00E75E69" w:rsidRPr="00E95F28" w:rsidRDefault="00E75E69" w:rsidP="00E95F28">
      <w:pPr>
        <w:pStyle w:val="Heading1"/>
        <w:spacing w:before="0" w:after="0" w:line="276" w:lineRule="auto"/>
        <w:rPr>
          <w:b/>
          <w:bCs/>
          <w:color w:val="auto"/>
        </w:rPr>
      </w:pPr>
      <w:bookmarkStart w:id="16" w:name="_Toc209598735"/>
      <w:r w:rsidRPr="00E95F28">
        <w:rPr>
          <w:b/>
          <w:bCs/>
          <w:color w:val="auto"/>
        </w:rPr>
        <w:t>Appendices</w:t>
      </w:r>
      <w:bookmarkEnd w:id="16"/>
    </w:p>
    <w:p w14:paraId="2C242981" w14:textId="77777777" w:rsidR="00E75E69" w:rsidRPr="00820B00" w:rsidRDefault="00E75E69" w:rsidP="00D72896">
      <w:pPr>
        <w:spacing w:after="0" w:line="276" w:lineRule="auto"/>
        <w:jc w:val="both"/>
        <w:rPr>
          <w:rFonts w:ascii="Arial" w:hAnsi="Arial" w:cs="Arial"/>
        </w:rPr>
      </w:pPr>
      <w:r w:rsidRPr="00820B00">
        <w:rPr>
          <w:rFonts w:ascii="Arial" w:hAnsi="Arial" w:cs="Arial"/>
        </w:rPr>
        <w:t>The appendices contain the detailed models, data sources, and calculations that support the findings presented in this report.</w:t>
      </w:r>
    </w:p>
    <w:p w14:paraId="02590EB0" w14:textId="77777777" w:rsidR="00E75E69" w:rsidRPr="00820B00" w:rsidRDefault="00E75E69" w:rsidP="00D72896">
      <w:pPr>
        <w:numPr>
          <w:ilvl w:val="0"/>
          <w:numId w:val="23"/>
        </w:numPr>
        <w:spacing w:after="0" w:line="276" w:lineRule="auto"/>
        <w:jc w:val="both"/>
        <w:rPr>
          <w:rFonts w:ascii="Arial" w:hAnsi="Arial" w:cs="Arial"/>
        </w:rPr>
      </w:pPr>
      <w:r w:rsidRPr="00820B00">
        <w:rPr>
          <w:rFonts w:ascii="Arial" w:hAnsi="Arial" w:cs="Arial"/>
          <w:b/>
          <w:bCs/>
        </w:rPr>
        <w:t>Appendix A: Detailed Financial Model</w:t>
      </w:r>
    </w:p>
    <w:p w14:paraId="2D951ABB" w14:textId="77777777" w:rsidR="00E75E69" w:rsidRPr="00820B00" w:rsidRDefault="00E75E69" w:rsidP="00D72896">
      <w:pPr>
        <w:numPr>
          <w:ilvl w:val="0"/>
          <w:numId w:val="23"/>
        </w:numPr>
        <w:spacing w:after="0" w:line="276" w:lineRule="auto"/>
        <w:jc w:val="both"/>
        <w:rPr>
          <w:rFonts w:ascii="Arial" w:hAnsi="Arial" w:cs="Arial"/>
        </w:rPr>
      </w:pPr>
      <w:r w:rsidRPr="00820B00">
        <w:rPr>
          <w:rFonts w:ascii="Arial" w:hAnsi="Arial" w:cs="Arial"/>
          <w:b/>
          <w:bCs/>
        </w:rPr>
        <w:t>Appendix B: Discounted Cash Flow (DCF) Model</w:t>
      </w:r>
    </w:p>
    <w:p w14:paraId="4C2F3288" w14:textId="77777777" w:rsidR="00E75E69" w:rsidRPr="00820B00" w:rsidRDefault="00E75E69" w:rsidP="00D72896">
      <w:pPr>
        <w:numPr>
          <w:ilvl w:val="0"/>
          <w:numId w:val="23"/>
        </w:numPr>
        <w:spacing w:after="0" w:line="276" w:lineRule="auto"/>
        <w:jc w:val="both"/>
        <w:rPr>
          <w:rFonts w:ascii="Arial" w:hAnsi="Arial" w:cs="Arial"/>
        </w:rPr>
      </w:pPr>
      <w:r w:rsidRPr="00820B00">
        <w:rPr>
          <w:rFonts w:ascii="Arial" w:hAnsi="Arial" w:cs="Arial"/>
          <w:b/>
          <w:bCs/>
        </w:rPr>
        <w:t>Appendix C: Comparable Company Analysis (CCA) Data</w:t>
      </w:r>
    </w:p>
    <w:p w14:paraId="49B25788" w14:textId="77777777" w:rsidR="00E75E69" w:rsidRPr="00820B00" w:rsidRDefault="00E75E69" w:rsidP="00D72896">
      <w:pPr>
        <w:numPr>
          <w:ilvl w:val="0"/>
          <w:numId w:val="23"/>
        </w:numPr>
        <w:spacing w:after="0" w:line="276" w:lineRule="auto"/>
        <w:jc w:val="both"/>
        <w:rPr>
          <w:rFonts w:ascii="Arial" w:hAnsi="Arial" w:cs="Arial"/>
        </w:rPr>
      </w:pPr>
      <w:r w:rsidRPr="00820B00">
        <w:rPr>
          <w:rFonts w:ascii="Arial" w:hAnsi="Arial" w:cs="Arial"/>
          <w:b/>
          <w:bCs/>
        </w:rPr>
        <w:t>Appendix D: Sensitivity Analysis</w:t>
      </w:r>
    </w:p>
    <w:p w14:paraId="7F3FC762" w14:textId="77777777" w:rsidR="00820B00" w:rsidRPr="00820B00" w:rsidRDefault="00820B00" w:rsidP="00820B00">
      <w:pPr>
        <w:spacing w:after="0" w:line="276" w:lineRule="auto"/>
        <w:jc w:val="both"/>
        <w:rPr>
          <w:rFonts w:ascii="Arial" w:hAnsi="Arial" w:cs="Arial"/>
        </w:rPr>
      </w:pPr>
    </w:p>
    <w:p w14:paraId="59D4EB39" w14:textId="77777777" w:rsidR="00E75E69" w:rsidRPr="00E95F28" w:rsidRDefault="00E75E69" w:rsidP="00E95F28">
      <w:pPr>
        <w:pStyle w:val="Heading1"/>
        <w:spacing w:before="0" w:after="0" w:line="276" w:lineRule="auto"/>
        <w:rPr>
          <w:b/>
          <w:bCs/>
          <w:color w:val="auto"/>
        </w:rPr>
      </w:pPr>
      <w:bookmarkStart w:id="17" w:name="_Toc209598736"/>
      <w:r w:rsidRPr="00E95F28">
        <w:rPr>
          <w:b/>
          <w:bCs/>
          <w:color w:val="auto"/>
        </w:rPr>
        <w:t>Data Sources</w:t>
      </w:r>
      <w:bookmarkEnd w:id="17"/>
    </w:p>
    <w:p w14:paraId="5850DC59" w14:textId="77777777" w:rsidR="00E75E69" w:rsidRPr="00820B00" w:rsidRDefault="00E75E69" w:rsidP="00D72896">
      <w:pPr>
        <w:spacing w:after="0" w:line="276" w:lineRule="auto"/>
        <w:jc w:val="both"/>
        <w:rPr>
          <w:rFonts w:ascii="Arial" w:hAnsi="Arial" w:cs="Arial"/>
        </w:rPr>
      </w:pPr>
      <w:r w:rsidRPr="00820B00">
        <w:rPr>
          <w:rFonts w:ascii="Arial" w:hAnsi="Arial" w:cs="Arial"/>
        </w:rPr>
        <w:t>This report and its models have been prepared using data from the following sources:</w:t>
      </w:r>
    </w:p>
    <w:p w14:paraId="312218BA" w14:textId="77777777" w:rsidR="00E75E69" w:rsidRPr="00820B00" w:rsidRDefault="00E75E69" w:rsidP="00D72896">
      <w:pPr>
        <w:numPr>
          <w:ilvl w:val="0"/>
          <w:numId w:val="24"/>
        </w:numPr>
        <w:spacing w:after="0" w:line="276" w:lineRule="auto"/>
        <w:jc w:val="both"/>
        <w:rPr>
          <w:rFonts w:ascii="Arial" w:hAnsi="Arial" w:cs="Arial"/>
        </w:rPr>
      </w:pPr>
      <w:r w:rsidRPr="00820B00">
        <w:rPr>
          <w:rFonts w:ascii="Arial" w:hAnsi="Arial" w:cs="Arial"/>
          <w:b/>
          <w:bCs/>
        </w:rPr>
        <w:t>Financial Data:</w:t>
      </w:r>
      <w:r w:rsidRPr="00820B00">
        <w:rPr>
          <w:rFonts w:ascii="Arial" w:hAnsi="Arial" w:cs="Arial"/>
        </w:rPr>
        <w:t xml:space="preserve"> Yahoo Finance, company filings (DRHP)</w:t>
      </w:r>
    </w:p>
    <w:p w14:paraId="041B5B9C" w14:textId="77777777" w:rsidR="00E75E69" w:rsidRPr="00820B00" w:rsidRDefault="00E75E69" w:rsidP="00D72896">
      <w:pPr>
        <w:numPr>
          <w:ilvl w:val="0"/>
          <w:numId w:val="24"/>
        </w:numPr>
        <w:spacing w:after="0" w:line="276" w:lineRule="auto"/>
        <w:jc w:val="both"/>
        <w:rPr>
          <w:rFonts w:ascii="Arial" w:hAnsi="Arial" w:cs="Arial"/>
        </w:rPr>
      </w:pPr>
      <w:r w:rsidRPr="00820B00">
        <w:rPr>
          <w:rFonts w:ascii="Arial" w:hAnsi="Arial" w:cs="Arial"/>
          <w:b/>
          <w:bCs/>
        </w:rPr>
        <w:t>Unlisted Share Prices:</w:t>
      </w:r>
      <w:r w:rsidRPr="00820B00">
        <w:rPr>
          <w:rFonts w:ascii="Arial" w:hAnsi="Arial" w:cs="Arial"/>
        </w:rPr>
        <w:t xml:space="preserve"> Incred Money</w:t>
      </w:r>
    </w:p>
    <w:p w14:paraId="28962074" w14:textId="77777777" w:rsidR="00E75E69" w:rsidRPr="00820B00" w:rsidRDefault="00E75E69" w:rsidP="00D72896">
      <w:pPr>
        <w:numPr>
          <w:ilvl w:val="0"/>
          <w:numId w:val="24"/>
        </w:numPr>
        <w:spacing w:after="0" w:line="276" w:lineRule="auto"/>
        <w:jc w:val="both"/>
        <w:rPr>
          <w:rFonts w:ascii="Arial" w:hAnsi="Arial" w:cs="Arial"/>
        </w:rPr>
      </w:pPr>
      <w:r w:rsidRPr="00820B00">
        <w:rPr>
          <w:rFonts w:ascii="Arial" w:hAnsi="Arial" w:cs="Arial"/>
          <w:b/>
          <w:bCs/>
        </w:rPr>
        <w:t>Regulatory Information:</w:t>
      </w:r>
      <w:r w:rsidRPr="00820B00">
        <w:rPr>
          <w:rFonts w:ascii="Arial" w:hAnsi="Arial" w:cs="Arial"/>
        </w:rPr>
        <w:t xml:space="preserve"> Securities and Exchange Board of India (SEBI)</w:t>
      </w:r>
    </w:p>
    <w:p w14:paraId="011C4FA6" w14:textId="14D19A80" w:rsidR="00E75E69" w:rsidRPr="00A642D8" w:rsidRDefault="00E75E69" w:rsidP="00D72896">
      <w:pPr>
        <w:numPr>
          <w:ilvl w:val="0"/>
          <w:numId w:val="24"/>
        </w:numPr>
        <w:spacing w:after="0" w:line="276" w:lineRule="auto"/>
        <w:jc w:val="both"/>
        <w:rPr>
          <w:rFonts w:ascii="Arial" w:hAnsi="Arial" w:cs="Arial"/>
        </w:rPr>
      </w:pPr>
      <w:r w:rsidRPr="00820B00">
        <w:rPr>
          <w:rFonts w:ascii="Arial" w:hAnsi="Arial" w:cs="Arial"/>
          <w:b/>
          <w:bCs/>
        </w:rPr>
        <w:t>Market Data &amp; Statistics:</w:t>
      </w:r>
      <w:r w:rsidRPr="00820B00">
        <w:rPr>
          <w:rFonts w:ascii="Arial" w:hAnsi="Arial" w:cs="Arial"/>
        </w:rPr>
        <w:t xml:space="preserve"> National Stock Exchange of India (NSE) reports and other public sources.</w:t>
      </w:r>
    </w:p>
    <w:p w14:paraId="3628540B" w14:textId="77777777" w:rsidR="00E75E69" w:rsidRPr="00E95F28" w:rsidRDefault="00E75E69" w:rsidP="00E95F28">
      <w:pPr>
        <w:pStyle w:val="Heading1"/>
        <w:spacing w:before="0" w:after="0" w:line="276" w:lineRule="auto"/>
        <w:rPr>
          <w:b/>
          <w:bCs/>
          <w:color w:val="auto"/>
        </w:rPr>
      </w:pPr>
      <w:bookmarkStart w:id="18" w:name="_Toc209598737"/>
      <w:r w:rsidRPr="00E95F28">
        <w:rPr>
          <w:b/>
          <w:bCs/>
          <w:color w:val="auto"/>
        </w:rPr>
        <w:lastRenderedPageBreak/>
        <w:t>Disclaimer</w:t>
      </w:r>
      <w:bookmarkEnd w:id="18"/>
    </w:p>
    <w:p w14:paraId="442D0170" w14:textId="77777777" w:rsidR="00E75E69" w:rsidRDefault="00E75E69" w:rsidP="00D72896">
      <w:pPr>
        <w:spacing w:after="0" w:line="276" w:lineRule="auto"/>
        <w:jc w:val="both"/>
        <w:rPr>
          <w:rFonts w:ascii="Arial" w:hAnsi="Arial" w:cs="Arial"/>
        </w:rPr>
      </w:pPr>
      <w:r w:rsidRPr="00820B00">
        <w:rPr>
          <w:rFonts w:ascii="Arial" w:hAnsi="Arial" w:cs="Arial"/>
        </w:rPr>
        <w:t>This report has been prepared for informational purposes only. The information contained herein is based on publicly available data and our own internal analysis. While we have made every effort to ensure the accuracy of the data, we make no representation or warranty, express or implied, as to its completeness or accuracy.</w:t>
      </w:r>
    </w:p>
    <w:p w14:paraId="312ECD46" w14:textId="77777777" w:rsidR="00367271" w:rsidRPr="00820B00" w:rsidRDefault="00367271" w:rsidP="00D72896">
      <w:pPr>
        <w:spacing w:after="0" w:line="276" w:lineRule="auto"/>
        <w:jc w:val="both"/>
        <w:rPr>
          <w:rFonts w:ascii="Arial" w:hAnsi="Arial" w:cs="Arial"/>
        </w:rPr>
      </w:pPr>
    </w:p>
    <w:p w14:paraId="0D9D0A05" w14:textId="77777777" w:rsidR="00E75E69" w:rsidRPr="00820B00" w:rsidRDefault="00E75E69" w:rsidP="00D72896">
      <w:pPr>
        <w:spacing w:after="0" w:line="276" w:lineRule="auto"/>
        <w:jc w:val="both"/>
        <w:rPr>
          <w:rFonts w:ascii="Arial" w:hAnsi="Arial" w:cs="Arial"/>
        </w:rPr>
      </w:pPr>
      <w:r w:rsidRPr="00820B00">
        <w:rPr>
          <w:rFonts w:ascii="Arial" w:hAnsi="Arial" w:cs="Arial"/>
        </w:rPr>
        <w:t>The valuation presented is an estimate based on our assumptions and models. It is not intended as financial advice or a solicitation to buy, sell, or hold any security. The value of any investment can go up or down, and investors should conduct their own due diligence and consult with a qualified financial advisor before making any investment decisions. We do not accept any liability for any direct or consequential loss or damage arising from the use of this report or its contents.</w:t>
      </w:r>
    </w:p>
    <w:p w14:paraId="3EF8F000" w14:textId="77777777" w:rsidR="00AF34E4" w:rsidRPr="00820B00" w:rsidRDefault="00AF34E4" w:rsidP="00D72896">
      <w:pPr>
        <w:spacing w:after="0" w:line="276" w:lineRule="auto"/>
        <w:jc w:val="both"/>
        <w:rPr>
          <w:rFonts w:ascii="Arial" w:hAnsi="Arial" w:cs="Arial"/>
        </w:rPr>
      </w:pPr>
    </w:p>
    <w:sectPr w:rsidR="00AF34E4" w:rsidRPr="00820B00" w:rsidSect="00C80EDF">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A0E76" w14:textId="77777777" w:rsidR="002B6A89" w:rsidRDefault="002B6A89" w:rsidP="002B6A89">
      <w:pPr>
        <w:spacing w:after="0" w:line="240" w:lineRule="auto"/>
      </w:pPr>
      <w:r>
        <w:separator/>
      </w:r>
    </w:p>
  </w:endnote>
  <w:endnote w:type="continuationSeparator" w:id="0">
    <w:p w14:paraId="4951948B" w14:textId="77777777" w:rsidR="002B6A89" w:rsidRDefault="002B6A89" w:rsidP="002B6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645033"/>
      <w:docPartObj>
        <w:docPartGallery w:val="Page Numbers (Bottom of Page)"/>
        <w:docPartUnique/>
      </w:docPartObj>
    </w:sdtPr>
    <w:sdtEndPr>
      <w:rPr>
        <w:noProof/>
      </w:rPr>
    </w:sdtEndPr>
    <w:sdtContent>
      <w:p w14:paraId="13D8BD55" w14:textId="478E9E53" w:rsidR="002B6A89" w:rsidRDefault="002B6A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5B04C6" w14:textId="77777777" w:rsidR="002B6A89" w:rsidRDefault="002B6A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4DBAC" w14:textId="77777777" w:rsidR="002B6A89" w:rsidRDefault="002B6A89" w:rsidP="002B6A89">
      <w:pPr>
        <w:spacing w:after="0" w:line="240" w:lineRule="auto"/>
      </w:pPr>
      <w:r>
        <w:separator/>
      </w:r>
    </w:p>
  </w:footnote>
  <w:footnote w:type="continuationSeparator" w:id="0">
    <w:p w14:paraId="0174AF44" w14:textId="77777777" w:rsidR="002B6A89" w:rsidRDefault="002B6A89" w:rsidP="002B6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1A40"/>
    <w:multiLevelType w:val="multilevel"/>
    <w:tmpl w:val="7126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957E5"/>
    <w:multiLevelType w:val="multilevel"/>
    <w:tmpl w:val="783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3662C2"/>
    <w:multiLevelType w:val="multilevel"/>
    <w:tmpl w:val="1188E2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B445773"/>
    <w:multiLevelType w:val="multilevel"/>
    <w:tmpl w:val="2BE8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85769E"/>
    <w:multiLevelType w:val="multilevel"/>
    <w:tmpl w:val="C532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E6185"/>
    <w:multiLevelType w:val="multilevel"/>
    <w:tmpl w:val="FA9CD4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BF17A55"/>
    <w:multiLevelType w:val="multilevel"/>
    <w:tmpl w:val="9ED6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25525A"/>
    <w:multiLevelType w:val="multilevel"/>
    <w:tmpl w:val="2066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C3B59"/>
    <w:multiLevelType w:val="multilevel"/>
    <w:tmpl w:val="EA4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855D59"/>
    <w:multiLevelType w:val="multilevel"/>
    <w:tmpl w:val="58B23A0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3B7C563A"/>
    <w:multiLevelType w:val="multilevel"/>
    <w:tmpl w:val="7CC6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5760A"/>
    <w:multiLevelType w:val="multilevel"/>
    <w:tmpl w:val="6D84D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6F1C64"/>
    <w:multiLevelType w:val="multilevel"/>
    <w:tmpl w:val="B9A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628C8"/>
    <w:multiLevelType w:val="multilevel"/>
    <w:tmpl w:val="8F14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A830EE"/>
    <w:multiLevelType w:val="multilevel"/>
    <w:tmpl w:val="C598DAA8"/>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5" w15:restartNumberingAfterBreak="0">
    <w:nsid w:val="499816A3"/>
    <w:multiLevelType w:val="multilevel"/>
    <w:tmpl w:val="5CA0E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30475D"/>
    <w:multiLevelType w:val="multilevel"/>
    <w:tmpl w:val="E8D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A4281"/>
    <w:multiLevelType w:val="multilevel"/>
    <w:tmpl w:val="19F4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C01CF"/>
    <w:multiLevelType w:val="multilevel"/>
    <w:tmpl w:val="3CAA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90299F"/>
    <w:multiLevelType w:val="multilevel"/>
    <w:tmpl w:val="C616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D87DD5"/>
    <w:multiLevelType w:val="multilevel"/>
    <w:tmpl w:val="4596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967606"/>
    <w:multiLevelType w:val="multilevel"/>
    <w:tmpl w:val="075CCDA2"/>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22" w15:restartNumberingAfterBreak="0">
    <w:nsid w:val="6DF40713"/>
    <w:multiLevelType w:val="multilevel"/>
    <w:tmpl w:val="09DC8CCC"/>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23" w15:restartNumberingAfterBreak="0">
    <w:nsid w:val="70E264AF"/>
    <w:multiLevelType w:val="multilevel"/>
    <w:tmpl w:val="BE927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271CA9"/>
    <w:multiLevelType w:val="multilevel"/>
    <w:tmpl w:val="512A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843896">
    <w:abstractNumId w:val="23"/>
  </w:num>
  <w:num w:numId="2" w16cid:durableId="787550820">
    <w:abstractNumId w:val="19"/>
  </w:num>
  <w:num w:numId="3" w16cid:durableId="1224949867">
    <w:abstractNumId w:val="13"/>
  </w:num>
  <w:num w:numId="4" w16cid:durableId="29963103">
    <w:abstractNumId w:val="3"/>
  </w:num>
  <w:num w:numId="5" w16cid:durableId="981813607">
    <w:abstractNumId w:val="1"/>
  </w:num>
  <w:num w:numId="6" w16cid:durableId="1742563263">
    <w:abstractNumId w:val="11"/>
  </w:num>
  <w:num w:numId="7" w16cid:durableId="1182861216">
    <w:abstractNumId w:val="15"/>
  </w:num>
  <w:num w:numId="8" w16cid:durableId="1225215962">
    <w:abstractNumId w:val="6"/>
  </w:num>
  <w:num w:numId="9" w16cid:durableId="1668560825">
    <w:abstractNumId w:val="8"/>
  </w:num>
  <w:num w:numId="10" w16cid:durableId="1315374395">
    <w:abstractNumId w:val="20"/>
  </w:num>
  <w:num w:numId="11" w16cid:durableId="778642337">
    <w:abstractNumId w:val="18"/>
  </w:num>
  <w:num w:numId="12" w16cid:durableId="2110925519">
    <w:abstractNumId w:val="17"/>
  </w:num>
  <w:num w:numId="13" w16cid:durableId="1508595332">
    <w:abstractNumId w:val="16"/>
  </w:num>
  <w:num w:numId="14" w16cid:durableId="266349239">
    <w:abstractNumId w:val="14"/>
  </w:num>
  <w:num w:numId="15" w16cid:durableId="1689483573">
    <w:abstractNumId w:val="24"/>
  </w:num>
  <w:num w:numId="16" w16cid:durableId="1455100339">
    <w:abstractNumId w:val="0"/>
  </w:num>
  <w:num w:numId="17" w16cid:durableId="1806582398">
    <w:abstractNumId w:val="7"/>
  </w:num>
  <w:num w:numId="18" w16cid:durableId="226383033">
    <w:abstractNumId w:val="5"/>
  </w:num>
  <w:num w:numId="19" w16cid:durableId="1680697768">
    <w:abstractNumId w:val="2"/>
  </w:num>
  <w:num w:numId="20" w16cid:durableId="766772811">
    <w:abstractNumId w:val="10"/>
  </w:num>
  <w:num w:numId="21" w16cid:durableId="778764346">
    <w:abstractNumId w:val="21"/>
  </w:num>
  <w:num w:numId="22" w16cid:durableId="40987298">
    <w:abstractNumId w:val="22"/>
  </w:num>
  <w:num w:numId="23" w16cid:durableId="1976569037">
    <w:abstractNumId w:val="4"/>
  </w:num>
  <w:num w:numId="24" w16cid:durableId="365911258">
    <w:abstractNumId w:val="12"/>
  </w:num>
  <w:num w:numId="25" w16cid:durableId="1355690585">
    <w:abstractNumId w:val="9"/>
  </w:num>
  <w:num w:numId="26" w16cid:durableId="13098688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CF8"/>
    <w:rsid w:val="00047AAD"/>
    <w:rsid w:val="000D7DB6"/>
    <w:rsid w:val="00130151"/>
    <w:rsid w:val="00144749"/>
    <w:rsid w:val="00160BBC"/>
    <w:rsid w:val="002666FF"/>
    <w:rsid w:val="00292966"/>
    <w:rsid w:val="002B6A89"/>
    <w:rsid w:val="00325B3F"/>
    <w:rsid w:val="0034046B"/>
    <w:rsid w:val="00367271"/>
    <w:rsid w:val="003B0295"/>
    <w:rsid w:val="003B7D53"/>
    <w:rsid w:val="00416E1C"/>
    <w:rsid w:val="004D4ACB"/>
    <w:rsid w:val="00502318"/>
    <w:rsid w:val="00514DA3"/>
    <w:rsid w:val="00517169"/>
    <w:rsid w:val="005573D3"/>
    <w:rsid w:val="00602E8F"/>
    <w:rsid w:val="00604F37"/>
    <w:rsid w:val="00605094"/>
    <w:rsid w:val="0060510A"/>
    <w:rsid w:val="006425AC"/>
    <w:rsid w:val="00645065"/>
    <w:rsid w:val="006958FE"/>
    <w:rsid w:val="006A51D7"/>
    <w:rsid w:val="006A6266"/>
    <w:rsid w:val="006B0C44"/>
    <w:rsid w:val="006D51A6"/>
    <w:rsid w:val="006D6A8B"/>
    <w:rsid w:val="006F6331"/>
    <w:rsid w:val="00754C27"/>
    <w:rsid w:val="00775198"/>
    <w:rsid w:val="007924FB"/>
    <w:rsid w:val="007E2804"/>
    <w:rsid w:val="00820B00"/>
    <w:rsid w:val="00820DE1"/>
    <w:rsid w:val="00853CF8"/>
    <w:rsid w:val="008B5EEF"/>
    <w:rsid w:val="008E5C5C"/>
    <w:rsid w:val="008F6364"/>
    <w:rsid w:val="00943D4F"/>
    <w:rsid w:val="009B786A"/>
    <w:rsid w:val="00A42D2B"/>
    <w:rsid w:val="00A642D8"/>
    <w:rsid w:val="00AF34E4"/>
    <w:rsid w:val="00B324A1"/>
    <w:rsid w:val="00BD7924"/>
    <w:rsid w:val="00C22BC0"/>
    <w:rsid w:val="00C241E1"/>
    <w:rsid w:val="00C80EDF"/>
    <w:rsid w:val="00CA7B74"/>
    <w:rsid w:val="00CF78FF"/>
    <w:rsid w:val="00D3234A"/>
    <w:rsid w:val="00D5520B"/>
    <w:rsid w:val="00D72896"/>
    <w:rsid w:val="00DE2FA2"/>
    <w:rsid w:val="00DE6B1A"/>
    <w:rsid w:val="00E5131F"/>
    <w:rsid w:val="00E70D34"/>
    <w:rsid w:val="00E75E69"/>
    <w:rsid w:val="00E95F28"/>
    <w:rsid w:val="00EC0289"/>
    <w:rsid w:val="00F47709"/>
    <w:rsid w:val="00F76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42C1F16"/>
  <w15:chartTrackingRefBased/>
  <w15:docId w15:val="{2644B963-0523-4948-9482-8CF41E8DB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CF8"/>
    <w:pPr>
      <w:keepNext/>
      <w:keepLines/>
      <w:numPr>
        <w:numId w:val="2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3CF8"/>
    <w:pPr>
      <w:keepNext/>
      <w:keepLines/>
      <w:numPr>
        <w:ilvl w:val="1"/>
        <w:numId w:val="2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CF8"/>
    <w:pPr>
      <w:keepNext/>
      <w:keepLines/>
      <w:numPr>
        <w:ilvl w:val="2"/>
        <w:numId w:val="2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CF8"/>
    <w:pPr>
      <w:keepNext/>
      <w:keepLines/>
      <w:numPr>
        <w:ilvl w:val="3"/>
        <w:numId w:val="2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CF8"/>
    <w:pPr>
      <w:keepNext/>
      <w:keepLines/>
      <w:numPr>
        <w:ilvl w:val="4"/>
        <w:numId w:val="2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CF8"/>
    <w:pPr>
      <w:keepNext/>
      <w:keepLines/>
      <w:numPr>
        <w:ilvl w:val="5"/>
        <w:numId w:val="2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CF8"/>
    <w:pPr>
      <w:keepNext/>
      <w:keepLines/>
      <w:numPr>
        <w:ilvl w:val="6"/>
        <w:numId w:val="2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CF8"/>
    <w:pPr>
      <w:keepNext/>
      <w:keepLines/>
      <w:numPr>
        <w:ilvl w:val="7"/>
        <w:numId w:val="2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CF8"/>
    <w:pPr>
      <w:keepNext/>
      <w:keepLines/>
      <w:numPr>
        <w:ilvl w:val="8"/>
        <w:numId w:val="2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3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CF8"/>
    <w:rPr>
      <w:rFonts w:eastAsiaTheme="majorEastAsia" w:cstheme="majorBidi"/>
      <w:color w:val="272727" w:themeColor="text1" w:themeTint="D8"/>
    </w:rPr>
  </w:style>
  <w:style w:type="paragraph" w:styleId="Title">
    <w:name w:val="Title"/>
    <w:basedOn w:val="Normal"/>
    <w:next w:val="Normal"/>
    <w:link w:val="TitleChar"/>
    <w:uiPriority w:val="10"/>
    <w:qFormat/>
    <w:rsid w:val="00853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CF8"/>
    <w:pPr>
      <w:spacing w:before="160"/>
      <w:jc w:val="center"/>
    </w:pPr>
    <w:rPr>
      <w:i/>
      <w:iCs/>
      <w:color w:val="404040" w:themeColor="text1" w:themeTint="BF"/>
    </w:rPr>
  </w:style>
  <w:style w:type="character" w:customStyle="1" w:styleId="QuoteChar">
    <w:name w:val="Quote Char"/>
    <w:basedOn w:val="DefaultParagraphFont"/>
    <w:link w:val="Quote"/>
    <w:uiPriority w:val="29"/>
    <w:rsid w:val="00853CF8"/>
    <w:rPr>
      <w:i/>
      <w:iCs/>
      <w:color w:val="404040" w:themeColor="text1" w:themeTint="BF"/>
    </w:rPr>
  </w:style>
  <w:style w:type="paragraph" w:styleId="ListParagraph">
    <w:name w:val="List Paragraph"/>
    <w:basedOn w:val="Normal"/>
    <w:uiPriority w:val="34"/>
    <w:qFormat/>
    <w:rsid w:val="00853CF8"/>
    <w:pPr>
      <w:ind w:left="720"/>
      <w:contextualSpacing/>
    </w:pPr>
  </w:style>
  <w:style w:type="character" w:styleId="IntenseEmphasis">
    <w:name w:val="Intense Emphasis"/>
    <w:basedOn w:val="DefaultParagraphFont"/>
    <w:uiPriority w:val="21"/>
    <w:qFormat/>
    <w:rsid w:val="00853CF8"/>
    <w:rPr>
      <w:i/>
      <w:iCs/>
      <w:color w:val="0F4761" w:themeColor="accent1" w:themeShade="BF"/>
    </w:rPr>
  </w:style>
  <w:style w:type="paragraph" w:styleId="IntenseQuote">
    <w:name w:val="Intense Quote"/>
    <w:basedOn w:val="Normal"/>
    <w:next w:val="Normal"/>
    <w:link w:val="IntenseQuoteChar"/>
    <w:uiPriority w:val="30"/>
    <w:qFormat/>
    <w:rsid w:val="00853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CF8"/>
    <w:rPr>
      <w:i/>
      <w:iCs/>
      <w:color w:val="0F4761" w:themeColor="accent1" w:themeShade="BF"/>
    </w:rPr>
  </w:style>
  <w:style w:type="character" w:styleId="IntenseReference">
    <w:name w:val="Intense Reference"/>
    <w:basedOn w:val="DefaultParagraphFont"/>
    <w:uiPriority w:val="32"/>
    <w:qFormat/>
    <w:rsid w:val="00853CF8"/>
    <w:rPr>
      <w:b/>
      <w:bCs/>
      <w:smallCaps/>
      <w:color w:val="0F4761" w:themeColor="accent1" w:themeShade="BF"/>
      <w:spacing w:val="5"/>
    </w:rPr>
  </w:style>
  <w:style w:type="table" w:styleId="TableGrid">
    <w:name w:val="Table Grid"/>
    <w:basedOn w:val="TableNormal"/>
    <w:uiPriority w:val="39"/>
    <w:rsid w:val="00047A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5131F"/>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5131F"/>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E5131F"/>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E5131F"/>
    <w:pPr>
      <w:spacing w:after="100" w:line="259" w:lineRule="auto"/>
      <w:ind w:left="440"/>
    </w:pPr>
    <w:rPr>
      <w:rFonts w:eastAsiaTheme="minorEastAsia" w:cs="Times New Roman"/>
      <w:kern w:val="0"/>
      <w:sz w:val="22"/>
      <w:szCs w:val="22"/>
      <w:lang w:val="en-US"/>
      <w14:ligatures w14:val="none"/>
    </w:rPr>
  </w:style>
  <w:style w:type="paragraph" w:styleId="Header">
    <w:name w:val="header"/>
    <w:basedOn w:val="Normal"/>
    <w:link w:val="HeaderChar"/>
    <w:uiPriority w:val="99"/>
    <w:unhideWhenUsed/>
    <w:rsid w:val="002B6A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6A89"/>
  </w:style>
  <w:style w:type="paragraph" w:styleId="Footer">
    <w:name w:val="footer"/>
    <w:basedOn w:val="Normal"/>
    <w:link w:val="FooterChar"/>
    <w:uiPriority w:val="99"/>
    <w:unhideWhenUsed/>
    <w:rsid w:val="002B6A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6A89"/>
  </w:style>
  <w:style w:type="character" w:styleId="Hyperlink">
    <w:name w:val="Hyperlink"/>
    <w:basedOn w:val="DefaultParagraphFont"/>
    <w:uiPriority w:val="99"/>
    <w:unhideWhenUsed/>
    <w:rsid w:val="00820DE1"/>
    <w:rPr>
      <w:color w:val="467886" w:themeColor="hyperlink"/>
      <w:u w:val="single"/>
    </w:rPr>
  </w:style>
  <w:style w:type="paragraph" w:styleId="NoSpacing">
    <w:name w:val="No Spacing"/>
    <w:link w:val="NoSpacingChar"/>
    <w:uiPriority w:val="1"/>
    <w:qFormat/>
    <w:rsid w:val="00C80ED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80EDF"/>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F5CCC-6459-4319-BEDE-6676CA61D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10</Pages>
  <Words>2659</Words>
  <Characters>15159</Characters>
  <Application>Microsoft Office Word</Application>
  <DocSecurity>0</DocSecurity>
  <Lines>126</Lines>
  <Paragraphs>35</Paragraphs>
  <ScaleCrop>false</ScaleCrop>
  <Company/>
  <LinksUpToDate>false</LinksUpToDate>
  <CharactersWithSpaces>17783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PUBLIC OFFERING
(IPO) VALUATION AND INVESTMENT ANALYSIS</dc:title>
  <dc:subject/>
  <dc:creator>Shiva Iyer</dc:creator>
  <cp:keywords/>
  <dc:description/>
  <cp:lastModifiedBy>Shiva Iyer</cp:lastModifiedBy>
  <cp:revision>60</cp:revision>
  <dcterms:created xsi:type="dcterms:W3CDTF">2025-09-23T10:52:00Z</dcterms:created>
  <dcterms:modified xsi:type="dcterms:W3CDTF">2025-09-24T13:31:00Z</dcterms:modified>
</cp:coreProperties>
</file>