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19E9" w14:textId="77777777" w:rsidR="00682473" w:rsidRPr="00682473" w:rsidRDefault="00682473" w:rsidP="00682473">
      <w:pPr>
        <w:rPr>
          <w:b/>
          <w:bCs/>
          <w:sz w:val="36"/>
          <w:szCs w:val="36"/>
        </w:rPr>
      </w:pPr>
      <w:r w:rsidRPr="00682473">
        <w:rPr>
          <w:b/>
          <w:bCs/>
          <w:sz w:val="36"/>
          <w:szCs w:val="36"/>
        </w:rPr>
        <w:t>Trader Performance vs Market Sentiment Analysis</w:t>
      </w:r>
    </w:p>
    <w:p w14:paraId="6F7CCE51" w14:textId="77777777" w:rsidR="00682473" w:rsidRPr="00682473" w:rsidRDefault="00682473" w:rsidP="00682473">
      <w:pPr>
        <w:rPr>
          <w:b/>
          <w:bCs/>
        </w:rPr>
      </w:pPr>
      <w:r w:rsidRPr="00682473">
        <w:rPr>
          <w:b/>
          <w:bCs/>
        </w:rPr>
        <w:t>Methodology</w:t>
      </w:r>
    </w:p>
    <w:p w14:paraId="2203EEFE" w14:textId="2CBB9B1F" w:rsidR="00682473" w:rsidRPr="00682473" w:rsidRDefault="00682473" w:rsidP="00682473">
      <w:r w:rsidRPr="00682473">
        <w:t xml:space="preserve">This project </w:t>
      </w:r>
      <w:r w:rsidRPr="00682473">
        <w:t>analyses</w:t>
      </w:r>
      <w:r w:rsidRPr="00682473">
        <w:t xml:space="preserve"> how market sentiment (Fear vs Greed) relates to trader </w:t>
      </w:r>
      <w:r w:rsidRPr="00682473">
        <w:t>behaviour</w:t>
      </w:r>
      <w:r w:rsidRPr="00682473">
        <w:t xml:space="preserve"> and performance using trading data from the </w:t>
      </w:r>
      <w:r w:rsidRPr="00682473">
        <w:t>Hyper liquid</w:t>
      </w:r>
      <w:r w:rsidRPr="00682473">
        <w:t xml:space="preserve"> exchange combined with the Bitcoin Fear &amp; Greed Index. The </w:t>
      </w:r>
      <w:r w:rsidRPr="00682473">
        <w:t>Hyper liquid</w:t>
      </w:r>
      <w:r w:rsidRPr="00682473">
        <w:t xml:space="preserve"> dataset contains detailed records of trader activity, including account identifiers, trade execution prices, trade size, trading direction, leverage-related information, and realized profit and loss (PnL).</w:t>
      </w:r>
    </w:p>
    <w:p w14:paraId="0BF4399A" w14:textId="77777777" w:rsidR="00682473" w:rsidRPr="00682473" w:rsidRDefault="00682473" w:rsidP="00682473">
      <w:r w:rsidRPr="00682473">
        <w:t>The analysis began with loading and inspecting both datasets to understand their structure and data quality. Missing values and duplicate records were examined, and timestamp fields in the trading dataset were converted to datetime format. Since the sentiment dataset is available at a daily level, trading activity was aggregated by date and trader account to align both datasets.</w:t>
      </w:r>
    </w:p>
    <w:p w14:paraId="33528CAE" w14:textId="77777777" w:rsidR="00682473" w:rsidRPr="00682473" w:rsidRDefault="00682473" w:rsidP="00682473">
      <w:r w:rsidRPr="00682473">
        <w:t>The two datasets were then merged using the date column so that each trader’s daily activity could be associated with the corresponding market sentiment classification.</w:t>
      </w:r>
    </w:p>
    <w:p w14:paraId="00EBD0D9" w14:textId="77777777" w:rsidR="00682473" w:rsidRPr="00682473" w:rsidRDefault="00682473" w:rsidP="00682473">
      <w:r w:rsidRPr="00682473">
        <w:t>Several behavioral and performance metrics were engineered to support the analysis, including daily profit and loss (PnL), trade frequency, average trade size, win rate, and number of trades per day. Since explicit leverage values were not consistently available, position size (Size USD) was used as a proxy for leverage exposure and trading risk.</w:t>
      </w:r>
    </w:p>
    <w:p w14:paraId="71B7BBF1" w14:textId="1BF72039" w:rsidR="00682473" w:rsidRPr="00682473" w:rsidRDefault="00682473" w:rsidP="00682473">
      <w:r w:rsidRPr="00682473">
        <w:t xml:space="preserve">To further explore behavioral patterns, trader segmentation techniques were applied. Traders were categorized based on activity level (frequent vs infrequent traders) and risk exposure (higher vs lower position sizes). In addition, a Random Forest classification model was implemented to evaluate whether trader profitability could be predicted using </w:t>
      </w:r>
      <w:r w:rsidRPr="00682473">
        <w:t>behavioural</w:t>
      </w:r>
      <w:r w:rsidRPr="00682473">
        <w:t xml:space="preserve"> and sentiment features. Finally, K-Means clustering was used to identify different trader archetypes based on trading activity, profitability, and position size.</w:t>
      </w:r>
    </w:p>
    <w:p w14:paraId="30B205B6" w14:textId="389BFF43" w:rsidR="00682473" w:rsidRPr="00682473" w:rsidRDefault="00682473" w:rsidP="00682473">
      <w:r w:rsidRPr="00682473">
        <w:t xml:space="preserve">The results of the analysis were presented through an interactive </w:t>
      </w:r>
      <w:proofErr w:type="spellStart"/>
      <w:r w:rsidRPr="00682473">
        <w:t>Streamlit</w:t>
      </w:r>
      <w:proofErr w:type="spellEnd"/>
      <w:r w:rsidRPr="00682473">
        <w:t xml:space="preserve"> dashboard, enabling visual exploration of the relationship between market sentiment and trader </w:t>
      </w:r>
      <w:r w:rsidRPr="00682473">
        <w:t>behaviour</w:t>
      </w:r>
      <w:r w:rsidRPr="00682473">
        <w:t>.</w:t>
      </w:r>
    </w:p>
    <w:p w14:paraId="3891F18E" w14:textId="77777777" w:rsidR="00682473" w:rsidRPr="00682473" w:rsidRDefault="00682473" w:rsidP="00682473">
      <w:r w:rsidRPr="00682473">
        <w:pict w14:anchorId="6C3B6428">
          <v:rect id="_x0000_i1055" style="width:0;height:1.5pt" o:hralign="center" o:hrstd="t" o:hr="t" fillcolor="#a0a0a0" stroked="f"/>
        </w:pict>
      </w:r>
    </w:p>
    <w:p w14:paraId="51ECB7A4" w14:textId="77777777" w:rsidR="00682473" w:rsidRPr="00682473" w:rsidRDefault="00682473" w:rsidP="00682473">
      <w:pPr>
        <w:rPr>
          <w:b/>
          <w:bCs/>
        </w:rPr>
      </w:pPr>
      <w:r w:rsidRPr="00682473">
        <w:rPr>
          <w:b/>
          <w:bCs/>
        </w:rPr>
        <w:t>Key Insights</w:t>
      </w:r>
    </w:p>
    <w:p w14:paraId="014DED5E" w14:textId="75E8890C" w:rsidR="00682473" w:rsidRPr="00682473" w:rsidRDefault="00682473" w:rsidP="00682473">
      <w:r w:rsidRPr="00682473">
        <w:t xml:space="preserve">The analysis reveals several important patterns linking market sentiment to trader </w:t>
      </w:r>
      <w:r w:rsidRPr="00682473">
        <w:t>behaviour</w:t>
      </w:r>
      <w:r w:rsidRPr="00682473">
        <w:t xml:space="preserve"> and performance.</w:t>
      </w:r>
    </w:p>
    <w:p w14:paraId="2597DA02" w14:textId="77777777" w:rsidR="00682473" w:rsidRPr="00682473" w:rsidRDefault="00682473" w:rsidP="00682473">
      <w:r w:rsidRPr="00682473">
        <w:t>First, trading activity tends to increase during Greed sentiment regimes. When market sentiment is optimistic, traders execute more trades per day, suggesting increased participation and stronger confidence in market direction.</w:t>
      </w:r>
    </w:p>
    <w:p w14:paraId="4D9354AC" w14:textId="77777777" w:rsidR="00682473" w:rsidRPr="00682473" w:rsidRDefault="00682473" w:rsidP="00682473">
      <w:r w:rsidRPr="00682473">
        <w:lastRenderedPageBreak/>
        <w:t>Second, the analysis indicates that risk exposure increases during Fear regimes, as reflected by larger average trade sizes. This suggests that traders may take more aggressive positions during volatile or uncertain market conditions, potentially attempting to benefit from rapid price movements.</w:t>
      </w:r>
    </w:p>
    <w:p w14:paraId="28241693" w14:textId="77777777" w:rsidR="00682473" w:rsidRPr="00682473" w:rsidRDefault="00682473" w:rsidP="00682473">
      <w:r w:rsidRPr="00682473">
        <w:t>Third, traders with larger position sizes exhibit greater PnL volatility compared to those trading smaller positions. While these traders occasionally generate higher profits, they also face significantly larger losses, highlighting the risk associated with higher exposure.</w:t>
      </w:r>
    </w:p>
    <w:p w14:paraId="0B82DD86" w14:textId="77777777" w:rsidR="00682473" w:rsidRPr="00682473" w:rsidRDefault="00682473" w:rsidP="00682473">
      <w:r w:rsidRPr="00682473">
        <w:t>Clustering analysis further identifies distinct trader archetypes. Some traders adopt conservative strategies with moderate trade sizes and relatively stable returns, while others exhibit high-risk behavior characterized by larger positions and more volatile profitability. A third group appears to follow high-frequency trading patterns, executing many smaller trades with relatively modest profit per trade.</w:t>
      </w:r>
    </w:p>
    <w:p w14:paraId="3679022C" w14:textId="68BDF7C6" w:rsidR="00682473" w:rsidRPr="00682473" w:rsidRDefault="00682473" w:rsidP="00682473">
      <w:r w:rsidRPr="00682473">
        <w:t xml:space="preserve">The predictive </w:t>
      </w:r>
      <w:r w:rsidRPr="00682473">
        <w:t>modelling</w:t>
      </w:r>
      <w:r w:rsidRPr="00682473">
        <w:t xml:space="preserve"> results indicate that trade frequency, trade size, and market sentiment are meaningful predictors of daily trader profitability, suggesting that trader behavior combined with sentiment indicators provides useful signals for understanding trading outcomes.</w:t>
      </w:r>
    </w:p>
    <w:p w14:paraId="5B551711" w14:textId="77777777" w:rsidR="00682473" w:rsidRPr="00682473" w:rsidRDefault="00682473" w:rsidP="00682473">
      <w:r w:rsidRPr="00682473">
        <w:pict w14:anchorId="3D7E35E3">
          <v:rect id="_x0000_i1056" style="width:0;height:1.5pt" o:hralign="center" o:hrstd="t" o:hr="t" fillcolor="#a0a0a0" stroked="f"/>
        </w:pict>
      </w:r>
    </w:p>
    <w:p w14:paraId="6A62D325" w14:textId="77777777" w:rsidR="00682473" w:rsidRPr="00682473" w:rsidRDefault="00682473" w:rsidP="00682473">
      <w:pPr>
        <w:rPr>
          <w:b/>
          <w:bCs/>
        </w:rPr>
      </w:pPr>
      <w:r w:rsidRPr="00682473">
        <w:rPr>
          <w:b/>
          <w:bCs/>
        </w:rPr>
        <w:t>Strategy Recommendations</w:t>
      </w:r>
    </w:p>
    <w:p w14:paraId="6C4B28D3" w14:textId="77777777" w:rsidR="00682473" w:rsidRPr="00682473" w:rsidRDefault="00682473" w:rsidP="00682473">
      <w:r w:rsidRPr="00682473">
        <w:t>Based on the observed behavioral patterns, several practical strategy recommendations can be derived.</w:t>
      </w:r>
    </w:p>
    <w:p w14:paraId="1A6A268F" w14:textId="77777777" w:rsidR="00682473" w:rsidRPr="00682473" w:rsidRDefault="00682473" w:rsidP="00682473">
      <w:r w:rsidRPr="00682473">
        <w:t>First, traders should consider reducing leverage or position size during Fear sentiment regimes. These periods are typically associated with increased volatility and higher liquidation risk, making conservative exposure management important for preserving capital.</w:t>
      </w:r>
    </w:p>
    <w:p w14:paraId="7555F1D2" w14:textId="77777777" w:rsidR="00682473" w:rsidRPr="00682473" w:rsidRDefault="00682473" w:rsidP="00682473">
      <w:r w:rsidRPr="00682473">
        <w:t>Second, trading activity may be strategically increased during Greed sentiment regimes, where stronger market participation and clearer price trends can provide more consistent trading opportunities.</w:t>
      </w:r>
    </w:p>
    <w:p w14:paraId="7D2AF621" w14:textId="77777777" w:rsidR="00682473" w:rsidRPr="00682473" w:rsidRDefault="00682473" w:rsidP="00682473">
      <w:r w:rsidRPr="00682473">
        <w:t>Third, traders operating with larger positions should implement stricter risk management frameworks, such as position sizing rules and stop-loss mechanisms. These practices can help limit drawdowns and reduce the impact of adverse market movements.</w:t>
      </w:r>
    </w:p>
    <w:p w14:paraId="74313F1B" w14:textId="77777777" w:rsidR="00682473" w:rsidRPr="00682473" w:rsidRDefault="00682473" w:rsidP="00682473">
      <w:r w:rsidRPr="00682473">
        <w:t>Overall, incorporating market sentiment indicators into trading decision-making can help traders dynamically adjust their risk exposure and improve strategy performance under varying market conditions.</w:t>
      </w:r>
    </w:p>
    <w:p w14:paraId="5CDBCD8D" w14:textId="77777777" w:rsidR="00BB28D6" w:rsidRPr="00682473" w:rsidRDefault="00BB28D6" w:rsidP="00682473"/>
    <w:sectPr w:rsidR="00BB28D6" w:rsidRPr="00682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D6"/>
    <w:rsid w:val="004564AE"/>
    <w:rsid w:val="00682473"/>
    <w:rsid w:val="00BB2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FB09"/>
  <w15:chartTrackingRefBased/>
  <w15:docId w15:val="{328CDC25-D170-45DD-AA13-2E8D26A3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8D6"/>
    <w:rPr>
      <w:rFonts w:eastAsiaTheme="majorEastAsia" w:cstheme="majorBidi"/>
      <w:color w:val="272727" w:themeColor="text1" w:themeTint="D8"/>
    </w:rPr>
  </w:style>
  <w:style w:type="paragraph" w:styleId="Title">
    <w:name w:val="Title"/>
    <w:basedOn w:val="Normal"/>
    <w:next w:val="Normal"/>
    <w:link w:val="TitleChar"/>
    <w:uiPriority w:val="10"/>
    <w:qFormat/>
    <w:rsid w:val="00BB2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8D6"/>
    <w:pPr>
      <w:spacing w:before="160"/>
      <w:jc w:val="center"/>
    </w:pPr>
    <w:rPr>
      <w:i/>
      <w:iCs/>
      <w:color w:val="404040" w:themeColor="text1" w:themeTint="BF"/>
    </w:rPr>
  </w:style>
  <w:style w:type="character" w:customStyle="1" w:styleId="QuoteChar">
    <w:name w:val="Quote Char"/>
    <w:basedOn w:val="DefaultParagraphFont"/>
    <w:link w:val="Quote"/>
    <w:uiPriority w:val="29"/>
    <w:rsid w:val="00BB28D6"/>
    <w:rPr>
      <w:i/>
      <w:iCs/>
      <w:color w:val="404040" w:themeColor="text1" w:themeTint="BF"/>
    </w:rPr>
  </w:style>
  <w:style w:type="paragraph" w:styleId="ListParagraph">
    <w:name w:val="List Paragraph"/>
    <w:basedOn w:val="Normal"/>
    <w:uiPriority w:val="34"/>
    <w:qFormat/>
    <w:rsid w:val="00BB28D6"/>
    <w:pPr>
      <w:ind w:left="720"/>
      <w:contextualSpacing/>
    </w:pPr>
  </w:style>
  <w:style w:type="character" w:styleId="IntenseEmphasis">
    <w:name w:val="Intense Emphasis"/>
    <w:basedOn w:val="DefaultParagraphFont"/>
    <w:uiPriority w:val="21"/>
    <w:qFormat/>
    <w:rsid w:val="00BB28D6"/>
    <w:rPr>
      <w:i/>
      <w:iCs/>
      <w:color w:val="0F4761" w:themeColor="accent1" w:themeShade="BF"/>
    </w:rPr>
  </w:style>
  <w:style w:type="paragraph" w:styleId="IntenseQuote">
    <w:name w:val="Intense Quote"/>
    <w:basedOn w:val="Normal"/>
    <w:next w:val="Normal"/>
    <w:link w:val="IntenseQuoteChar"/>
    <w:uiPriority w:val="30"/>
    <w:qFormat/>
    <w:rsid w:val="00BB2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8D6"/>
    <w:rPr>
      <w:i/>
      <w:iCs/>
      <w:color w:val="0F4761" w:themeColor="accent1" w:themeShade="BF"/>
    </w:rPr>
  </w:style>
  <w:style w:type="character" w:styleId="IntenseReference">
    <w:name w:val="Intense Reference"/>
    <w:basedOn w:val="DefaultParagraphFont"/>
    <w:uiPriority w:val="32"/>
    <w:qFormat/>
    <w:rsid w:val="00BB2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SHANKAR KODURI</dc:creator>
  <cp:keywords/>
  <dc:description/>
  <cp:lastModifiedBy>SHIVA SHANKAR KODURI</cp:lastModifiedBy>
  <cp:revision>2</cp:revision>
  <dcterms:created xsi:type="dcterms:W3CDTF">2026-03-13T17:39:00Z</dcterms:created>
  <dcterms:modified xsi:type="dcterms:W3CDTF">2026-03-13T17:45:00Z</dcterms:modified>
</cp:coreProperties>
</file>