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22" w:rsidRPr="00BE7A2B" w:rsidRDefault="00530E22" w:rsidP="00530E22">
      <w:p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Different Types of Distribution:</w:t>
      </w:r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Normal Distribution (Gaussian Distribution):</w:t>
      </w:r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Binomial Distribution:</w:t>
      </w:r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Poisson Distribution:</w:t>
      </w:r>
      <w:bookmarkStart w:id="0" w:name="_GoBack"/>
      <w:bookmarkEnd w:id="0"/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Uniform Distribution:</w:t>
      </w:r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Exponential Distribution:</w:t>
      </w:r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Log-Normal Distribution:</w:t>
      </w:r>
    </w:p>
    <w:p w:rsidR="00530E22" w:rsidRPr="00BE7A2B" w:rsidRDefault="00530E22" w:rsidP="00530E22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Candara" w:eastAsia="Times New Roman" w:hAnsi="Candara" w:cs="Calibri"/>
          <w:b/>
          <w:bCs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20"/>
          <w:lang w:eastAsia="en-IN"/>
        </w:rPr>
        <w:t>Gamma Distribution:</w:t>
      </w:r>
    </w:p>
    <w:p w:rsidR="00530E22" w:rsidRPr="00BE7A2B" w:rsidRDefault="00530E22" w:rsidP="00530E22">
      <w:pPr>
        <w:rPr>
          <w:rFonts w:ascii="Candara" w:eastAsia="Times New Roman" w:hAnsi="Candara" w:cs="Calibri"/>
          <w:b/>
          <w:bCs/>
          <w:color w:val="002060"/>
          <w:sz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color w:val="002060"/>
          <w:sz w:val="20"/>
          <w:lang w:eastAsia="en-IN"/>
        </w:rPr>
        <w:t>Normal distribution (Gaussian Distribution):</w:t>
      </w:r>
    </w:p>
    <w:p w:rsidR="00773A58" w:rsidRPr="00BE7A2B" w:rsidRDefault="00773A58" w:rsidP="00773A58">
      <w:pPr>
        <w:ind w:firstLine="720"/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A normal distribution, also known as a Gaussian distribution, is a continuous probability distribution that is characterized by its </w:t>
      </w:r>
      <w:r w:rsidRPr="00BE7A2B">
        <w:rPr>
          <w:rFonts w:ascii="Candara" w:eastAsia="Times New Roman" w:hAnsi="Candara" w:cs="Calibri"/>
          <w:b/>
          <w:bCs/>
          <w:sz w:val="18"/>
          <w:szCs w:val="20"/>
          <w:lang w:eastAsia="en-IN"/>
        </w:rPr>
        <w:t>symmetric bell-shaped curve</w:t>
      </w: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. It is one of the most common and important probability distributions in statistics and probability theory. The normal distribution is often used to model real-world phenomena, as many natural processes tend to exhibit approximately normal </w:t>
      </w:r>
      <w:r w:rsidR="00BE7A2B"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behaviour</w:t>
      </w: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.</w:t>
      </w:r>
    </w:p>
    <w:p w:rsidR="00E2710D" w:rsidRPr="00BE7A2B" w:rsidRDefault="00773A58" w:rsidP="00773A58">
      <w:pPr>
        <w:ind w:firstLine="720"/>
        <w:rPr>
          <w:rFonts w:ascii="Candara" w:eastAsia="Times New Roman" w:hAnsi="Candara" w:cs="Calibri"/>
          <w:b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The normal distribution is defined by two parameters: the mean (μ) and the standard deviation (σ). The mean represents the </w:t>
      </w:r>
      <w:r w:rsidR="00BE7A2B"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centre</w:t>
      </w: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 of the distribution, and the standard deviation determines the spread or dispersion of the data around the mean.</w:t>
      </w:r>
      <w:r w:rsidRPr="00BE7A2B">
        <w:rPr>
          <w:rFonts w:ascii="Candara" w:eastAsia="Times New Roman" w:hAnsi="Candara" w:cs="Calibri"/>
          <w:b/>
          <w:bCs/>
          <w:sz w:val="18"/>
          <w:szCs w:val="20"/>
          <w:lang w:eastAsia="en-IN"/>
        </w:rPr>
        <w:t xml:space="preserve"> </w:t>
      </w:r>
    </w:p>
    <w:p w:rsidR="00FC6C5C" w:rsidRPr="00BE7A2B" w:rsidRDefault="00AC60EA" w:rsidP="00E2710D">
      <w:pPr>
        <w:rPr>
          <w:rFonts w:ascii="Candara" w:eastAsia="Times New Roman" w:hAnsi="Candara" w:cs="Calibri"/>
          <w:b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18"/>
          <w:szCs w:val="20"/>
          <w:lang w:eastAsia="en-IN"/>
        </w:rPr>
        <w:t>Empirical</w:t>
      </w:r>
      <w:r w:rsidR="00FC6C5C" w:rsidRPr="00BE7A2B">
        <w:rPr>
          <w:rFonts w:ascii="Candara" w:eastAsia="Times New Roman" w:hAnsi="Candara" w:cs="Calibri"/>
          <w:b/>
          <w:bCs/>
          <w:sz w:val="18"/>
          <w:szCs w:val="20"/>
          <w:lang w:eastAsia="en-IN"/>
        </w:rPr>
        <w:t xml:space="preserve"> Rule of Normal Distribution:</w:t>
      </w:r>
    </w:p>
    <w:p w:rsidR="00511EB3" w:rsidRPr="00BE7A2B" w:rsidRDefault="00FB456F" w:rsidP="00696784">
      <w:pP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The Empirical Rule states </w:t>
      </w:r>
    </w:p>
    <w:p w:rsidR="00511EB3" w:rsidRPr="00BE7A2B" w:rsidRDefault="00FB456F" w:rsidP="00511EB3">
      <w:pPr>
        <w:pStyle w:val="ListParagraph"/>
        <w:numPr>
          <w:ilvl w:val="0"/>
          <w:numId w:val="10"/>
        </w:numP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68% of the data falls within one standard deviation, </w:t>
      </w:r>
    </w:p>
    <w:p w:rsidR="00BE3F9D" w:rsidRPr="00BE7A2B" w:rsidRDefault="00FB456F" w:rsidP="00511EB3">
      <w:pPr>
        <w:pStyle w:val="ListParagraph"/>
        <w:numPr>
          <w:ilvl w:val="0"/>
          <w:numId w:val="10"/>
        </w:numP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 xml:space="preserve">95% percent </w:t>
      </w:r>
      <w:r w:rsidR="00BE3F9D"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within two standard deviations</w:t>
      </w:r>
    </w:p>
    <w:p w:rsidR="00FB456F" w:rsidRPr="00BE7A2B" w:rsidRDefault="00FB456F" w:rsidP="00511EB3">
      <w:pPr>
        <w:pStyle w:val="ListParagraph"/>
        <w:numPr>
          <w:ilvl w:val="0"/>
          <w:numId w:val="10"/>
        </w:numP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and 99.7% within three standard deviations from the mean.</w:t>
      </w:r>
    </w:p>
    <w:p w:rsidR="007B6174" w:rsidRPr="00BE7A2B" w:rsidRDefault="00FC6C5C" w:rsidP="004542AB">
      <w:pPr>
        <w:rPr>
          <w:rFonts w:ascii="Candara" w:eastAsia="Times New Roman" w:hAnsi="Candara" w:cs="Calibri"/>
          <w:b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/>
          <w:bCs/>
          <w:sz w:val="18"/>
          <w:szCs w:val="20"/>
          <w:lang w:eastAsia="en-IN"/>
        </w:rPr>
        <w:br/>
      </w:r>
      <w:r w:rsidR="00246AE1" w:rsidRPr="00BE7A2B">
        <w:rPr>
          <w:rFonts w:ascii="Candara" w:eastAsia="Times New Roman" w:hAnsi="Candara" w:cs="Calibri"/>
          <w:b/>
          <w:bCs/>
          <w:noProof/>
          <w:sz w:val="18"/>
          <w:szCs w:val="20"/>
          <w:lang w:eastAsia="en-IN"/>
        </w:rPr>
        <w:drawing>
          <wp:inline distT="0" distB="0" distL="0" distR="0" wp14:anchorId="1C040CFA" wp14:editId="31927538">
            <wp:extent cx="3159760" cy="1838606"/>
            <wp:effectExtent l="19050" t="19050" r="21590" b="2857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644" cy="1921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3B3C" w:rsidRPr="00BE7A2B" w:rsidRDefault="00073B3C" w:rsidP="004542AB">
      <w:pPr>
        <w:rPr>
          <w:rFonts w:ascii="Candara" w:eastAsia="Times New Roman" w:hAnsi="Candara" w:cs="Calibri"/>
          <w:b/>
          <w:bCs/>
          <w:sz w:val="18"/>
          <w:szCs w:val="20"/>
          <w:lang w:eastAsia="en-IN"/>
        </w:rPr>
      </w:pPr>
    </w:p>
    <w:p w:rsidR="00D273CC" w:rsidRPr="00BE7A2B" w:rsidRDefault="00D273CC" w:rsidP="004542AB">
      <w:pPr>
        <w:pStyle w:val="ListParagraph"/>
        <w:numPr>
          <w:ilvl w:val="0"/>
          <w:numId w:val="6"/>
        </w:numP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The normal distribution is the proper term for a probability bell curve.</w:t>
      </w:r>
    </w:p>
    <w:p w:rsidR="00D273CC" w:rsidRPr="00BE7A2B" w:rsidRDefault="00D273CC" w:rsidP="004542AB">
      <w:pPr>
        <w:pStyle w:val="ListParagraph"/>
        <w:numPr>
          <w:ilvl w:val="0"/>
          <w:numId w:val="6"/>
        </w:numP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In a normal distribution the mean is zero and the standard deviation is 1. It has zero skew and a kurtosis of 3.</w:t>
      </w:r>
    </w:p>
    <w:p w:rsidR="00FA00CE" w:rsidRPr="00BE7A2B" w:rsidRDefault="00D273CC" w:rsidP="004542AB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rFonts w:ascii="Candara" w:eastAsia="Times New Roman" w:hAnsi="Candara" w:cs="Calibri"/>
          <w:bCs/>
          <w:sz w:val="18"/>
          <w:szCs w:val="20"/>
          <w:lang w:eastAsia="en-IN"/>
        </w:rPr>
      </w:pPr>
      <w:r w:rsidRPr="00BE7A2B">
        <w:rPr>
          <w:rFonts w:ascii="Candara" w:eastAsia="Times New Roman" w:hAnsi="Candara" w:cs="Calibri"/>
          <w:bCs/>
          <w:sz w:val="18"/>
          <w:szCs w:val="20"/>
          <w:lang w:eastAsia="en-IN"/>
        </w:rPr>
        <w:t>Normal distributions are symmetrical, but not all symmetrical distributions are normal.</w:t>
      </w:r>
    </w:p>
    <w:p w:rsidR="003E78EE" w:rsidRPr="00BE7A2B" w:rsidRDefault="003E78EE" w:rsidP="003E78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  <w:t xml:space="preserve">Uniform Distribution: </w:t>
      </w:r>
    </w:p>
    <w:p w:rsidR="003E78EE" w:rsidRPr="00BE7A2B" w:rsidRDefault="003E78EE" w:rsidP="003E78E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firstLine="360"/>
        <w:rPr>
          <w:rFonts w:ascii="Candara" w:eastAsia="Times New Roman" w:hAnsi="Candara" w:cs="Segoe UI"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A distribution where all outcomes are equally likely. It is characterized by a constant probability density function over a specified range.</w:t>
      </w:r>
    </w:p>
    <w:p w:rsidR="00BE7A2B" w:rsidRDefault="00BE7A2B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</w:p>
    <w:p w:rsidR="00BE7A2B" w:rsidRDefault="00BE7A2B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</w:p>
    <w:p w:rsidR="003E78EE" w:rsidRPr="00BE7A2B" w:rsidRDefault="003E78EE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  <w:lastRenderedPageBreak/>
        <w:t xml:space="preserve">Binomial Distribution: </w:t>
      </w:r>
    </w:p>
    <w:p w:rsidR="003E78EE" w:rsidRPr="00BE7A2B" w:rsidRDefault="003E78EE" w:rsidP="003E78EE">
      <w:pPr>
        <w:spacing w:line="256" w:lineRule="auto"/>
        <w:ind w:firstLine="720"/>
        <w:rPr>
          <w:rFonts w:ascii="Candara" w:eastAsia="Times New Roman" w:hAnsi="Candara" w:cs="Segoe UI"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Describes the number of successes in a fixed number of independent trials, each with the same probability of success, making it applicable in scenarios involving binary outcomes like success or failure.</w:t>
      </w:r>
    </w:p>
    <w:p w:rsidR="003E78EE" w:rsidRPr="00BE7A2B" w:rsidRDefault="003E78EE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  <w:t xml:space="preserve">Poisson Distribution: </w:t>
      </w:r>
    </w:p>
    <w:p w:rsidR="003E78EE" w:rsidRPr="00BE7A2B" w:rsidRDefault="003E78EE" w:rsidP="003E78EE">
      <w:pPr>
        <w:spacing w:line="256" w:lineRule="auto"/>
        <w:ind w:firstLine="720"/>
        <w:rPr>
          <w:rFonts w:ascii="Candara" w:eastAsia="Times New Roman" w:hAnsi="Candara" w:cs="Segoe UI"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Models the probability of a given number of events occurring in a fixed interval of time or space, particularly useful for rare events where occurrences are random and independent.</w:t>
      </w:r>
    </w:p>
    <w:p w:rsidR="003E78EE" w:rsidRPr="00BE7A2B" w:rsidRDefault="003E78EE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  <w:t xml:space="preserve">Exponential Distribution: </w:t>
      </w:r>
    </w:p>
    <w:p w:rsidR="003E78EE" w:rsidRPr="00BE7A2B" w:rsidRDefault="003E78EE" w:rsidP="003E78EE">
      <w:pPr>
        <w:spacing w:line="256" w:lineRule="auto"/>
        <w:ind w:firstLine="720"/>
        <w:rPr>
          <w:rFonts w:ascii="Candara" w:eastAsia="Times New Roman" w:hAnsi="Candara" w:cs="Segoe UI"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Models the time between events in a Poisson process, where events occur continuously and independently at a constant average rate, making it applicable in scenarios such as waiting times and survival analysis.</w:t>
      </w:r>
    </w:p>
    <w:p w:rsidR="003E78EE" w:rsidRPr="00BE7A2B" w:rsidRDefault="003E78EE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  <w:t xml:space="preserve">Log-Normal Distribution: </w:t>
      </w:r>
    </w:p>
    <w:p w:rsidR="003E78EE" w:rsidRPr="00BE7A2B" w:rsidRDefault="003E78EE" w:rsidP="003E78EE">
      <w:pPr>
        <w:spacing w:line="256" w:lineRule="auto"/>
        <w:ind w:firstLine="720"/>
        <w:rPr>
          <w:rFonts w:ascii="Candara" w:eastAsia="Times New Roman" w:hAnsi="Candara" w:cs="Segoe UI"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 xml:space="preserve">The logarithm of the variable follows a normal distribution, often seen in data where values are naturally positive and skewed; it's used in financial </w:t>
      </w:r>
      <w:r w:rsidR="008925B3"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modelling</w:t>
      </w: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, biology, and other fields.</w:t>
      </w:r>
    </w:p>
    <w:p w:rsidR="00463361" w:rsidRPr="00BE7A2B" w:rsidRDefault="00463361" w:rsidP="004542AB">
      <w:pPr>
        <w:rPr>
          <w:rFonts w:ascii="Candara" w:hAnsi="Candara"/>
          <w:b/>
          <w:color w:val="002060"/>
          <w:sz w:val="18"/>
          <w:szCs w:val="20"/>
        </w:rPr>
      </w:pPr>
    </w:p>
    <w:p w:rsidR="00463361" w:rsidRPr="00BE7A2B" w:rsidRDefault="00463361" w:rsidP="004542AB">
      <w:pPr>
        <w:rPr>
          <w:rFonts w:ascii="Candara" w:hAnsi="Candara"/>
          <w:sz w:val="18"/>
          <w:szCs w:val="20"/>
        </w:rPr>
      </w:pPr>
      <w:r w:rsidRPr="00BE7A2B">
        <w:rPr>
          <w:rFonts w:ascii="Candara" w:hAnsi="Candara"/>
          <w:noProof/>
          <w:sz w:val="18"/>
          <w:szCs w:val="20"/>
          <w:lang w:eastAsia="en-IN"/>
        </w:rPr>
        <w:drawing>
          <wp:inline distT="0" distB="0" distL="0" distR="0" wp14:anchorId="4F1BC646" wp14:editId="779241AB">
            <wp:extent cx="3138770" cy="2110740"/>
            <wp:effectExtent l="19050" t="19050" r="24130" b="228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956" cy="218080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3361" w:rsidRPr="00BE7A2B" w:rsidRDefault="00463361" w:rsidP="004542AB">
      <w:pPr>
        <w:rPr>
          <w:rFonts w:ascii="Candara" w:hAnsi="Candara"/>
          <w:sz w:val="18"/>
          <w:szCs w:val="20"/>
        </w:rPr>
      </w:pPr>
      <w:r w:rsidRPr="00BE7A2B">
        <w:rPr>
          <w:rFonts w:ascii="Candara" w:hAnsi="Candara"/>
          <w:sz w:val="18"/>
          <w:szCs w:val="20"/>
        </w:rPr>
        <w:tab/>
        <w:t>In probability theory, a log-normal (or lognormal) distribution is a continuous probability distribution of a random variable whose logarithm is normally distributed. Thus, if the ra</w:t>
      </w:r>
      <w:r w:rsidR="0035114A" w:rsidRPr="00BE7A2B">
        <w:rPr>
          <w:rFonts w:ascii="Candara" w:hAnsi="Candara"/>
          <w:sz w:val="18"/>
          <w:szCs w:val="20"/>
        </w:rPr>
        <w:t xml:space="preserve">ndom variable X is log-normally </w:t>
      </w:r>
      <w:r w:rsidRPr="00BE7A2B">
        <w:rPr>
          <w:rFonts w:ascii="Candara" w:hAnsi="Candara"/>
          <w:sz w:val="18"/>
          <w:szCs w:val="20"/>
        </w:rPr>
        <w:t>distributed, then Y = ln(X) has a normal distribution. Equivalently, if Y has a normal distribution, then the exponential function of Y,</w:t>
      </w:r>
      <w:r w:rsidR="0035114A" w:rsidRPr="00BE7A2B">
        <w:rPr>
          <w:rFonts w:ascii="Candara" w:hAnsi="Candara"/>
          <w:sz w:val="18"/>
          <w:szCs w:val="20"/>
        </w:rPr>
        <w:br/>
      </w:r>
      <w:r w:rsidRPr="00BE7A2B">
        <w:rPr>
          <w:rFonts w:ascii="Candara" w:hAnsi="Candara"/>
          <w:sz w:val="18"/>
          <w:szCs w:val="20"/>
        </w:rPr>
        <w:t xml:space="preserve"> X = </w:t>
      </w:r>
      <w:proofErr w:type="spellStart"/>
      <w:r w:rsidRPr="00BE7A2B">
        <w:rPr>
          <w:rFonts w:ascii="Candara" w:hAnsi="Candara"/>
          <w:sz w:val="18"/>
          <w:szCs w:val="20"/>
        </w:rPr>
        <w:t>exp</w:t>
      </w:r>
      <w:proofErr w:type="spellEnd"/>
      <w:r w:rsidRPr="00BE7A2B">
        <w:rPr>
          <w:rFonts w:ascii="Candara" w:hAnsi="Candara"/>
          <w:sz w:val="18"/>
          <w:szCs w:val="20"/>
        </w:rPr>
        <w:t>(Y), has a log-normal distribution.</w:t>
      </w:r>
    </w:p>
    <w:p w:rsidR="003E78EE" w:rsidRPr="00BE7A2B" w:rsidRDefault="003E78EE" w:rsidP="003E78EE">
      <w:pPr>
        <w:spacing w:line="256" w:lineRule="auto"/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b/>
          <w:color w:val="0D0D0D"/>
          <w:sz w:val="18"/>
          <w:szCs w:val="18"/>
          <w:lang w:eastAsia="en-IN"/>
        </w:rPr>
        <w:t xml:space="preserve">Gamma Distribution: </w:t>
      </w:r>
    </w:p>
    <w:p w:rsidR="003E78EE" w:rsidRPr="00BE7A2B" w:rsidRDefault="003E78EE" w:rsidP="003E78EE">
      <w:pPr>
        <w:spacing w:line="256" w:lineRule="auto"/>
        <w:ind w:firstLine="720"/>
        <w:rPr>
          <w:rFonts w:ascii="Candara" w:eastAsia="Times New Roman" w:hAnsi="Candara" w:cs="Segoe UI"/>
          <w:color w:val="0D0D0D"/>
          <w:sz w:val="18"/>
          <w:szCs w:val="18"/>
          <w:lang w:eastAsia="en-IN"/>
        </w:rPr>
      </w:pPr>
      <w:r w:rsidRPr="00BE7A2B">
        <w:rPr>
          <w:rFonts w:ascii="Candara" w:eastAsia="Times New Roman" w:hAnsi="Candara" w:cs="Segoe UI"/>
          <w:color w:val="0D0D0D"/>
          <w:sz w:val="18"/>
          <w:szCs w:val="18"/>
          <w:lang w:eastAsia="en-IN"/>
        </w:rPr>
        <w:t>Generalizes the exponential distribution, often used to model the time until a specified number of events occur in a Poisson process or for continuous non-negative variables with skewed distributions.</w:t>
      </w:r>
    </w:p>
    <w:p w:rsidR="003E78EE" w:rsidRPr="00BE7A2B" w:rsidRDefault="003E78EE" w:rsidP="003E78EE">
      <w:pPr>
        <w:rPr>
          <w:rFonts w:ascii="Candara" w:eastAsia="Times New Roman" w:hAnsi="Candara" w:cs="Calibri"/>
          <w:b/>
          <w:bCs/>
          <w:color w:val="0070C0"/>
          <w:sz w:val="18"/>
          <w:szCs w:val="20"/>
          <w:lang w:eastAsia="en-IN"/>
        </w:rPr>
      </w:pPr>
    </w:p>
    <w:p w:rsidR="003E78EE" w:rsidRPr="00BE7A2B" w:rsidRDefault="003E78EE" w:rsidP="003E78EE">
      <w:pPr>
        <w:rPr>
          <w:rFonts w:ascii="Candara" w:eastAsia="Times New Roman" w:hAnsi="Candara" w:cs="Calibri"/>
          <w:b/>
          <w:bCs/>
          <w:color w:val="0070C0"/>
          <w:sz w:val="18"/>
          <w:szCs w:val="20"/>
          <w:lang w:eastAsia="en-IN"/>
        </w:rPr>
      </w:pPr>
    </w:p>
    <w:p w:rsidR="003E78EE" w:rsidRPr="00BE7A2B" w:rsidRDefault="003E78EE" w:rsidP="004542AB">
      <w:pPr>
        <w:rPr>
          <w:rFonts w:ascii="Candara" w:hAnsi="Candara"/>
          <w:sz w:val="18"/>
          <w:szCs w:val="20"/>
        </w:rPr>
      </w:pPr>
    </w:p>
    <w:p w:rsidR="00463361" w:rsidRPr="00BE7A2B" w:rsidRDefault="00463361" w:rsidP="004542AB">
      <w:pPr>
        <w:rPr>
          <w:rFonts w:ascii="Candara" w:hAnsi="Candara"/>
          <w:sz w:val="18"/>
          <w:szCs w:val="20"/>
        </w:rPr>
      </w:pPr>
    </w:p>
    <w:sectPr w:rsidR="00463361" w:rsidRPr="00BE7A2B" w:rsidSect="00521290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F2D"/>
    <w:multiLevelType w:val="hybridMultilevel"/>
    <w:tmpl w:val="015A24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220"/>
    <w:multiLevelType w:val="hybridMultilevel"/>
    <w:tmpl w:val="6972C1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76A"/>
    <w:multiLevelType w:val="hybridMultilevel"/>
    <w:tmpl w:val="78AE2130"/>
    <w:lvl w:ilvl="0" w:tplc="8DCA2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B60C2"/>
    <w:multiLevelType w:val="hybridMultilevel"/>
    <w:tmpl w:val="6C3A8646"/>
    <w:lvl w:ilvl="0" w:tplc="AA3C5E3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2C1C91"/>
    <w:multiLevelType w:val="hybridMultilevel"/>
    <w:tmpl w:val="60DE9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F2164"/>
    <w:multiLevelType w:val="hybridMultilevel"/>
    <w:tmpl w:val="B13E16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71C96"/>
    <w:multiLevelType w:val="hybridMultilevel"/>
    <w:tmpl w:val="EE46A408"/>
    <w:lvl w:ilvl="0" w:tplc="90BCF754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37BB"/>
    <w:multiLevelType w:val="hybridMultilevel"/>
    <w:tmpl w:val="B810E18A"/>
    <w:lvl w:ilvl="0" w:tplc="E6002A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F025EE"/>
    <w:multiLevelType w:val="hybridMultilevel"/>
    <w:tmpl w:val="9B78E14E"/>
    <w:lvl w:ilvl="0" w:tplc="5178FE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47A39"/>
    <w:multiLevelType w:val="hybridMultilevel"/>
    <w:tmpl w:val="AC524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2672E"/>
    <w:multiLevelType w:val="hybridMultilevel"/>
    <w:tmpl w:val="B7A01B2E"/>
    <w:lvl w:ilvl="0" w:tplc="233AD4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B75D35"/>
    <w:multiLevelType w:val="hybridMultilevel"/>
    <w:tmpl w:val="97F2C2FC"/>
    <w:lvl w:ilvl="0" w:tplc="4DD09E20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8"/>
    <w:rsid w:val="00024F14"/>
    <w:rsid w:val="000477B5"/>
    <w:rsid w:val="000571DA"/>
    <w:rsid w:val="00073B3C"/>
    <w:rsid w:val="0008749C"/>
    <w:rsid w:val="000C5B94"/>
    <w:rsid w:val="000C62FA"/>
    <w:rsid w:val="000D2041"/>
    <w:rsid w:val="000F7823"/>
    <w:rsid w:val="00111C87"/>
    <w:rsid w:val="0012595E"/>
    <w:rsid w:val="001325B0"/>
    <w:rsid w:val="001330BB"/>
    <w:rsid w:val="001346FD"/>
    <w:rsid w:val="00140B6C"/>
    <w:rsid w:val="0015070B"/>
    <w:rsid w:val="00181DB1"/>
    <w:rsid w:val="001C620F"/>
    <w:rsid w:val="001F6168"/>
    <w:rsid w:val="002019FB"/>
    <w:rsid w:val="00241611"/>
    <w:rsid w:val="0024353C"/>
    <w:rsid w:val="00245384"/>
    <w:rsid w:val="00246AE1"/>
    <w:rsid w:val="00270405"/>
    <w:rsid w:val="0027409A"/>
    <w:rsid w:val="00283229"/>
    <w:rsid w:val="002A40EF"/>
    <w:rsid w:val="002C2B86"/>
    <w:rsid w:val="002F6BA5"/>
    <w:rsid w:val="00321D8A"/>
    <w:rsid w:val="00324D6C"/>
    <w:rsid w:val="00326ADD"/>
    <w:rsid w:val="00331F7A"/>
    <w:rsid w:val="0035114A"/>
    <w:rsid w:val="00375399"/>
    <w:rsid w:val="003E78EE"/>
    <w:rsid w:val="00407EF2"/>
    <w:rsid w:val="004319E3"/>
    <w:rsid w:val="004346F2"/>
    <w:rsid w:val="00434897"/>
    <w:rsid w:val="004542AB"/>
    <w:rsid w:val="00463361"/>
    <w:rsid w:val="00474304"/>
    <w:rsid w:val="0047480B"/>
    <w:rsid w:val="004864E2"/>
    <w:rsid w:val="004A7AD5"/>
    <w:rsid w:val="004D347D"/>
    <w:rsid w:val="004F3D25"/>
    <w:rsid w:val="00502A38"/>
    <w:rsid w:val="00511EB3"/>
    <w:rsid w:val="00521290"/>
    <w:rsid w:val="00530E22"/>
    <w:rsid w:val="00537348"/>
    <w:rsid w:val="0055546D"/>
    <w:rsid w:val="00556D0C"/>
    <w:rsid w:val="00565154"/>
    <w:rsid w:val="00575899"/>
    <w:rsid w:val="005774A9"/>
    <w:rsid w:val="00581CF2"/>
    <w:rsid w:val="00591525"/>
    <w:rsid w:val="00592511"/>
    <w:rsid w:val="005D18ED"/>
    <w:rsid w:val="006119E3"/>
    <w:rsid w:val="0061312F"/>
    <w:rsid w:val="00625EC6"/>
    <w:rsid w:val="00652B75"/>
    <w:rsid w:val="00665E0E"/>
    <w:rsid w:val="00696784"/>
    <w:rsid w:val="006E34B2"/>
    <w:rsid w:val="00773A58"/>
    <w:rsid w:val="007B6174"/>
    <w:rsid w:val="007D38FE"/>
    <w:rsid w:val="007E10F0"/>
    <w:rsid w:val="008048E0"/>
    <w:rsid w:val="00822627"/>
    <w:rsid w:val="008477A1"/>
    <w:rsid w:val="008542FE"/>
    <w:rsid w:val="008925B3"/>
    <w:rsid w:val="0089549A"/>
    <w:rsid w:val="008A5FF5"/>
    <w:rsid w:val="008B0EE8"/>
    <w:rsid w:val="008B243F"/>
    <w:rsid w:val="008D2071"/>
    <w:rsid w:val="008D449F"/>
    <w:rsid w:val="00934CE6"/>
    <w:rsid w:val="00957392"/>
    <w:rsid w:val="009664C0"/>
    <w:rsid w:val="009A4A0D"/>
    <w:rsid w:val="009A4C77"/>
    <w:rsid w:val="009A7D6A"/>
    <w:rsid w:val="009B52F8"/>
    <w:rsid w:val="009F004F"/>
    <w:rsid w:val="00A03DF8"/>
    <w:rsid w:val="00A178B5"/>
    <w:rsid w:val="00A24C73"/>
    <w:rsid w:val="00A52A9B"/>
    <w:rsid w:val="00A6016D"/>
    <w:rsid w:val="00A8240A"/>
    <w:rsid w:val="00AB3985"/>
    <w:rsid w:val="00AC60EA"/>
    <w:rsid w:val="00AD784C"/>
    <w:rsid w:val="00AF65F0"/>
    <w:rsid w:val="00B04D74"/>
    <w:rsid w:val="00B1568F"/>
    <w:rsid w:val="00B42D5F"/>
    <w:rsid w:val="00B671E0"/>
    <w:rsid w:val="00B84B7F"/>
    <w:rsid w:val="00BA2FE3"/>
    <w:rsid w:val="00BA47D6"/>
    <w:rsid w:val="00BD0E1B"/>
    <w:rsid w:val="00BE285E"/>
    <w:rsid w:val="00BE3F9D"/>
    <w:rsid w:val="00BE7A2B"/>
    <w:rsid w:val="00C16DFA"/>
    <w:rsid w:val="00C22A4F"/>
    <w:rsid w:val="00C3324B"/>
    <w:rsid w:val="00C60E8A"/>
    <w:rsid w:val="00C7143C"/>
    <w:rsid w:val="00C9638F"/>
    <w:rsid w:val="00CC3F7E"/>
    <w:rsid w:val="00CE7F17"/>
    <w:rsid w:val="00CF4B33"/>
    <w:rsid w:val="00D0032B"/>
    <w:rsid w:val="00D01DEC"/>
    <w:rsid w:val="00D04D4F"/>
    <w:rsid w:val="00D10CB6"/>
    <w:rsid w:val="00D273CC"/>
    <w:rsid w:val="00D907B6"/>
    <w:rsid w:val="00DB17C7"/>
    <w:rsid w:val="00DB6FE1"/>
    <w:rsid w:val="00DD3FFE"/>
    <w:rsid w:val="00DE3F37"/>
    <w:rsid w:val="00E2710D"/>
    <w:rsid w:val="00E663DC"/>
    <w:rsid w:val="00E71A49"/>
    <w:rsid w:val="00E76F18"/>
    <w:rsid w:val="00E8219F"/>
    <w:rsid w:val="00E9545A"/>
    <w:rsid w:val="00EA2BF9"/>
    <w:rsid w:val="00ED0F17"/>
    <w:rsid w:val="00EE6FB6"/>
    <w:rsid w:val="00EF629A"/>
    <w:rsid w:val="00F00BAA"/>
    <w:rsid w:val="00F61E2A"/>
    <w:rsid w:val="00F66646"/>
    <w:rsid w:val="00FA00CE"/>
    <w:rsid w:val="00FB456F"/>
    <w:rsid w:val="00FB481F"/>
    <w:rsid w:val="00FB4FCE"/>
    <w:rsid w:val="00FB5D77"/>
    <w:rsid w:val="00FC3FBD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B8BF"/>
  <w15:chartTrackingRefBased/>
  <w15:docId w15:val="{32BA9F75-2BD6-4F3B-BBC0-16DBB128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33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5D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2B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BF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15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2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40B32-17FB-40D8-ACB0-FE9F984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132</cp:revision>
  <dcterms:created xsi:type="dcterms:W3CDTF">2022-10-03T04:07:00Z</dcterms:created>
  <dcterms:modified xsi:type="dcterms:W3CDTF">2024-06-03T09:47:00Z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f8fb5cc5205ba6e3abd65a5ff20ddc06c8754f98af8f8a5b907683a8b6b7b8f7</vt:lpwstr>
  </property>
</Properties>
</file>