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48" w:rsidRPr="005216A5" w:rsidRDefault="00263C48" w:rsidP="005216A5">
      <w:pPr>
        <w:spacing w:after="0"/>
        <w:rPr>
          <w:rFonts w:ascii="Candara" w:hAnsi="Candara"/>
          <w:b/>
          <w:sz w:val="18"/>
        </w:rPr>
      </w:pPr>
      <w:r w:rsidRPr="005216A5">
        <w:rPr>
          <w:rFonts w:ascii="Candara" w:hAnsi="Candara"/>
          <w:b/>
          <w:sz w:val="18"/>
        </w:rPr>
        <w:t xml:space="preserve">What is ROC and </w:t>
      </w:r>
      <w:proofErr w:type="spellStart"/>
      <w:r w:rsidRPr="005216A5">
        <w:rPr>
          <w:rFonts w:ascii="Candara" w:hAnsi="Candara"/>
          <w:b/>
          <w:sz w:val="18"/>
        </w:rPr>
        <w:t>Auc</w:t>
      </w:r>
      <w:proofErr w:type="spellEnd"/>
      <w:r w:rsidRPr="005216A5">
        <w:rPr>
          <w:rFonts w:ascii="Candara" w:hAnsi="Candara"/>
          <w:b/>
          <w:sz w:val="18"/>
        </w:rPr>
        <w:t xml:space="preserve"> Curve 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b/>
          <w:sz w:val="18"/>
        </w:rPr>
        <w:t xml:space="preserve">ROC (Receiver Operating Characteristic) curve </w:t>
      </w:r>
      <w:r w:rsidRPr="005216A5">
        <w:rPr>
          <w:rFonts w:ascii="Candara" w:hAnsi="Candara"/>
          <w:sz w:val="18"/>
        </w:rPr>
        <w:t>is a graphical representation of the performance of a binary classification model across different threshold values. It plots the true positive rate (TPR) against the false positive rate (FPR) for various threshold settings.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Here's how it works:</w:t>
      </w:r>
    </w:p>
    <w:p w:rsidR="00013476" w:rsidRPr="005216A5" w:rsidRDefault="00013476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noProof/>
          <w:sz w:val="20"/>
          <w:lang w:eastAsia="en-IN"/>
        </w:rPr>
        <w:drawing>
          <wp:inline distT="0" distB="0" distL="0" distR="0" wp14:anchorId="2ADCD06B" wp14:editId="743452B6">
            <wp:extent cx="2846615" cy="2420329"/>
            <wp:effectExtent l="19050" t="19050" r="11430" b="18415"/>
            <wp:docPr id="12" name="Picture 12" descr="Confusion Matrix - Machine Learning - Techpla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- Machine Learning - Techplay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94" cy="24510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446C9" w:rsidRDefault="009446C9" w:rsidP="005216A5">
      <w:pPr>
        <w:spacing w:after="0"/>
        <w:rPr>
          <w:rFonts w:ascii="Candara" w:hAnsi="Candara"/>
          <w:b/>
          <w:bCs/>
          <w:sz w:val="18"/>
        </w:rPr>
      </w:pPr>
    </w:p>
    <w:p w:rsidR="00183F9B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b/>
          <w:bCs/>
          <w:sz w:val="18"/>
        </w:rPr>
        <w:t>True Positive Rate (TPR)</w:t>
      </w:r>
      <w:r w:rsidRPr="005216A5">
        <w:rPr>
          <w:rFonts w:ascii="Candara" w:hAnsi="Candara"/>
          <w:sz w:val="18"/>
        </w:rPr>
        <w:t xml:space="preserve">, </w:t>
      </w:r>
    </w:p>
    <w:p w:rsidR="00263C48" w:rsidRPr="005216A5" w:rsidRDefault="00263C48" w:rsidP="005216A5">
      <w:pPr>
        <w:spacing w:after="0"/>
        <w:ind w:firstLine="72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 xml:space="preserve">also known as sensitivity or recall, is the proportion of actual positive cases that are correctly identified by the model. It is calculated as </w:t>
      </w:r>
    </w:p>
    <w:p w:rsidR="00921BCF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16561904" wp14:editId="000A5C8A">
            <wp:extent cx="2562225" cy="522605"/>
            <wp:effectExtent l="19050" t="19050" r="28575" b="10795"/>
            <wp:docPr id="2" name="Picture 2" descr="The confusion matrix (left) and the calculation of true positive rate,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nfusion matrix (left) and the calculation of true positive rate,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4" t="11300" r="10664" b="57065"/>
                    <a:stretch/>
                  </pic:blipFill>
                  <pic:spPr bwMode="auto">
                    <a:xfrm>
                      <a:off x="0" y="0"/>
                      <a:ext cx="2562269" cy="5226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 xml:space="preserve">where TP is the number of true positives (correctly predicted positive cases) and 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FN is the number of false negatives (positive cases incorrectly predicted as negative).</w:t>
      </w:r>
    </w:p>
    <w:p w:rsidR="009446C9" w:rsidRDefault="009446C9" w:rsidP="005216A5">
      <w:pPr>
        <w:spacing w:after="0"/>
        <w:rPr>
          <w:rFonts w:ascii="Candara" w:hAnsi="Candara"/>
          <w:b/>
          <w:bCs/>
          <w:sz w:val="18"/>
        </w:rPr>
      </w:pPr>
    </w:p>
    <w:p w:rsidR="00507EB5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b/>
          <w:bCs/>
          <w:sz w:val="18"/>
        </w:rPr>
        <w:t>False Positive Rate (FPR)</w:t>
      </w:r>
      <w:r w:rsidRPr="005216A5">
        <w:rPr>
          <w:rFonts w:ascii="Candara" w:hAnsi="Candara"/>
          <w:sz w:val="18"/>
        </w:rPr>
        <w:t xml:space="preserve"> </w:t>
      </w:r>
    </w:p>
    <w:p w:rsidR="00263C48" w:rsidRPr="005216A5" w:rsidRDefault="00263C48" w:rsidP="005216A5">
      <w:pPr>
        <w:spacing w:after="0"/>
        <w:ind w:firstLine="72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 xml:space="preserve">is the proportion of actual negative cases that are incorrectly classified as positive by the </w:t>
      </w:r>
      <w:proofErr w:type="gramStart"/>
      <w:r w:rsidRPr="005216A5">
        <w:rPr>
          <w:rFonts w:ascii="Candara" w:hAnsi="Candara"/>
          <w:sz w:val="18"/>
        </w:rPr>
        <w:t>model.</w:t>
      </w:r>
      <w:proofErr w:type="gramEnd"/>
      <w:r w:rsidRPr="005216A5">
        <w:rPr>
          <w:rFonts w:ascii="Candara" w:hAnsi="Candara"/>
          <w:sz w:val="18"/>
        </w:rPr>
        <w:t xml:space="preserve"> It is calculated as 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288CC272" wp14:editId="3B0C5E9E">
            <wp:extent cx="2533650" cy="460375"/>
            <wp:effectExtent l="19050" t="19050" r="19050" b="15875"/>
            <wp:docPr id="3" name="Picture 3" descr="The confusion matrix (left) and the calculation of true positive rate,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nfusion matrix (left) and the calculation of true positive rate,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3" t="39674" r="10532" b="32064"/>
                    <a:stretch/>
                  </pic:blipFill>
                  <pic:spPr bwMode="auto">
                    <a:xfrm>
                      <a:off x="0" y="0"/>
                      <a:ext cx="2536094" cy="4608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 xml:space="preserve">where FP is the number of false positives (negative cases incorrectly predicted as positive) and 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TN is the number of true negatives (correctly predicted negative cases).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The ROC curve is generated by plotting TPR on the y-axis against FPR on the x-axis for different threshold values used by the classification model. Each point on the ROC curve represents a specific threshold setting. The diagonal line (y = x) represents the performance of a random classifier.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A perfect classifier would have an ROC curve that passes through the upper left corner (TPR = 1, FPR = 0), indicating high sensitivity (true positive rate) and low false positive rate. The area under the ROC curve (AUC-ROC) is a commonly used metric to quantify the overall performance of a binary classification model. A higher AUC-ROC value (closer to 1) indicates better discrimination ability of the model across all threshold settings.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In summary, the ROC curve is a useful tool for evaluating the performance of binary classification models and comparing different models based on their ability to trade-off between true positive and false positive rates across various threshold values.</w:t>
      </w:r>
    </w:p>
    <w:p w:rsidR="00F33B74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b/>
          <w:sz w:val="18"/>
        </w:rPr>
        <w:lastRenderedPageBreak/>
        <w:t>AUC stands for Area Under the ROC Curve.</w:t>
      </w:r>
      <w:r w:rsidRPr="005216A5">
        <w:rPr>
          <w:rFonts w:ascii="Candara" w:hAnsi="Candara"/>
          <w:sz w:val="18"/>
        </w:rPr>
        <w:t xml:space="preserve"> </w:t>
      </w:r>
    </w:p>
    <w:p w:rsidR="00263C48" w:rsidRPr="005216A5" w:rsidRDefault="00263C48" w:rsidP="00F33B74">
      <w:pPr>
        <w:spacing w:after="0"/>
        <w:ind w:firstLine="72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It is a metric used to evaluate the performance of a binary classification model based on its Receiver Operating Characteristic (ROC) curve.</w:t>
      </w:r>
    </w:p>
    <w:p w:rsidR="00263C48" w:rsidRPr="005216A5" w:rsidRDefault="00263C48" w:rsidP="00A76798">
      <w:pPr>
        <w:spacing w:after="0"/>
        <w:ind w:firstLine="72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The ROC curve plots the True Positive Rate (sensitivity) against the False Positive Rate (1 - specificity) for various th</w:t>
      </w:r>
      <w:bookmarkStart w:id="0" w:name="_GoBack"/>
      <w:bookmarkEnd w:id="0"/>
      <w:r w:rsidRPr="005216A5">
        <w:rPr>
          <w:rFonts w:ascii="Candara" w:hAnsi="Candara"/>
          <w:sz w:val="18"/>
        </w:rPr>
        <w:t>reshold settings of the classification model. The AUC-ROC is then calculated as the area under this curve.</w:t>
      </w:r>
      <w:r w:rsidR="00D2632A" w:rsidRPr="005216A5">
        <w:rPr>
          <w:rFonts w:ascii="Candara" w:hAnsi="Candara"/>
          <w:noProof/>
          <w:sz w:val="18"/>
        </w:rPr>
        <w:t xml:space="preserve"> </w:t>
      </w:r>
      <w:r w:rsidR="00D2632A" w:rsidRPr="005216A5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64969449" wp14:editId="7FC399E5">
            <wp:extent cx="3097530" cy="3097530"/>
            <wp:effectExtent l="19050" t="19050" r="26670" b="26670"/>
            <wp:docPr id="1" name="Picture 1" descr="Receiver operating characteristic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097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Here's what the AUC represents and how it's interpreted:</w:t>
      </w:r>
    </w:p>
    <w:p w:rsidR="00BD7EB0" w:rsidRPr="005216A5" w:rsidRDefault="00BD7EB0" w:rsidP="005216A5">
      <w:pPr>
        <w:spacing w:after="0"/>
        <w:rPr>
          <w:rFonts w:ascii="Candara" w:hAnsi="Candara"/>
          <w:b/>
          <w:sz w:val="18"/>
        </w:rPr>
      </w:pPr>
      <w:r w:rsidRPr="005216A5">
        <w:rPr>
          <w:rFonts w:ascii="Candara" w:hAnsi="Candara"/>
          <w:b/>
          <w:sz w:val="18"/>
        </w:rPr>
        <w:t xml:space="preserve">AUC &lt; 0.5: Inverted classifier. </w:t>
      </w:r>
      <w:r w:rsidRPr="005216A5">
        <w:rPr>
          <w:rFonts w:ascii="Candara" w:hAnsi="Candara"/>
          <w:b/>
          <w:sz w:val="18"/>
        </w:rPr>
        <w:tab/>
      </w:r>
    </w:p>
    <w:p w:rsidR="00BD7EB0" w:rsidRPr="005216A5" w:rsidRDefault="00BD7EB0" w:rsidP="005216A5">
      <w:pPr>
        <w:spacing w:after="0"/>
        <w:ind w:firstLine="36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The model performs worse than random guessing. This could happen when the model predictions are consistently opposite to the true labels.</w:t>
      </w:r>
    </w:p>
    <w:p w:rsidR="00BD7EB0" w:rsidRPr="005216A5" w:rsidRDefault="00BD7EB0" w:rsidP="005216A5">
      <w:pPr>
        <w:spacing w:after="0"/>
        <w:rPr>
          <w:rFonts w:ascii="Candara" w:hAnsi="Candara"/>
          <w:b/>
          <w:sz w:val="18"/>
        </w:rPr>
      </w:pPr>
      <w:r w:rsidRPr="005216A5">
        <w:rPr>
          <w:rFonts w:ascii="Candara" w:hAnsi="Candara"/>
          <w:b/>
          <w:sz w:val="18"/>
        </w:rPr>
        <w:t xml:space="preserve">AUC= 0.5: Random classifier. TPR=0.5 and FPR: 0.5 </w:t>
      </w:r>
    </w:p>
    <w:p w:rsidR="00BD7EB0" w:rsidRPr="005216A5" w:rsidRDefault="00BD7EB0" w:rsidP="005216A5">
      <w:pPr>
        <w:spacing w:after="0"/>
        <w:rPr>
          <w:rFonts w:ascii="Candara" w:hAnsi="Candara"/>
          <w:b/>
          <w:sz w:val="18"/>
        </w:rPr>
      </w:pPr>
      <w:r w:rsidRPr="005216A5">
        <w:rPr>
          <w:rFonts w:ascii="Candara" w:hAnsi="Candara"/>
          <w:sz w:val="18"/>
        </w:rPr>
        <w:t>The model performs no better than random guessing. The ROC curve follows the diagonal line (y = x), indicating that the model's true positive rate is equal to its false positive rate across all thresholds.</w:t>
      </w:r>
    </w:p>
    <w:p w:rsidR="006D50C2" w:rsidRPr="005216A5" w:rsidRDefault="00F637A3" w:rsidP="005216A5">
      <w:pPr>
        <w:spacing w:after="0"/>
        <w:rPr>
          <w:rFonts w:ascii="Candara" w:hAnsi="Candara"/>
          <w:b/>
          <w:sz w:val="18"/>
        </w:rPr>
      </w:pPr>
      <w:r w:rsidRPr="005216A5">
        <w:rPr>
          <w:rFonts w:ascii="Candara" w:hAnsi="Candara"/>
          <w:b/>
          <w:sz w:val="18"/>
        </w:rPr>
        <w:t xml:space="preserve">AUC = 1: Perfect classifier, </w:t>
      </w:r>
      <w:r w:rsidR="00467406" w:rsidRPr="005216A5">
        <w:rPr>
          <w:rFonts w:ascii="Candara" w:hAnsi="Candara"/>
          <w:b/>
          <w:sz w:val="18"/>
        </w:rPr>
        <w:t>TPR=</w:t>
      </w:r>
      <w:r w:rsidRPr="005216A5">
        <w:rPr>
          <w:rFonts w:ascii="Candara" w:hAnsi="Candara"/>
          <w:b/>
          <w:sz w:val="18"/>
        </w:rPr>
        <w:t>1 and FPR</w:t>
      </w:r>
      <w:r w:rsidR="00467406" w:rsidRPr="005216A5">
        <w:rPr>
          <w:rFonts w:ascii="Candara" w:hAnsi="Candara"/>
          <w:b/>
          <w:sz w:val="18"/>
        </w:rPr>
        <w:t>:</w:t>
      </w:r>
      <w:r w:rsidRPr="005216A5">
        <w:rPr>
          <w:rFonts w:ascii="Candara" w:hAnsi="Candara"/>
          <w:b/>
          <w:sz w:val="18"/>
        </w:rPr>
        <w:t xml:space="preserve"> 0</w:t>
      </w:r>
    </w:p>
    <w:p w:rsidR="00263C48" w:rsidRPr="005216A5" w:rsidRDefault="00263C48" w:rsidP="005216A5">
      <w:pPr>
        <w:spacing w:after="0"/>
        <w:ind w:firstLine="36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The model achieves a perfect separation between positive and negative classes, with a TPR of 1 and an FPR of 0 across all threshold settings.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  <w:r w:rsidRPr="005216A5">
        <w:rPr>
          <w:rFonts w:ascii="Candara" w:hAnsi="Candara"/>
          <w:sz w:val="18"/>
        </w:rPr>
        <w:t>In summary, AUC is a single scalar value that summarizes the overall performance of a binary classification model. A higher AUC indicates better performance in distinguishing between positive and negative classes, making it a widely used metric for evaluating and comparing different classification models.</w:t>
      </w: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263C48" w:rsidRPr="005216A5" w:rsidRDefault="00263C48" w:rsidP="005216A5">
      <w:pPr>
        <w:spacing w:after="0"/>
        <w:rPr>
          <w:rFonts w:ascii="Candara" w:hAnsi="Candara"/>
          <w:sz w:val="18"/>
        </w:rPr>
      </w:pPr>
    </w:p>
    <w:p w:rsidR="00F02784" w:rsidRPr="005216A5" w:rsidRDefault="00F02784" w:rsidP="005216A5">
      <w:pPr>
        <w:spacing w:after="0"/>
        <w:rPr>
          <w:rFonts w:ascii="Candara" w:hAnsi="Candara"/>
          <w:sz w:val="18"/>
        </w:rPr>
      </w:pPr>
    </w:p>
    <w:sectPr w:rsidR="00F02784" w:rsidRPr="005216A5" w:rsidSect="00F02784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5E6"/>
    <w:multiLevelType w:val="multilevel"/>
    <w:tmpl w:val="A5E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632AB"/>
    <w:multiLevelType w:val="hybridMultilevel"/>
    <w:tmpl w:val="6AC22EFC"/>
    <w:lvl w:ilvl="0" w:tplc="7FCE8DC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260C"/>
    <w:multiLevelType w:val="multilevel"/>
    <w:tmpl w:val="88F2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64FC"/>
    <w:multiLevelType w:val="hybridMultilevel"/>
    <w:tmpl w:val="20E8C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963F2"/>
    <w:multiLevelType w:val="multilevel"/>
    <w:tmpl w:val="FE1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5D11"/>
    <w:multiLevelType w:val="multilevel"/>
    <w:tmpl w:val="313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B34A9"/>
    <w:multiLevelType w:val="hybridMultilevel"/>
    <w:tmpl w:val="9ED84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54CB3"/>
    <w:multiLevelType w:val="multilevel"/>
    <w:tmpl w:val="7BD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72BD8"/>
    <w:multiLevelType w:val="hybridMultilevel"/>
    <w:tmpl w:val="DEB6A410"/>
    <w:lvl w:ilvl="0" w:tplc="EA78B8BE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31EAA"/>
    <w:multiLevelType w:val="multilevel"/>
    <w:tmpl w:val="24FA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2C1C91"/>
    <w:multiLevelType w:val="hybridMultilevel"/>
    <w:tmpl w:val="60DE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B63FE"/>
    <w:multiLevelType w:val="multilevel"/>
    <w:tmpl w:val="AB5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A3ECD"/>
    <w:multiLevelType w:val="multilevel"/>
    <w:tmpl w:val="ED34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C7D89"/>
    <w:multiLevelType w:val="multilevel"/>
    <w:tmpl w:val="7BEE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E35FC"/>
    <w:multiLevelType w:val="hybridMultilevel"/>
    <w:tmpl w:val="17B6F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041631"/>
    <w:multiLevelType w:val="multilevel"/>
    <w:tmpl w:val="FD2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22"/>
  </w:num>
  <w:num w:numId="5">
    <w:abstractNumId w:val="13"/>
  </w:num>
  <w:num w:numId="6">
    <w:abstractNumId w:val="20"/>
  </w:num>
  <w:num w:numId="7">
    <w:abstractNumId w:val="7"/>
  </w:num>
  <w:num w:numId="8">
    <w:abstractNumId w:val="18"/>
  </w:num>
  <w:num w:numId="9">
    <w:abstractNumId w:val="10"/>
  </w:num>
  <w:num w:numId="10">
    <w:abstractNumId w:val="15"/>
  </w:num>
  <w:num w:numId="11">
    <w:abstractNumId w:val="16"/>
  </w:num>
  <w:num w:numId="12">
    <w:abstractNumId w:val="23"/>
  </w:num>
  <w:num w:numId="13">
    <w:abstractNumId w:val="0"/>
  </w:num>
  <w:num w:numId="14">
    <w:abstractNumId w:val="14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5"/>
  </w:num>
  <w:num w:numId="20">
    <w:abstractNumId w:val="1"/>
  </w:num>
  <w:num w:numId="21">
    <w:abstractNumId w:val="3"/>
  </w:num>
  <w:num w:numId="22">
    <w:abstractNumId w:val="8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1BA8"/>
    <w:rsid w:val="00013476"/>
    <w:rsid w:val="0001447D"/>
    <w:rsid w:val="000352B7"/>
    <w:rsid w:val="00036932"/>
    <w:rsid w:val="00093920"/>
    <w:rsid w:val="0009599A"/>
    <w:rsid w:val="000A4FA3"/>
    <w:rsid w:val="000A70AB"/>
    <w:rsid w:val="000F0DFD"/>
    <w:rsid w:val="000F69E7"/>
    <w:rsid w:val="00116250"/>
    <w:rsid w:val="001167AD"/>
    <w:rsid w:val="00122D27"/>
    <w:rsid w:val="00124922"/>
    <w:rsid w:val="00131EC8"/>
    <w:rsid w:val="001566D9"/>
    <w:rsid w:val="0017739F"/>
    <w:rsid w:val="00183750"/>
    <w:rsid w:val="00183F9B"/>
    <w:rsid w:val="001A0511"/>
    <w:rsid w:val="001A443A"/>
    <w:rsid w:val="001B6FC6"/>
    <w:rsid w:val="001C0315"/>
    <w:rsid w:val="001C2449"/>
    <w:rsid w:val="001D140F"/>
    <w:rsid w:val="001D5491"/>
    <w:rsid w:val="001D60A0"/>
    <w:rsid w:val="001D66D4"/>
    <w:rsid w:val="001F5A48"/>
    <w:rsid w:val="00202715"/>
    <w:rsid w:val="00221EEB"/>
    <w:rsid w:val="00230615"/>
    <w:rsid w:val="00234861"/>
    <w:rsid w:val="00246B19"/>
    <w:rsid w:val="00254FEF"/>
    <w:rsid w:val="00262328"/>
    <w:rsid w:val="0026286D"/>
    <w:rsid w:val="00263C48"/>
    <w:rsid w:val="0027219A"/>
    <w:rsid w:val="00275A49"/>
    <w:rsid w:val="00275EB1"/>
    <w:rsid w:val="00277CCF"/>
    <w:rsid w:val="002870CF"/>
    <w:rsid w:val="00297871"/>
    <w:rsid w:val="002B1FA3"/>
    <w:rsid w:val="002B2FC6"/>
    <w:rsid w:val="002D0205"/>
    <w:rsid w:val="002D20C9"/>
    <w:rsid w:val="002E3D1F"/>
    <w:rsid w:val="002E6FC9"/>
    <w:rsid w:val="002F5A6C"/>
    <w:rsid w:val="002F64F9"/>
    <w:rsid w:val="003013BC"/>
    <w:rsid w:val="00307531"/>
    <w:rsid w:val="00310FD2"/>
    <w:rsid w:val="00323748"/>
    <w:rsid w:val="0032587B"/>
    <w:rsid w:val="0035114F"/>
    <w:rsid w:val="00355FDD"/>
    <w:rsid w:val="00360306"/>
    <w:rsid w:val="00374B98"/>
    <w:rsid w:val="0038481E"/>
    <w:rsid w:val="003A3C87"/>
    <w:rsid w:val="003D4F18"/>
    <w:rsid w:val="003D7BD7"/>
    <w:rsid w:val="003E34D1"/>
    <w:rsid w:val="003F7263"/>
    <w:rsid w:val="003F7B35"/>
    <w:rsid w:val="00403CB8"/>
    <w:rsid w:val="00411273"/>
    <w:rsid w:val="00412FF5"/>
    <w:rsid w:val="00450514"/>
    <w:rsid w:val="004643E2"/>
    <w:rsid w:val="00467406"/>
    <w:rsid w:val="004703C3"/>
    <w:rsid w:val="004708DD"/>
    <w:rsid w:val="004715C3"/>
    <w:rsid w:val="00484C04"/>
    <w:rsid w:val="00485AB1"/>
    <w:rsid w:val="004A1628"/>
    <w:rsid w:val="004B4385"/>
    <w:rsid w:val="004C2110"/>
    <w:rsid w:val="004C6385"/>
    <w:rsid w:val="004D3590"/>
    <w:rsid w:val="004F3DE4"/>
    <w:rsid w:val="004F411E"/>
    <w:rsid w:val="004F70BC"/>
    <w:rsid w:val="00505C2A"/>
    <w:rsid w:val="00507EB5"/>
    <w:rsid w:val="00511DBB"/>
    <w:rsid w:val="00516BC4"/>
    <w:rsid w:val="005216A5"/>
    <w:rsid w:val="00525EA6"/>
    <w:rsid w:val="0052759B"/>
    <w:rsid w:val="00531C9B"/>
    <w:rsid w:val="00533889"/>
    <w:rsid w:val="00541C6A"/>
    <w:rsid w:val="00543BC9"/>
    <w:rsid w:val="005668EF"/>
    <w:rsid w:val="005906C4"/>
    <w:rsid w:val="005A0FAA"/>
    <w:rsid w:val="005A46A0"/>
    <w:rsid w:val="005A79F9"/>
    <w:rsid w:val="005B27FA"/>
    <w:rsid w:val="005C03F2"/>
    <w:rsid w:val="005C56C0"/>
    <w:rsid w:val="005C7A5C"/>
    <w:rsid w:val="005F4DFD"/>
    <w:rsid w:val="005F7C4C"/>
    <w:rsid w:val="00600D33"/>
    <w:rsid w:val="00606376"/>
    <w:rsid w:val="00611A00"/>
    <w:rsid w:val="00646180"/>
    <w:rsid w:val="006637BB"/>
    <w:rsid w:val="00671D8C"/>
    <w:rsid w:val="00683234"/>
    <w:rsid w:val="0069394F"/>
    <w:rsid w:val="00693CF6"/>
    <w:rsid w:val="006A100D"/>
    <w:rsid w:val="006B599C"/>
    <w:rsid w:val="006C39D8"/>
    <w:rsid w:val="006C76DA"/>
    <w:rsid w:val="006D0838"/>
    <w:rsid w:val="006D50C2"/>
    <w:rsid w:val="006D605F"/>
    <w:rsid w:val="006E0FEA"/>
    <w:rsid w:val="006E28D0"/>
    <w:rsid w:val="006E6F2B"/>
    <w:rsid w:val="006E7C4C"/>
    <w:rsid w:val="006F740A"/>
    <w:rsid w:val="006F7CA8"/>
    <w:rsid w:val="007060AD"/>
    <w:rsid w:val="007107A9"/>
    <w:rsid w:val="0071492C"/>
    <w:rsid w:val="00726A2B"/>
    <w:rsid w:val="0073422F"/>
    <w:rsid w:val="00741EC4"/>
    <w:rsid w:val="0074712A"/>
    <w:rsid w:val="0074718F"/>
    <w:rsid w:val="00765445"/>
    <w:rsid w:val="00772404"/>
    <w:rsid w:val="00773483"/>
    <w:rsid w:val="007968F0"/>
    <w:rsid w:val="00797C15"/>
    <w:rsid w:val="007A5285"/>
    <w:rsid w:val="007A5339"/>
    <w:rsid w:val="007A6DFF"/>
    <w:rsid w:val="007B68DF"/>
    <w:rsid w:val="007B7474"/>
    <w:rsid w:val="007C07C4"/>
    <w:rsid w:val="007C6740"/>
    <w:rsid w:val="007C7513"/>
    <w:rsid w:val="007C7682"/>
    <w:rsid w:val="007D01CF"/>
    <w:rsid w:val="007D564B"/>
    <w:rsid w:val="007E48B8"/>
    <w:rsid w:val="007F6647"/>
    <w:rsid w:val="007F6ED8"/>
    <w:rsid w:val="007F7CE0"/>
    <w:rsid w:val="0081477D"/>
    <w:rsid w:val="0082396E"/>
    <w:rsid w:val="00827920"/>
    <w:rsid w:val="00836FE4"/>
    <w:rsid w:val="0085748B"/>
    <w:rsid w:val="00876FFB"/>
    <w:rsid w:val="008A523F"/>
    <w:rsid w:val="008B45B5"/>
    <w:rsid w:val="008C0601"/>
    <w:rsid w:val="008C15DB"/>
    <w:rsid w:val="008C7C1A"/>
    <w:rsid w:val="008D03F4"/>
    <w:rsid w:val="008F1966"/>
    <w:rsid w:val="008F3AC3"/>
    <w:rsid w:val="008F6CE4"/>
    <w:rsid w:val="00904FE1"/>
    <w:rsid w:val="00912A58"/>
    <w:rsid w:val="009165FC"/>
    <w:rsid w:val="00916F22"/>
    <w:rsid w:val="00921BCF"/>
    <w:rsid w:val="009275A6"/>
    <w:rsid w:val="009323FC"/>
    <w:rsid w:val="009446C9"/>
    <w:rsid w:val="0095253F"/>
    <w:rsid w:val="0097497A"/>
    <w:rsid w:val="009B0C0F"/>
    <w:rsid w:val="009B44F3"/>
    <w:rsid w:val="009B6FFB"/>
    <w:rsid w:val="009C4F16"/>
    <w:rsid w:val="009C6A90"/>
    <w:rsid w:val="009D40EE"/>
    <w:rsid w:val="009D7BC7"/>
    <w:rsid w:val="009F4C2F"/>
    <w:rsid w:val="009F5648"/>
    <w:rsid w:val="00A03711"/>
    <w:rsid w:val="00A118BC"/>
    <w:rsid w:val="00A25AD2"/>
    <w:rsid w:val="00A5089F"/>
    <w:rsid w:val="00A53464"/>
    <w:rsid w:val="00A53FC7"/>
    <w:rsid w:val="00A576AF"/>
    <w:rsid w:val="00A57FE7"/>
    <w:rsid w:val="00A635DF"/>
    <w:rsid w:val="00A6490C"/>
    <w:rsid w:val="00A76798"/>
    <w:rsid w:val="00AA17E6"/>
    <w:rsid w:val="00AA55FB"/>
    <w:rsid w:val="00AB483E"/>
    <w:rsid w:val="00AE36C2"/>
    <w:rsid w:val="00AE57B8"/>
    <w:rsid w:val="00AE7491"/>
    <w:rsid w:val="00AF3635"/>
    <w:rsid w:val="00AF7F2A"/>
    <w:rsid w:val="00B214BE"/>
    <w:rsid w:val="00B215B6"/>
    <w:rsid w:val="00B302FC"/>
    <w:rsid w:val="00B31095"/>
    <w:rsid w:val="00B34681"/>
    <w:rsid w:val="00B371EB"/>
    <w:rsid w:val="00B44933"/>
    <w:rsid w:val="00B45AED"/>
    <w:rsid w:val="00B60C82"/>
    <w:rsid w:val="00B71ABF"/>
    <w:rsid w:val="00B81492"/>
    <w:rsid w:val="00BA4096"/>
    <w:rsid w:val="00BB4A89"/>
    <w:rsid w:val="00BC481B"/>
    <w:rsid w:val="00BD7EB0"/>
    <w:rsid w:val="00BF033D"/>
    <w:rsid w:val="00C00D0B"/>
    <w:rsid w:val="00C0268F"/>
    <w:rsid w:val="00C26B6C"/>
    <w:rsid w:val="00C41FBE"/>
    <w:rsid w:val="00C5029F"/>
    <w:rsid w:val="00C526B7"/>
    <w:rsid w:val="00C52E45"/>
    <w:rsid w:val="00C55A47"/>
    <w:rsid w:val="00C56639"/>
    <w:rsid w:val="00C57EAF"/>
    <w:rsid w:val="00C92C13"/>
    <w:rsid w:val="00C934C2"/>
    <w:rsid w:val="00C93B60"/>
    <w:rsid w:val="00C9434C"/>
    <w:rsid w:val="00C957CD"/>
    <w:rsid w:val="00CC45EE"/>
    <w:rsid w:val="00CD2C40"/>
    <w:rsid w:val="00CD2D4E"/>
    <w:rsid w:val="00CE27FC"/>
    <w:rsid w:val="00CE2B42"/>
    <w:rsid w:val="00D032A9"/>
    <w:rsid w:val="00D17F92"/>
    <w:rsid w:val="00D24C69"/>
    <w:rsid w:val="00D2632A"/>
    <w:rsid w:val="00D36174"/>
    <w:rsid w:val="00D425DE"/>
    <w:rsid w:val="00D560F7"/>
    <w:rsid w:val="00D56253"/>
    <w:rsid w:val="00D57724"/>
    <w:rsid w:val="00D642ED"/>
    <w:rsid w:val="00D65D86"/>
    <w:rsid w:val="00D91EC2"/>
    <w:rsid w:val="00D942FA"/>
    <w:rsid w:val="00DA2E6E"/>
    <w:rsid w:val="00DA4DC6"/>
    <w:rsid w:val="00DC1DBE"/>
    <w:rsid w:val="00DC5282"/>
    <w:rsid w:val="00DC6756"/>
    <w:rsid w:val="00DC7CC3"/>
    <w:rsid w:val="00DD4C76"/>
    <w:rsid w:val="00DD691A"/>
    <w:rsid w:val="00DF7E84"/>
    <w:rsid w:val="00E06C7A"/>
    <w:rsid w:val="00E3341B"/>
    <w:rsid w:val="00E34681"/>
    <w:rsid w:val="00E42C30"/>
    <w:rsid w:val="00E44B12"/>
    <w:rsid w:val="00E56F81"/>
    <w:rsid w:val="00E60BC8"/>
    <w:rsid w:val="00E6148B"/>
    <w:rsid w:val="00E61FBE"/>
    <w:rsid w:val="00E71347"/>
    <w:rsid w:val="00EA2AC3"/>
    <w:rsid w:val="00EA4121"/>
    <w:rsid w:val="00EA6196"/>
    <w:rsid w:val="00EB2882"/>
    <w:rsid w:val="00EB2A5E"/>
    <w:rsid w:val="00EB6975"/>
    <w:rsid w:val="00ED0465"/>
    <w:rsid w:val="00ED77DC"/>
    <w:rsid w:val="00EF0BB6"/>
    <w:rsid w:val="00EF7EA3"/>
    <w:rsid w:val="00F02784"/>
    <w:rsid w:val="00F02F45"/>
    <w:rsid w:val="00F073FD"/>
    <w:rsid w:val="00F21957"/>
    <w:rsid w:val="00F22550"/>
    <w:rsid w:val="00F33B74"/>
    <w:rsid w:val="00F51478"/>
    <w:rsid w:val="00F60149"/>
    <w:rsid w:val="00F637A3"/>
    <w:rsid w:val="00F72977"/>
    <w:rsid w:val="00F8117A"/>
    <w:rsid w:val="00F857A8"/>
    <w:rsid w:val="00F87EFA"/>
    <w:rsid w:val="00F935AE"/>
    <w:rsid w:val="00FA5CB9"/>
    <w:rsid w:val="00FA76AF"/>
    <w:rsid w:val="00FA7CFA"/>
    <w:rsid w:val="00FB0C93"/>
    <w:rsid w:val="00FB3204"/>
    <w:rsid w:val="00FC05BA"/>
    <w:rsid w:val="00FC1656"/>
    <w:rsid w:val="00FC50D3"/>
    <w:rsid w:val="00FE094C"/>
    <w:rsid w:val="00FF5A1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ACDD9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  <w:style w:type="character" w:styleId="Strong">
    <w:name w:val="Strong"/>
    <w:basedOn w:val="DefaultParagraphFont"/>
    <w:uiPriority w:val="22"/>
    <w:qFormat/>
    <w:rsid w:val="005C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313</cp:revision>
  <dcterms:created xsi:type="dcterms:W3CDTF">2022-10-03T05:17:00Z</dcterms:created>
  <dcterms:modified xsi:type="dcterms:W3CDTF">2024-07-31T04:07:00Z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