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27" w:rsidRPr="00237788" w:rsidRDefault="00421D27" w:rsidP="00421D27">
      <w:pPr>
        <w:rPr>
          <w:rFonts w:ascii="Candara" w:hAnsi="Candara"/>
        </w:rPr>
      </w:pPr>
      <w:r w:rsidRPr="00237788">
        <w:rPr>
          <w:rFonts w:ascii="Candara" w:hAnsi="Candara"/>
        </w:rPr>
        <w:t>DATA VISUALIZATION IN PYTHON</w:t>
      </w:r>
    </w:p>
    <w:p w:rsidR="007C6E69" w:rsidRPr="00237788" w:rsidRDefault="007C6E69" w:rsidP="001C5C0B">
      <w:pPr>
        <w:rPr>
          <w:rFonts w:ascii="Candara" w:hAnsi="Candara"/>
        </w:rPr>
      </w:pPr>
    </w:p>
    <w:p w:rsidR="00421D27" w:rsidRPr="00237788" w:rsidRDefault="00421D27" w:rsidP="00421D27">
      <w:pPr>
        <w:ind w:firstLine="720"/>
        <w:rPr>
          <w:rFonts w:ascii="Candara" w:hAnsi="Candara"/>
        </w:rPr>
      </w:pPr>
      <w:r w:rsidRPr="00237788">
        <w:rPr>
          <w:rFonts w:ascii="Candara" w:hAnsi="Candara"/>
        </w:rPr>
        <w:t xml:space="preserve">Data visualization is the </w:t>
      </w:r>
      <w:r w:rsidRPr="00A96BE6">
        <w:rPr>
          <w:rFonts w:ascii="Candara" w:hAnsi="Candara"/>
          <w:b/>
        </w:rPr>
        <w:t>graphical representation of</w:t>
      </w:r>
      <w:r w:rsidRPr="00237788">
        <w:rPr>
          <w:rFonts w:ascii="Candara" w:hAnsi="Candara"/>
        </w:rPr>
        <w:t xml:space="preserve"> information and data. By using visual elements like charts, graphs, and maps, data visualization tools provide an accessible way to see and understand trends, outliers, and patterns in data. </w:t>
      </w:r>
    </w:p>
    <w:p w:rsidR="00C435E3" w:rsidRDefault="00C435E3" w:rsidP="00C435E3">
      <w:pPr>
        <w:rPr>
          <w:rFonts w:ascii="Candara" w:hAnsi="Candara"/>
        </w:rPr>
      </w:pPr>
      <w:r>
        <w:rPr>
          <w:rFonts w:ascii="Candara" w:hAnsi="Candara"/>
        </w:rPr>
        <w:t>Excel Spreadsheet</w:t>
      </w:r>
    </w:p>
    <w:p w:rsidR="00C435E3" w:rsidRDefault="00C435E3" w:rsidP="00421D27">
      <w:pPr>
        <w:ind w:firstLine="720"/>
        <w:rPr>
          <w:rFonts w:ascii="Candara" w:hAnsi="Candara"/>
          <w:b/>
        </w:rPr>
      </w:pPr>
    </w:p>
    <w:p w:rsidR="00421D27" w:rsidRPr="00237788" w:rsidRDefault="00421D27" w:rsidP="00421D27">
      <w:pPr>
        <w:ind w:firstLine="720"/>
        <w:rPr>
          <w:rFonts w:ascii="Candara" w:hAnsi="Candara" w:cs="Segoe UI"/>
          <w:color w:val="0D0D0D"/>
          <w:shd w:val="clear" w:color="auto" w:fill="FFFFFF"/>
        </w:rPr>
      </w:pPr>
      <w:r w:rsidRPr="00237788">
        <w:rPr>
          <w:rFonts w:ascii="Candara" w:hAnsi="Candara" w:cs="Segoe UI"/>
          <w:color w:val="0D0D0D"/>
          <w:shd w:val="clear" w:color="auto" w:fill="FFFFFF"/>
        </w:rPr>
        <w:t xml:space="preserve">Data visualization in Python is commonly achieved using libraries such as </w:t>
      </w:r>
      <w:proofErr w:type="spellStart"/>
      <w:r w:rsidRPr="00237788">
        <w:rPr>
          <w:rFonts w:ascii="Candara" w:hAnsi="Candara" w:cs="Segoe UI"/>
          <w:color w:val="0D0D0D"/>
          <w:shd w:val="clear" w:color="auto" w:fill="FFFFFF"/>
        </w:rPr>
        <w:t>Matplotlib</w:t>
      </w:r>
      <w:proofErr w:type="spellEnd"/>
      <w:r w:rsidRPr="00237788">
        <w:rPr>
          <w:rFonts w:ascii="Candara" w:hAnsi="Candara" w:cs="Segoe UI"/>
          <w:color w:val="0D0D0D"/>
          <w:shd w:val="clear" w:color="auto" w:fill="FFFFFF"/>
        </w:rPr>
        <w:t xml:space="preserve">, </w:t>
      </w:r>
      <w:proofErr w:type="spellStart"/>
      <w:r w:rsidRPr="00827057">
        <w:rPr>
          <w:rFonts w:ascii="Candara" w:hAnsi="Candara" w:cs="Segoe UI"/>
          <w:b/>
          <w:color w:val="0D0D0D"/>
          <w:shd w:val="clear" w:color="auto" w:fill="FFFFFF"/>
        </w:rPr>
        <w:t>Seaborn</w:t>
      </w:r>
      <w:proofErr w:type="spellEnd"/>
      <w:r w:rsidRPr="00827057">
        <w:rPr>
          <w:rFonts w:ascii="Candara" w:hAnsi="Candara" w:cs="Segoe UI"/>
          <w:b/>
          <w:color w:val="0D0D0D"/>
          <w:shd w:val="clear" w:color="auto" w:fill="FFFFFF"/>
        </w:rPr>
        <w:t>,</w:t>
      </w:r>
      <w:r w:rsidRPr="00237788">
        <w:rPr>
          <w:rFonts w:ascii="Candara" w:hAnsi="Candara" w:cs="Segoe UI"/>
          <w:color w:val="0D0D0D"/>
          <w:shd w:val="clear" w:color="auto" w:fill="FFFFFF"/>
        </w:rPr>
        <w:t xml:space="preserve"> </w:t>
      </w:r>
      <w:proofErr w:type="spellStart"/>
      <w:r w:rsidRPr="00237788">
        <w:rPr>
          <w:rFonts w:ascii="Candara" w:hAnsi="Candara" w:cs="Segoe UI"/>
          <w:color w:val="0D0D0D"/>
          <w:shd w:val="clear" w:color="auto" w:fill="FFFFFF"/>
        </w:rPr>
        <w:t>Plotly</w:t>
      </w:r>
      <w:proofErr w:type="spellEnd"/>
      <w:r w:rsidRPr="00237788">
        <w:rPr>
          <w:rFonts w:ascii="Candara" w:hAnsi="Candara" w:cs="Segoe UI"/>
          <w:color w:val="0D0D0D"/>
          <w:shd w:val="clear" w:color="auto" w:fill="FFFFFF"/>
        </w:rPr>
        <w:t xml:space="preserve">, and </w:t>
      </w:r>
      <w:proofErr w:type="spellStart"/>
      <w:r w:rsidRPr="00237788">
        <w:rPr>
          <w:rFonts w:ascii="Candara" w:hAnsi="Candara" w:cs="Segoe UI"/>
          <w:color w:val="0D0D0D"/>
          <w:shd w:val="clear" w:color="auto" w:fill="FFFFFF"/>
        </w:rPr>
        <w:t>Bokeh</w:t>
      </w:r>
      <w:proofErr w:type="spellEnd"/>
      <w:r w:rsidR="00A965ED">
        <w:rPr>
          <w:rFonts w:ascii="Candara" w:hAnsi="Candara" w:cs="Segoe UI"/>
          <w:color w:val="0D0D0D"/>
          <w:shd w:val="clear" w:color="auto" w:fill="FFFFFF"/>
        </w:rPr>
        <w:t xml:space="preserve"> etc</w:t>
      </w:r>
      <w:r w:rsidRPr="00237788">
        <w:rPr>
          <w:rFonts w:ascii="Candara" w:hAnsi="Candara" w:cs="Segoe UI"/>
          <w:color w:val="0D0D0D"/>
          <w:shd w:val="clear" w:color="auto" w:fill="FFFFFF"/>
        </w:rPr>
        <w:t>. These libraries offer a wide range of functionalities for creating various types of visualizations. Here's an overview of some popular libraries and how they are used for data visualization in Python:</w:t>
      </w:r>
      <w:bookmarkStart w:id="0" w:name="_GoBack"/>
      <w:bookmarkEnd w:id="0"/>
    </w:p>
    <w:p w:rsidR="00421D27" w:rsidRPr="00237788" w:rsidRDefault="00421D27" w:rsidP="00421D27">
      <w:pPr>
        <w:rPr>
          <w:rFonts w:ascii="Candara" w:hAnsi="Candara" w:cs="Segoe UI"/>
          <w:color w:val="0D0D0D"/>
          <w:shd w:val="clear" w:color="auto" w:fill="FFFFFF"/>
        </w:rPr>
      </w:pPr>
    </w:p>
    <w:p w:rsidR="00421D27" w:rsidRPr="00237788" w:rsidRDefault="00421D27" w:rsidP="00421D27">
      <w:pPr>
        <w:rPr>
          <w:rFonts w:ascii="Candara" w:hAnsi="Candara"/>
          <w:lang w:val="en-IN"/>
        </w:rPr>
      </w:pPr>
      <w:proofErr w:type="spellStart"/>
      <w:r w:rsidRPr="00237788">
        <w:rPr>
          <w:rFonts w:ascii="Candara" w:hAnsi="Candara"/>
          <w:b/>
          <w:bCs/>
          <w:lang w:val="en-IN"/>
        </w:rPr>
        <w:t>Matplotlib</w:t>
      </w:r>
      <w:proofErr w:type="spellEnd"/>
      <w:r w:rsidRPr="00237788">
        <w:rPr>
          <w:rFonts w:ascii="Candara" w:hAnsi="Candara"/>
          <w:lang w:val="en-IN"/>
        </w:rPr>
        <w:t xml:space="preserve">: </w:t>
      </w:r>
      <w:proofErr w:type="spellStart"/>
      <w:r w:rsidRPr="00237788">
        <w:rPr>
          <w:rFonts w:ascii="Candara" w:hAnsi="Candara"/>
          <w:lang w:val="en-IN"/>
        </w:rPr>
        <w:t>Matplotlib</w:t>
      </w:r>
      <w:proofErr w:type="spellEnd"/>
      <w:r w:rsidRPr="00237788">
        <w:rPr>
          <w:rFonts w:ascii="Candara" w:hAnsi="Candara"/>
          <w:lang w:val="en-IN"/>
        </w:rPr>
        <w:t xml:space="preserve"> is one of the most widely used plotting libraries in Python. It provides a MATLAB-like interface for creating static, interactive, and animated visualizations. </w:t>
      </w:r>
      <w:proofErr w:type="spellStart"/>
      <w:r w:rsidRPr="00237788">
        <w:rPr>
          <w:rFonts w:ascii="Candara" w:hAnsi="Candara"/>
          <w:lang w:val="en-IN"/>
        </w:rPr>
        <w:t>Matplotlib</w:t>
      </w:r>
      <w:proofErr w:type="spellEnd"/>
      <w:r w:rsidRPr="00237788">
        <w:rPr>
          <w:rFonts w:ascii="Candara" w:hAnsi="Candara"/>
          <w:lang w:val="en-IN"/>
        </w:rPr>
        <w:t xml:space="preserve"> can be used to create </w:t>
      </w:r>
    </w:p>
    <w:p w:rsidR="00421D27" w:rsidRPr="00237788" w:rsidRDefault="00421D27" w:rsidP="00421D27">
      <w:pPr>
        <w:rPr>
          <w:rFonts w:ascii="Candara" w:hAnsi="Candara"/>
          <w:lang w:val="en-IN"/>
        </w:rPr>
      </w:pPr>
    </w:p>
    <w:p w:rsidR="00421D27" w:rsidRPr="00237788" w:rsidRDefault="00421D27" w:rsidP="00421D27">
      <w:pPr>
        <w:numPr>
          <w:ilvl w:val="0"/>
          <w:numId w:val="7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Line Plot</w:t>
      </w:r>
    </w:p>
    <w:p w:rsidR="00421D27" w:rsidRPr="00237788" w:rsidRDefault="00421D27" w:rsidP="00421D27">
      <w:pPr>
        <w:numPr>
          <w:ilvl w:val="0"/>
          <w:numId w:val="7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Scatter Plot</w:t>
      </w:r>
    </w:p>
    <w:p w:rsidR="00421D27" w:rsidRPr="00237788" w:rsidRDefault="00421D27" w:rsidP="00421D27">
      <w:pPr>
        <w:numPr>
          <w:ilvl w:val="0"/>
          <w:numId w:val="7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Bar Plot</w:t>
      </w:r>
    </w:p>
    <w:p w:rsidR="00421D27" w:rsidRPr="00237788" w:rsidRDefault="00421D27" w:rsidP="00421D27">
      <w:pPr>
        <w:numPr>
          <w:ilvl w:val="0"/>
          <w:numId w:val="7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Histogram</w:t>
      </w:r>
    </w:p>
    <w:p w:rsidR="00421D27" w:rsidRPr="00237788" w:rsidRDefault="00421D27" w:rsidP="00421D27">
      <w:pPr>
        <w:numPr>
          <w:ilvl w:val="0"/>
          <w:numId w:val="7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Pie Chart</w:t>
      </w:r>
    </w:p>
    <w:p w:rsidR="00421D27" w:rsidRDefault="00421D27" w:rsidP="00421D27">
      <w:pPr>
        <w:numPr>
          <w:ilvl w:val="0"/>
          <w:numId w:val="7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Box Plot</w:t>
      </w:r>
    </w:p>
    <w:p w:rsidR="00C435E3" w:rsidRPr="00C435E3" w:rsidRDefault="00C435E3" w:rsidP="00C435E3">
      <w:pPr>
        <w:pStyle w:val="ListParagraph"/>
        <w:numPr>
          <w:ilvl w:val="0"/>
          <w:numId w:val="7"/>
        </w:numPr>
        <w:rPr>
          <w:rFonts w:ascii="Candara" w:hAnsi="Candara"/>
          <w:lang w:val="en-IN"/>
        </w:rPr>
      </w:pPr>
      <w:r w:rsidRPr="00C435E3">
        <w:rPr>
          <w:rFonts w:ascii="Candara" w:hAnsi="Candara"/>
          <w:lang w:val="en-IN"/>
        </w:rPr>
        <w:t>ETC</w:t>
      </w:r>
    </w:p>
    <w:p w:rsidR="00C435E3" w:rsidRDefault="00C435E3" w:rsidP="00C435E3">
      <w:pPr>
        <w:rPr>
          <w:rFonts w:ascii="Candara" w:hAnsi="Candara"/>
          <w:lang w:val="en-IN"/>
        </w:rPr>
      </w:pPr>
    </w:p>
    <w:p w:rsidR="00C435E3" w:rsidRPr="00237788" w:rsidRDefault="00C435E3" w:rsidP="00C435E3">
      <w:pPr>
        <w:rPr>
          <w:rFonts w:ascii="Candara" w:hAnsi="Candara"/>
          <w:lang w:val="en-IN"/>
        </w:rPr>
      </w:pPr>
      <w:proofErr w:type="gramStart"/>
      <w:r>
        <w:rPr>
          <w:rFonts w:ascii="Candara" w:hAnsi="Candara"/>
          <w:lang w:val="en-IN"/>
        </w:rPr>
        <w:t>Drawback :</w:t>
      </w:r>
      <w:proofErr w:type="gramEnd"/>
      <w:r>
        <w:rPr>
          <w:rFonts w:ascii="Candara" w:hAnsi="Candara"/>
          <w:lang w:val="en-IN"/>
        </w:rPr>
        <w:t xml:space="preserve"> </w:t>
      </w:r>
      <w:r w:rsidRPr="00C435E3">
        <w:rPr>
          <w:rFonts w:ascii="Candara" w:hAnsi="Candara"/>
          <w:b/>
          <w:lang w:val="en-IN"/>
        </w:rPr>
        <w:t>too Much of code</w:t>
      </w:r>
    </w:p>
    <w:p w:rsidR="00421D27" w:rsidRPr="00237788" w:rsidRDefault="00421D27" w:rsidP="00421D27">
      <w:p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br/>
      </w:r>
      <w:proofErr w:type="spellStart"/>
      <w:r w:rsidRPr="00237788">
        <w:rPr>
          <w:rFonts w:ascii="Candara" w:hAnsi="Candara"/>
          <w:b/>
          <w:bCs/>
          <w:lang w:val="en-IN"/>
        </w:rPr>
        <w:t>Seaborn</w:t>
      </w:r>
      <w:proofErr w:type="spellEnd"/>
      <w:r w:rsidRPr="00237788">
        <w:rPr>
          <w:rFonts w:ascii="Candara" w:hAnsi="Candara"/>
          <w:lang w:val="en-IN"/>
        </w:rPr>
        <w:t xml:space="preserve">: </w:t>
      </w:r>
      <w:proofErr w:type="spellStart"/>
      <w:r w:rsidRPr="00237788">
        <w:rPr>
          <w:rFonts w:ascii="Candara" w:hAnsi="Candara"/>
          <w:lang w:val="en-IN"/>
        </w:rPr>
        <w:t>Seaborn</w:t>
      </w:r>
      <w:proofErr w:type="spellEnd"/>
      <w:r w:rsidRPr="00237788">
        <w:rPr>
          <w:rFonts w:ascii="Candara" w:hAnsi="Candara"/>
          <w:lang w:val="en-IN"/>
        </w:rPr>
        <w:t xml:space="preserve"> is built on top of </w:t>
      </w:r>
      <w:proofErr w:type="spellStart"/>
      <w:r w:rsidRPr="00237788">
        <w:rPr>
          <w:rFonts w:ascii="Candara" w:hAnsi="Candara"/>
          <w:lang w:val="en-IN"/>
        </w:rPr>
        <w:t>Matplotlib</w:t>
      </w:r>
      <w:proofErr w:type="spellEnd"/>
      <w:r w:rsidRPr="00237788">
        <w:rPr>
          <w:rFonts w:ascii="Candara" w:hAnsi="Candara"/>
          <w:lang w:val="en-IN"/>
        </w:rPr>
        <w:t xml:space="preserve"> and provides a high-level interface for creating attractive and informative statistical graphics. It simplifies the process of creating complex visualizations like </w:t>
      </w:r>
      <w:proofErr w:type="spellStart"/>
      <w:r w:rsidRPr="00237788">
        <w:rPr>
          <w:rFonts w:ascii="Candara" w:hAnsi="Candara"/>
          <w:lang w:val="en-IN"/>
        </w:rPr>
        <w:t>heatmaps</w:t>
      </w:r>
      <w:proofErr w:type="spellEnd"/>
      <w:r w:rsidRPr="00237788">
        <w:rPr>
          <w:rFonts w:ascii="Candara" w:hAnsi="Candara"/>
          <w:lang w:val="en-IN"/>
        </w:rPr>
        <w:t>, violin plots, pair plots, and more.</w:t>
      </w:r>
    </w:p>
    <w:p w:rsidR="00421D27" w:rsidRPr="00237788" w:rsidRDefault="00421D27" w:rsidP="00421D27">
      <w:pPr>
        <w:rPr>
          <w:rFonts w:ascii="Candara" w:hAnsi="Candara"/>
          <w:lang w:val="en-IN"/>
        </w:rPr>
      </w:pPr>
    </w:p>
    <w:p w:rsidR="00237788" w:rsidRPr="00237788" w:rsidRDefault="00237788" w:rsidP="00237788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Bar Plot: Represents categorical data with rectangular bars, suitable for comparing quantities across categories.</w:t>
      </w:r>
    </w:p>
    <w:p w:rsidR="00421D27" w:rsidRPr="00237788" w:rsidRDefault="00421D27" w:rsidP="00421D27">
      <w:pPr>
        <w:numPr>
          <w:ilvl w:val="0"/>
          <w:numId w:val="8"/>
        </w:numPr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Line Plot: Displays data points connected by straight lines, useful for visualizing trends over time.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Scatter Plot: Shows the relationship between two numerical variables, ideal for identifying correlations.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Histogram: Illustrates the distribution of a single numerical variable, useful for understanding data frequency.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Box Plot: Summarizes the distribution of a numerical variable, providing information about central tendency and variability.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 xml:space="preserve">Violin Plot: Combines the features of a box plot and a kernel density plot, revealing the </w:t>
      </w:r>
      <w:r w:rsidR="00BB2E8D">
        <w:rPr>
          <w:rFonts w:ascii="Candara" w:hAnsi="Candara"/>
          <w:lang w:val="en-IN"/>
        </w:rPr>
        <w:t>data distribution</w:t>
      </w:r>
      <w:r w:rsidRPr="00237788">
        <w:rPr>
          <w:rFonts w:ascii="Candara" w:hAnsi="Candara"/>
          <w:lang w:val="en-IN"/>
        </w:rPr>
        <w:t>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proofErr w:type="spellStart"/>
      <w:r w:rsidRPr="00237788">
        <w:rPr>
          <w:rFonts w:ascii="Candara" w:hAnsi="Candara"/>
          <w:lang w:val="en-IN"/>
        </w:rPr>
        <w:t>Heatmap</w:t>
      </w:r>
      <w:proofErr w:type="spellEnd"/>
      <w:r w:rsidRPr="00237788">
        <w:rPr>
          <w:rFonts w:ascii="Candara" w:hAnsi="Candara"/>
          <w:lang w:val="en-IN"/>
        </w:rPr>
        <w:t xml:space="preserve">: Visualizes data in a matrix format using </w:t>
      </w:r>
      <w:proofErr w:type="spellStart"/>
      <w:r w:rsidRPr="00237788">
        <w:rPr>
          <w:rFonts w:ascii="Candara" w:hAnsi="Candara"/>
          <w:lang w:val="en-IN"/>
        </w:rPr>
        <w:t>color</w:t>
      </w:r>
      <w:proofErr w:type="spellEnd"/>
      <w:r w:rsidRPr="00237788">
        <w:rPr>
          <w:rFonts w:ascii="Candara" w:hAnsi="Candara"/>
          <w:lang w:val="en-IN"/>
        </w:rPr>
        <w:t xml:space="preserve"> gradients, helpful for exploring correlations in large datasets.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Pair Plot: Shows pairwise relationships between variables in a dataset, useful for initial exploratory data analysis.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Joint Plot: Displays the relationship between two variables along with their individual distributions.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Facet Grid: Divides a dataset into subsets and creates a grid of plots based on those subsets.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lastRenderedPageBreak/>
        <w:t>KDE Plot: Estimates the probability density function of a continuous variable, useful for visualizing smooth distributions.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proofErr w:type="spellStart"/>
      <w:r w:rsidRPr="00237788">
        <w:rPr>
          <w:rFonts w:ascii="Candara" w:hAnsi="Candara"/>
          <w:lang w:val="en-IN"/>
        </w:rPr>
        <w:t>Regplot</w:t>
      </w:r>
      <w:proofErr w:type="spellEnd"/>
      <w:r w:rsidRPr="00237788">
        <w:rPr>
          <w:rFonts w:ascii="Candara" w:hAnsi="Candara"/>
          <w:lang w:val="en-IN"/>
        </w:rPr>
        <w:t>: Shows the relationship between two variables along with a regression line.</w:t>
      </w:r>
    </w:p>
    <w:p w:rsidR="00421D27" w:rsidRPr="00237788" w:rsidRDefault="00421D27" w:rsidP="00421D27">
      <w:pPr>
        <w:numPr>
          <w:ilvl w:val="0"/>
          <w:numId w:val="8"/>
        </w:numPr>
        <w:tabs>
          <w:tab w:val="num" w:pos="720"/>
        </w:tabs>
        <w:rPr>
          <w:rFonts w:ascii="Candara" w:hAnsi="Candara"/>
          <w:lang w:val="en-IN"/>
        </w:rPr>
      </w:pPr>
      <w:r w:rsidRPr="00237788">
        <w:rPr>
          <w:rFonts w:ascii="Candara" w:hAnsi="Candara"/>
          <w:lang w:val="en-IN"/>
        </w:rPr>
        <w:t>Count Plot: Displays the count of observations in each category of a categorical variable.</w:t>
      </w:r>
    </w:p>
    <w:p w:rsidR="00421D27" w:rsidRPr="00237788" w:rsidRDefault="00421D27" w:rsidP="00421D27">
      <w:pPr>
        <w:rPr>
          <w:rFonts w:ascii="Candara" w:hAnsi="Candara"/>
        </w:rPr>
      </w:pPr>
    </w:p>
    <w:p w:rsidR="00421D27" w:rsidRPr="00237788" w:rsidRDefault="00421D27" w:rsidP="00421D27">
      <w:pPr>
        <w:rPr>
          <w:rFonts w:ascii="Candara" w:hAnsi="Candara"/>
        </w:rPr>
      </w:pPr>
    </w:p>
    <w:p w:rsidR="00421D27" w:rsidRPr="00237788" w:rsidRDefault="00421D27" w:rsidP="00421D27">
      <w:pPr>
        <w:rPr>
          <w:rFonts w:ascii="Candara" w:hAnsi="Candara"/>
        </w:rPr>
      </w:pPr>
      <w:proofErr w:type="spellStart"/>
      <w:r w:rsidRPr="00237788">
        <w:rPr>
          <w:rFonts w:ascii="Candara" w:hAnsi="Candara"/>
        </w:rPr>
        <w:t>Seaborn</w:t>
      </w:r>
      <w:proofErr w:type="spellEnd"/>
      <w:r w:rsidRPr="00237788">
        <w:rPr>
          <w:rFonts w:ascii="Candara" w:hAnsi="Candara"/>
        </w:rPr>
        <w:t xml:space="preserve"> is often preferred over </w:t>
      </w:r>
      <w:proofErr w:type="spellStart"/>
      <w:r w:rsidRPr="00237788">
        <w:rPr>
          <w:rFonts w:ascii="Candara" w:hAnsi="Candara"/>
        </w:rPr>
        <w:t>Matplotlib</w:t>
      </w:r>
      <w:proofErr w:type="spellEnd"/>
      <w:r w:rsidRPr="00237788">
        <w:rPr>
          <w:rFonts w:ascii="Candara" w:hAnsi="Candara"/>
        </w:rPr>
        <w:t xml:space="preserve"> for data visualization due to its high-level interface, which allows users to create complex statistical graphics with minimal code. It offers attractive defaults, specialized plots, and seamless integration with Pandas, making it particularly well-suited for exploratory data analysis and visualizing relationships and distributions in datasets. While </w:t>
      </w:r>
      <w:proofErr w:type="spellStart"/>
      <w:r w:rsidRPr="00237788">
        <w:rPr>
          <w:rFonts w:ascii="Candara" w:hAnsi="Candara"/>
        </w:rPr>
        <w:t>Matplotlib</w:t>
      </w:r>
      <w:proofErr w:type="spellEnd"/>
      <w:r w:rsidRPr="00237788">
        <w:rPr>
          <w:rFonts w:ascii="Candara" w:hAnsi="Candara"/>
        </w:rPr>
        <w:t xml:space="preserve"> provides more flexibility and control over plot customization, </w:t>
      </w:r>
      <w:proofErr w:type="spellStart"/>
      <w:r w:rsidRPr="00237788">
        <w:rPr>
          <w:rFonts w:ascii="Candara" w:hAnsi="Candara"/>
        </w:rPr>
        <w:t>Seaborn</w:t>
      </w:r>
      <w:proofErr w:type="spellEnd"/>
      <w:r w:rsidRPr="00237788">
        <w:rPr>
          <w:rFonts w:ascii="Candara" w:hAnsi="Candara"/>
        </w:rPr>
        <w:t xml:space="preserve"> excels in simplifying the process of creating informative and visually appealing statistical visualizations.</w:t>
      </w:r>
    </w:p>
    <w:p w:rsidR="00237788" w:rsidRPr="00237788" w:rsidRDefault="00237788" w:rsidP="00421D27">
      <w:pPr>
        <w:rPr>
          <w:rFonts w:ascii="Candara" w:hAnsi="Candara"/>
        </w:rPr>
      </w:pPr>
    </w:p>
    <w:p w:rsidR="00237788" w:rsidRPr="00237788" w:rsidRDefault="00237788" w:rsidP="00421D27">
      <w:pPr>
        <w:rPr>
          <w:rFonts w:ascii="Candara" w:hAnsi="Candara"/>
        </w:rPr>
      </w:pPr>
    </w:p>
    <w:p w:rsidR="00237788" w:rsidRDefault="00703B0C" w:rsidP="00421D27">
      <w:pPr>
        <w:rPr>
          <w:rFonts w:ascii="Courier New" w:hAnsi="Courier New" w:cs="Courier New"/>
          <w:b/>
          <w:bCs/>
          <w:sz w:val="26"/>
          <w:szCs w:val="26"/>
          <w:shd w:val="clear" w:color="auto" w:fill="FFFFFF"/>
        </w:rPr>
      </w:pPr>
      <w:r w:rsidRPr="00703B0C">
        <w:rPr>
          <w:rFonts w:ascii="Courier New" w:hAnsi="Courier New" w:cs="Courier New"/>
          <w:b/>
          <w:bCs/>
          <w:noProof/>
          <w:sz w:val="26"/>
          <w:szCs w:val="26"/>
          <w:shd w:val="clear" w:color="auto" w:fill="FFFFFF"/>
          <w:lang w:val="en-IN" w:eastAsia="en-IN"/>
        </w:rPr>
        <w:drawing>
          <wp:inline distT="0" distB="0" distL="0" distR="0" wp14:anchorId="528C02E8" wp14:editId="08C69E84">
            <wp:extent cx="3094355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96" w:rsidRDefault="00C94796" w:rsidP="00421D27">
      <w:pPr>
        <w:rPr>
          <w:rFonts w:ascii="Courier New" w:hAnsi="Courier New" w:cs="Courier New"/>
          <w:b/>
          <w:bCs/>
          <w:sz w:val="26"/>
          <w:szCs w:val="26"/>
          <w:shd w:val="clear" w:color="auto" w:fill="FFFFFF"/>
        </w:rPr>
      </w:pPr>
    </w:p>
    <w:p w:rsidR="00C94796" w:rsidRPr="00237788" w:rsidRDefault="00C94796" w:rsidP="00421D27">
      <w:pPr>
        <w:rPr>
          <w:rFonts w:ascii="Courier New" w:hAnsi="Courier New" w:cs="Courier New"/>
          <w:b/>
          <w:bCs/>
          <w:sz w:val="26"/>
          <w:szCs w:val="26"/>
          <w:shd w:val="clear" w:color="auto" w:fill="FFFFFF"/>
        </w:rPr>
      </w:pPr>
    </w:p>
    <w:sectPr w:rsidR="00C94796" w:rsidRPr="00237788" w:rsidSect="00294D06">
      <w:pgSz w:w="11906" w:h="16838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941861"/>
    <w:multiLevelType w:val="singleLevel"/>
    <w:tmpl w:val="8894186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05E42DF9"/>
    <w:multiLevelType w:val="multilevel"/>
    <w:tmpl w:val="CA581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5F91CBF"/>
    <w:multiLevelType w:val="multilevel"/>
    <w:tmpl w:val="F896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A61BF"/>
    <w:multiLevelType w:val="hybridMultilevel"/>
    <w:tmpl w:val="F57AE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D07BE"/>
    <w:multiLevelType w:val="multilevel"/>
    <w:tmpl w:val="7E7E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E3A8F"/>
    <w:multiLevelType w:val="hybridMultilevel"/>
    <w:tmpl w:val="5AA87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D483B"/>
    <w:multiLevelType w:val="hybridMultilevel"/>
    <w:tmpl w:val="EC1468F2"/>
    <w:lvl w:ilvl="0" w:tplc="54162B8C">
      <w:numFmt w:val="bullet"/>
      <w:lvlText w:val="-"/>
      <w:lvlJc w:val="left"/>
      <w:pPr>
        <w:ind w:left="72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57305"/>
    <w:multiLevelType w:val="multilevel"/>
    <w:tmpl w:val="97E6C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005E9A"/>
    <w:rsid w:val="00037F36"/>
    <w:rsid w:val="00037FA2"/>
    <w:rsid w:val="000A21ED"/>
    <w:rsid w:val="000B0B3D"/>
    <w:rsid w:val="000C32EA"/>
    <w:rsid w:val="0010173B"/>
    <w:rsid w:val="001140A1"/>
    <w:rsid w:val="00122AC2"/>
    <w:rsid w:val="001271BA"/>
    <w:rsid w:val="00141113"/>
    <w:rsid w:val="001546F5"/>
    <w:rsid w:val="001C5C0B"/>
    <w:rsid w:val="002176AB"/>
    <w:rsid w:val="00237788"/>
    <w:rsid w:val="00272D91"/>
    <w:rsid w:val="00283581"/>
    <w:rsid w:val="00294D06"/>
    <w:rsid w:val="002A386A"/>
    <w:rsid w:val="002C1F99"/>
    <w:rsid w:val="003D46F3"/>
    <w:rsid w:val="003D739F"/>
    <w:rsid w:val="00421D27"/>
    <w:rsid w:val="004A79EB"/>
    <w:rsid w:val="00564544"/>
    <w:rsid w:val="0058732E"/>
    <w:rsid w:val="005B3CAE"/>
    <w:rsid w:val="00623A1F"/>
    <w:rsid w:val="006669A5"/>
    <w:rsid w:val="006B216A"/>
    <w:rsid w:val="006C3574"/>
    <w:rsid w:val="006E5E0D"/>
    <w:rsid w:val="006F28AC"/>
    <w:rsid w:val="006F7176"/>
    <w:rsid w:val="00703B0C"/>
    <w:rsid w:val="00777534"/>
    <w:rsid w:val="00786727"/>
    <w:rsid w:val="007B208D"/>
    <w:rsid w:val="007C6E69"/>
    <w:rsid w:val="00824297"/>
    <w:rsid w:val="00827057"/>
    <w:rsid w:val="00881067"/>
    <w:rsid w:val="008934ED"/>
    <w:rsid w:val="008B182F"/>
    <w:rsid w:val="008B3FF6"/>
    <w:rsid w:val="008E560B"/>
    <w:rsid w:val="0090557A"/>
    <w:rsid w:val="009158DC"/>
    <w:rsid w:val="00953051"/>
    <w:rsid w:val="00967543"/>
    <w:rsid w:val="009B1E89"/>
    <w:rsid w:val="009B3003"/>
    <w:rsid w:val="009C1E13"/>
    <w:rsid w:val="00A13091"/>
    <w:rsid w:val="00A27A5B"/>
    <w:rsid w:val="00A7348A"/>
    <w:rsid w:val="00A965ED"/>
    <w:rsid w:val="00A96BE6"/>
    <w:rsid w:val="00AA4FF8"/>
    <w:rsid w:val="00AB5FA5"/>
    <w:rsid w:val="00AC1C69"/>
    <w:rsid w:val="00AE30A0"/>
    <w:rsid w:val="00B1478F"/>
    <w:rsid w:val="00B766F3"/>
    <w:rsid w:val="00BB2E8D"/>
    <w:rsid w:val="00BE5B58"/>
    <w:rsid w:val="00C22ED8"/>
    <w:rsid w:val="00C37C09"/>
    <w:rsid w:val="00C435E3"/>
    <w:rsid w:val="00C67E01"/>
    <w:rsid w:val="00C94796"/>
    <w:rsid w:val="00CA5851"/>
    <w:rsid w:val="00D10997"/>
    <w:rsid w:val="00D2048F"/>
    <w:rsid w:val="00D46E90"/>
    <w:rsid w:val="00D55F82"/>
    <w:rsid w:val="00D60BB7"/>
    <w:rsid w:val="00D616B2"/>
    <w:rsid w:val="00D9490D"/>
    <w:rsid w:val="00DA3E6B"/>
    <w:rsid w:val="00DA6465"/>
    <w:rsid w:val="00DB2FAB"/>
    <w:rsid w:val="00DC414A"/>
    <w:rsid w:val="00E3519B"/>
    <w:rsid w:val="00EB003B"/>
    <w:rsid w:val="00EB247D"/>
    <w:rsid w:val="00EB51E3"/>
    <w:rsid w:val="00EC5E25"/>
    <w:rsid w:val="00ED080C"/>
    <w:rsid w:val="00ED792F"/>
    <w:rsid w:val="00F3111B"/>
    <w:rsid w:val="00F45BF5"/>
    <w:rsid w:val="00F7783E"/>
    <w:rsid w:val="00F91CC8"/>
    <w:rsid w:val="00FC2D94"/>
    <w:rsid w:val="00FC3734"/>
    <w:rsid w:val="00FE3B37"/>
    <w:rsid w:val="03CC5EC1"/>
    <w:rsid w:val="070A29C3"/>
    <w:rsid w:val="13D23AAC"/>
    <w:rsid w:val="14704336"/>
    <w:rsid w:val="176A689D"/>
    <w:rsid w:val="18061A8E"/>
    <w:rsid w:val="1A7450C2"/>
    <w:rsid w:val="20965757"/>
    <w:rsid w:val="215A1611"/>
    <w:rsid w:val="29EC271B"/>
    <w:rsid w:val="3F2F3BED"/>
    <w:rsid w:val="41CD4E13"/>
    <w:rsid w:val="4554389D"/>
    <w:rsid w:val="529C40E3"/>
    <w:rsid w:val="55007385"/>
    <w:rsid w:val="5764592C"/>
    <w:rsid w:val="6356208C"/>
    <w:rsid w:val="6FEE1FCA"/>
    <w:rsid w:val="73AA0F95"/>
    <w:rsid w:val="7C9150F4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1B61B"/>
  <w15:docId w15:val="{18C980D5-D61F-4177-88EA-1B25C4D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51">
    <w:name w:val="font51"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font21">
    <w:name w:val="font21"/>
    <w:rPr>
      <w:rFonts w:ascii="Century Gothic" w:eastAsia="Century Gothic" w:hAnsi="Century Gothic" w:cs="Century Gothic" w:hint="default"/>
      <w:i/>
      <w:iCs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Consolas" w:eastAsia="Consolas" w:hAnsi="Consolas" w:cs="Consolas" w:hint="default"/>
      <w:color w:val="0000CD"/>
      <w:sz w:val="22"/>
      <w:szCs w:val="22"/>
      <w:u w:val="none"/>
    </w:rPr>
  </w:style>
  <w:style w:type="character" w:customStyle="1" w:styleId="font61">
    <w:name w:val="font6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71">
    <w:name w:val="font7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11">
    <w:name w:val="font1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01">
    <w:name w:val="font01"/>
    <w:qFormat/>
    <w:rPr>
      <w:rFonts w:ascii="Consolas" w:eastAsia="Consolas" w:hAnsi="Consolas" w:cs="Consolas" w:hint="default"/>
      <w:color w:val="000000"/>
      <w:sz w:val="24"/>
      <w:szCs w:val="24"/>
      <w:u w:val="none"/>
    </w:rPr>
  </w:style>
  <w:style w:type="paragraph" w:styleId="ListParagraph">
    <w:name w:val="List Paragraph"/>
    <w:basedOn w:val="Normal"/>
    <w:uiPriority w:val="99"/>
    <w:rsid w:val="00623A1F"/>
    <w:pPr>
      <w:ind w:left="720"/>
      <w:contextualSpacing/>
    </w:pPr>
  </w:style>
  <w:style w:type="character" w:customStyle="1" w:styleId="pre">
    <w:name w:val="pre"/>
    <w:basedOn w:val="DefaultParagraphFont"/>
    <w:rsid w:val="00237788"/>
  </w:style>
  <w:style w:type="character" w:customStyle="1" w:styleId="sig-paren">
    <w:name w:val="sig-paren"/>
    <w:basedOn w:val="DefaultParagraphFont"/>
    <w:rsid w:val="0023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44157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944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30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49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4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4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58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85</cp:revision>
  <dcterms:created xsi:type="dcterms:W3CDTF">2021-03-09T13:29:00Z</dcterms:created>
  <dcterms:modified xsi:type="dcterms:W3CDTF">2024-06-23T06:33:00Z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0ADDCE04DB054069B60F4CEE092DE835</vt:lpwstr>
  </property>
  <property fmtid="{D5CDD505-2E9C-101B-9397-08002B2CF9AE}" pid="4" name="GrammarlyDocumentId">
    <vt:lpwstr>131ae2148fd3988432e5e7244f55b58c5099d62f0651d13805cb5281e368cf37</vt:lpwstr>
  </property>
</Properties>
</file>