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AE" w:rsidRDefault="00F26E9F">
      <w:pPr>
        <w:pStyle w:val="Heading1"/>
        <w:jc w:val="center"/>
        <w:rPr>
          <w:rFonts w:ascii="Google Sans" w:eastAsia="Google Sans" w:hAnsi="Google Sans" w:cs="Google Sans"/>
        </w:rPr>
      </w:pPr>
      <w:bookmarkStart w:id="0" w:name="_87tykp1u0l36" w:colFirst="0" w:colLast="0"/>
      <w:bookmarkEnd w:id="0"/>
      <w:r>
        <w:rPr>
          <w:rFonts w:ascii="Google Sans" w:eastAsia="Google Sans" w:hAnsi="Google Sans" w:cs="Google Sans"/>
        </w:rPr>
        <w:t>Controls and compliance checklist</w:t>
      </w:r>
    </w:p>
    <w:p w:rsidR="00514DAE" w:rsidRDefault="00514DAE">
      <w:pPr>
        <w:rPr>
          <w:rFonts w:ascii="Google Sans" w:eastAsia="Google Sans" w:hAnsi="Google Sans" w:cs="Google Sans"/>
          <w:sz w:val="24"/>
          <w:szCs w:val="24"/>
        </w:rPr>
      </w:pPr>
    </w:p>
    <w:p w:rsidR="00514DAE" w:rsidRDefault="00F26E9F">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5"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6">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rsidR="00514DAE" w:rsidRDefault="00514DAE">
      <w:pPr>
        <w:rPr>
          <w:rFonts w:ascii="Google Sans" w:eastAsia="Google Sans" w:hAnsi="Google Sans" w:cs="Google Sans"/>
          <w:sz w:val="24"/>
          <w:szCs w:val="24"/>
        </w:rPr>
      </w:pPr>
    </w:p>
    <w:p w:rsidR="00514DAE" w:rsidRDefault="00F26E9F">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 </w:t>
      </w:r>
    </w:p>
    <w:p w:rsidR="00514DAE" w:rsidRDefault="00514DAE">
      <w:pPr>
        <w:rPr>
          <w:rFonts w:ascii="Google Sans" w:eastAsia="Google Sans" w:hAnsi="Google Sans" w:cs="Google Sans"/>
        </w:rPr>
      </w:pPr>
    </w:p>
    <w:p w:rsidR="00514DAE" w:rsidRDefault="00514DAE">
      <w:pPr>
        <w:rPr>
          <w:rFonts w:ascii="Google Sans" w:eastAsia="Google Sans" w:hAnsi="Google Sans" w:cs="Google Sans"/>
        </w:rPr>
      </w:pPr>
    </w:p>
    <w:p w:rsidR="00514DAE" w:rsidRDefault="00F26E9F">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rsidR="00514DAE" w:rsidRDefault="00514DAE">
      <w:pPr>
        <w:rPr>
          <w:rFonts w:ascii="Google Sans" w:eastAsia="Google Sans" w:hAnsi="Google Sans" w:cs="Google Sans"/>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514DAE">
        <w:tc>
          <w:tcPr>
            <w:tcW w:w="900" w:type="dxa"/>
            <w:shd w:val="clear" w:color="auto" w:fill="auto"/>
            <w:tcMar>
              <w:top w:w="100" w:type="dxa"/>
              <w:left w:w="100" w:type="dxa"/>
              <w:bottom w:w="100" w:type="dxa"/>
              <w:right w:w="100" w:type="dxa"/>
            </w:tcMar>
          </w:tcPr>
          <w:p w:rsidR="00514DAE" w:rsidRDefault="00F26E9F">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945" w:type="dxa"/>
            <w:shd w:val="clear" w:color="auto" w:fill="auto"/>
            <w:tcMar>
              <w:top w:w="100" w:type="dxa"/>
              <w:left w:w="100" w:type="dxa"/>
              <w:bottom w:w="100" w:type="dxa"/>
              <w:right w:w="100" w:type="dxa"/>
            </w:tcMar>
          </w:tcPr>
          <w:p w:rsidR="00514DAE" w:rsidRDefault="00F26E9F">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514DAE">
        <w:tc>
          <w:tcPr>
            <w:tcW w:w="900" w:type="dxa"/>
            <w:shd w:val="clear" w:color="auto" w:fill="auto"/>
            <w:tcMar>
              <w:top w:w="100" w:type="dxa"/>
              <w:left w:w="100" w:type="dxa"/>
              <w:bottom w:w="100" w:type="dxa"/>
              <w:right w:w="100" w:type="dxa"/>
            </w:tcMar>
          </w:tcPr>
          <w:p w:rsidR="00514DAE" w:rsidRDefault="00514DAE" w:rsidP="006403A5">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514DAE">
        <w:tc>
          <w:tcPr>
            <w:tcW w:w="900" w:type="dxa"/>
            <w:shd w:val="clear" w:color="auto" w:fill="auto"/>
            <w:tcMar>
              <w:top w:w="100" w:type="dxa"/>
              <w:left w:w="100" w:type="dxa"/>
              <w:bottom w:w="100" w:type="dxa"/>
              <w:right w:w="100" w:type="dxa"/>
            </w:tcMar>
          </w:tcPr>
          <w:p w:rsidR="00514DAE" w:rsidRDefault="00514DAE" w:rsidP="006403A5">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514DAE">
        <w:tc>
          <w:tcPr>
            <w:tcW w:w="900" w:type="dxa"/>
            <w:shd w:val="clear" w:color="auto" w:fill="auto"/>
            <w:tcMar>
              <w:top w:w="100" w:type="dxa"/>
              <w:left w:w="100" w:type="dxa"/>
              <w:bottom w:w="100" w:type="dxa"/>
              <w:right w:w="100" w:type="dxa"/>
            </w:tcMar>
          </w:tcPr>
          <w:p w:rsidR="00514DAE" w:rsidRDefault="00514DAE" w:rsidP="006403A5">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13"/>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6403A5">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514DAE">
        <w:tc>
          <w:tcPr>
            <w:tcW w:w="900" w:type="dxa"/>
            <w:shd w:val="clear" w:color="auto" w:fill="auto"/>
            <w:tcMar>
              <w:top w:w="100" w:type="dxa"/>
              <w:left w:w="100" w:type="dxa"/>
              <w:bottom w:w="100" w:type="dxa"/>
              <w:right w:w="100" w:type="dxa"/>
            </w:tcMar>
          </w:tcPr>
          <w:p w:rsidR="00514DAE" w:rsidRDefault="00514DAE" w:rsidP="006403A5">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1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514DAE">
        <w:tc>
          <w:tcPr>
            <w:tcW w:w="900" w:type="dxa"/>
            <w:shd w:val="clear" w:color="auto" w:fill="auto"/>
            <w:tcMar>
              <w:top w:w="100" w:type="dxa"/>
              <w:left w:w="100" w:type="dxa"/>
              <w:bottom w:w="100" w:type="dxa"/>
              <w:right w:w="100" w:type="dxa"/>
            </w:tcMar>
          </w:tcPr>
          <w:p w:rsidR="00514DAE" w:rsidRDefault="00514DAE" w:rsidP="006403A5">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3"/>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19"/>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4"/>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22641C">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514DAE">
        <w:tc>
          <w:tcPr>
            <w:tcW w:w="900" w:type="dxa"/>
            <w:shd w:val="clear" w:color="auto" w:fill="auto"/>
            <w:tcMar>
              <w:top w:w="100" w:type="dxa"/>
              <w:left w:w="100" w:type="dxa"/>
              <w:bottom w:w="100" w:type="dxa"/>
              <w:right w:w="100" w:type="dxa"/>
            </w:tcMar>
          </w:tcPr>
          <w:p w:rsidR="00514DAE" w:rsidRDefault="00514DAE" w:rsidP="006403A5">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1"/>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rsidR="00514DAE" w:rsidRDefault="00514DAE">
      <w:pPr>
        <w:rPr>
          <w:rFonts w:ascii="Google Sans" w:eastAsia="Google Sans" w:hAnsi="Google Sans" w:cs="Google Sans"/>
          <w:sz w:val="24"/>
          <w:szCs w:val="24"/>
        </w:rPr>
      </w:pPr>
    </w:p>
    <w:p w:rsidR="00514DAE" w:rsidRDefault="008935B3">
      <w:pPr>
        <w:rPr>
          <w:rFonts w:ascii="Google Sans" w:eastAsia="Google Sans" w:hAnsi="Google Sans" w:cs="Google Sans"/>
          <w:sz w:val="24"/>
          <w:szCs w:val="24"/>
        </w:rPr>
      </w:pPr>
      <w:r>
        <w:pict>
          <v:rect id="_x0000_i1025" style="width:0;height:1.5pt" o:hralign="center" o:hrstd="t" o:hr="t" fillcolor="#a0a0a0" stroked="f"/>
        </w:pict>
      </w:r>
    </w:p>
    <w:p w:rsidR="00514DAE" w:rsidRDefault="00514DAE">
      <w:pPr>
        <w:rPr>
          <w:rFonts w:ascii="Google Sans" w:eastAsia="Google Sans" w:hAnsi="Google Sans" w:cs="Google Sans"/>
          <w:sz w:val="24"/>
          <w:szCs w:val="24"/>
        </w:rPr>
      </w:pPr>
    </w:p>
    <w:p w:rsidR="00514DAE" w:rsidRDefault="00F26E9F">
      <w:pPr>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To complete the compliance checklist, refer to the information provided in the </w:t>
      </w:r>
      <w:hyperlink r:id="rId7">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8">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rsidR="00514DAE" w:rsidRDefault="00514DAE">
      <w:pPr>
        <w:rPr>
          <w:rFonts w:ascii="Google Sans" w:eastAsia="Google Sans" w:hAnsi="Google Sans" w:cs="Google Sans"/>
          <w:sz w:val="24"/>
          <w:szCs w:val="24"/>
        </w:rPr>
      </w:pPr>
    </w:p>
    <w:p w:rsidR="00514DAE" w:rsidRDefault="00F26E9F">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rsidR="00514DAE" w:rsidRDefault="00514DAE">
      <w:pPr>
        <w:rPr>
          <w:rFonts w:ascii="Google Sans" w:eastAsia="Google Sans" w:hAnsi="Google Sans" w:cs="Google Sans"/>
          <w:sz w:val="24"/>
          <w:szCs w:val="24"/>
        </w:rPr>
      </w:pPr>
    </w:p>
    <w:p w:rsidR="00514DAE" w:rsidRDefault="00F26E9F">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rsidR="00514DAE" w:rsidRDefault="00514DAE">
      <w:pPr>
        <w:rPr>
          <w:rFonts w:ascii="Google Sans" w:eastAsia="Google Sans" w:hAnsi="Google Sans" w:cs="Google Sans"/>
          <w:b/>
          <w:sz w:val="24"/>
          <w:szCs w:val="24"/>
        </w:rPr>
      </w:pPr>
    </w:p>
    <w:p w:rsidR="00514DAE" w:rsidRDefault="00F26E9F">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514DAE">
        <w:tc>
          <w:tcPr>
            <w:tcW w:w="930" w:type="dxa"/>
            <w:shd w:val="clear" w:color="auto" w:fill="auto"/>
            <w:tcMar>
              <w:top w:w="100" w:type="dxa"/>
              <w:left w:w="100" w:type="dxa"/>
              <w:bottom w:w="100" w:type="dxa"/>
              <w:right w:w="100" w:type="dxa"/>
            </w:tcMar>
          </w:tcPr>
          <w:p w:rsidR="00514DAE" w:rsidRDefault="00F26E9F">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rsidR="00514DAE" w:rsidRDefault="00F26E9F">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14DAE">
        <w:tc>
          <w:tcPr>
            <w:tcW w:w="930" w:type="dxa"/>
            <w:shd w:val="clear" w:color="auto" w:fill="auto"/>
            <w:tcMar>
              <w:top w:w="100" w:type="dxa"/>
              <w:left w:w="100" w:type="dxa"/>
              <w:bottom w:w="100" w:type="dxa"/>
              <w:right w:w="100" w:type="dxa"/>
            </w:tcMar>
          </w:tcPr>
          <w:p w:rsidR="00514DAE" w:rsidRDefault="00514DAE">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514DAE">
        <w:tc>
          <w:tcPr>
            <w:tcW w:w="930"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514DAE">
        <w:tc>
          <w:tcPr>
            <w:tcW w:w="930"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514DAE">
        <w:tc>
          <w:tcPr>
            <w:tcW w:w="930"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rsidR="00514DAE" w:rsidRDefault="00514DAE">
      <w:pPr>
        <w:rPr>
          <w:rFonts w:ascii="Google Sans" w:eastAsia="Google Sans" w:hAnsi="Google Sans" w:cs="Google Sans"/>
          <w:sz w:val="24"/>
          <w:szCs w:val="24"/>
        </w:rPr>
      </w:pPr>
    </w:p>
    <w:p w:rsidR="00514DAE" w:rsidRDefault="00514DAE">
      <w:pPr>
        <w:rPr>
          <w:rFonts w:ascii="Google Sans" w:eastAsia="Google Sans" w:hAnsi="Google Sans" w:cs="Google Sans"/>
          <w:sz w:val="24"/>
          <w:szCs w:val="24"/>
        </w:rPr>
      </w:pPr>
    </w:p>
    <w:p w:rsidR="00514DAE" w:rsidRDefault="00F26E9F">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514DAE">
        <w:tc>
          <w:tcPr>
            <w:tcW w:w="900" w:type="dxa"/>
            <w:shd w:val="clear" w:color="auto" w:fill="auto"/>
            <w:tcMar>
              <w:top w:w="100" w:type="dxa"/>
              <w:left w:w="100" w:type="dxa"/>
              <w:bottom w:w="100" w:type="dxa"/>
              <w:right w:w="100" w:type="dxa"/>
            </w:tcMar>
          </w:tcPr>
          <w:p w:rsidR="00514DAE" w:rsidRDefault="00F26E9F">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45" w:type="dxa"/>
            <w:shd w:val="clear" w:color="auto" w:fill="auto"/>
            <w:tcMar>
              <w:top w:w="100" w:type="dxa"/>
              <w:left w:w="100" w:type="dxa"/>
              <w:bottom w:w="100" w:type="dxa"/>
              <w:right w:w="100" w:type="dxa"/>
            </w:tcMar>
          </w:tcPr>
          <w:p w:rsidR="00514DAE" w:rsidRDefault="00F26E9F">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514DAE">
        <w:tc>
          <w:tcPr>
            <w:tcW w:w="900" w:type="dxa"/>
            <w:shd w:val="clear" w:color="auto" w:fill="auto"/>
            <w:tcMar>
              <w:top w:w="100" w:type="dxa"/>
              <w:left w:w="100" w:type="dxa"/>
              <w:bottom w:w="100" w:type="dxa"/>
              <w:right w:w="100" w:type="dxa"/>
            </w:tcMar>
          </w:tcPr>
          <w:p w:rsidR="00514DAE" w:rsidRDefault="00514DAE" w:rsidP="0022641C">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514DAE">
        <w:tc>
          <w:tcPr>
            <w:tcW w:w="900" w:type="dxa"/>
            <w:shd w:val="clear" w:color="auto" w:fill="auto"/>
            <w:tcMar>
              <w:top w:w="100" w:type="dxa"/>
              <w:left w:w="100" w:type="dxa"/>
              <w:bottom w:w="100" w:type="dxa"/>
              <w:right w:w="100" w:type="dxa"/>
            </w:tcMar>
          </w:tcPr>
          <w:p w:rsidR="00514DAE" w:rsidRDefault="00514DAE">
            <w:pPr>
              <w:widowControl w:val="0"/>
              <w:numPr>
                <w:ilvl w:val="0"/>
                <w:numId w:val="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514DAE" w:rsidRDefault="00514DAE" w:rsidP="00F26E9F">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rsidR="00514DAE" w:rsidRDefault="00514DAE">
      <w:pPr>
        <w:rPr>
          <w:rFonts w:ascii="Google Sans" w:eastAsia="Google Sans" w:hAnsi="Google Sans" w:cs="Google Sans"/>
          <w:sz w:val="24"/>
          <w:szCs w:val="24"/>
        </w:rPr>
      </w:pPr>
    </w:p>
    <w:p w:rsidR="00514DAE" w:rsidRDefault="00514DAE">
      <w:pPr>
        <w:rPr>
          <w:rFonts w:ascii="Google Sans" w:eastAsia="Google Sans" w:hAnsi="Google Sans" w:cs="Google Sans"/>
          <w:sz w:val="24"/>
          <w:szCs w:val="24"/>
        </w:rPr>
      </w:pPr>
    </w:p>
    <w:p w:rsidR="00514DAE" w:rsidRDefault="00F26E9F">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514DAE">
        <w:tc>
          <w:tcPr>
            <w:tcW w:w="930" w:type="dxa"/>
            <w:shd w:val="clear" w:color="auto" w:fill="auto"/>
            <w:tcMar>
              <w:top w:w="100" w:type="dxa"/>
              <w:left w:w="100" w:type="dxa"/>
              <w:bottom w:w="100" w:type="dxa"/>
              <w:right w:w="100" w:type="dxa"/>
            </w:tcMar>
          </w:tcPr>
          <w:p w:rsidR="00514DAE" w:rsidRDefault="00F26E9F">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rsidR="00514DAE" w:rsidRDefault="00F26E9F">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14DAE">
        <w:tc>
          <w:tcPr>
            <w:tcW w:w="930" w:type="dxa"/>
            <w:shd w:val="clear" w:color="auto" w:fill="auto"/>
            <w:tcMar>
              <w:top w:w="100" w:type="dxa"/>
              <w:left w:w="100" w:type="dxa"/>
              <w:bottom w:w="100" w:type="dxa"/>
              <w:right w:w="100" w:type="dxa"/>
            </w:tcMar>
          </w:tcPr>
          <w:p w:rsidR="00514DAE" w:rsidRDefault="00514DAE">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514DAE">
        <w:tc>
          <w:tcPr>
            <w:tcW w:w="930" w:type="dxa"/>
            <w:shd w:val="clear" w:color="auto" w:fill="auto"/>
            <w:tcMar>
              <w:top w:w="100" w:type="dxa"/>
              <w:left w:w="100" w:type="dxa"/>
              <w:bottom w:w="100" w:type="dxa"/>
              <w:right w:w="100" w:type="dxa"/>
            </w:tcMar>
          </w:tcPr>
          <w:p w:rsidR="00514DAE" w:rsidRDefault="00514DAE" w:rsidP="00F26E9F">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514DAE">
        <w:tc>
          <w:tcPr>
            <w:tcW w:w="930" w:type="dxa"/>
            <w:shd w:val="clear" w:color="auto" w:fill="auto"/>
            <w:tcMar>
              <w:top w:w="100" w:type="dxa"/>
              <w:left w:w="100" w:type="dxa"/>
              <w:bottom w:w="100" w:type="dxa"/>
              <w:right w:w="100" w:type="dxa"/>
            </w:tcMar>
          </w:tcPr>
          <w:p w:rsidR="00514DAE" w:rsidRDefault="00514DAE">
            <w:pPr>
              <w:widowControl w:val="0"/>
              <w:numPr>
                <w:ilvl w:val="0"/>
                <w:numId w:val="1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rsidP="00F26E9F">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514DAE">
        <w:tc>
          <w:tcPr>
            <w:tcW w:w="930" w:type="dxa"/>
            <w:shd w:val="clear" w:color="auto" w:fill="auto"/>
            <w:tcMar>
              <w:top w:w="100" w:type="dxa"/>
              <w:left w:w="100" w:type="dxa"/>
              <w:bottom w:w="100" w:type="dxa"/>
              <w:right w:w="100" w:type="dxa"/>
            </w:tcMar>
          </w:tcPr>
          <w:p w:rsidR="00514DAE" w:rsidRDefault="00514DAE" w:rsidP="00F26E9F">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514DAE" w:rsidRDefault="00514DAE">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514DAE" w:rsidRDefault="00F26E9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rsidR="00514DAE" w:rsidRDefault="00514DAE">
      <w:pPr>
        <w:spacing w:after="200" w:line="360" w:lineRule="auto"/>
        <w:rPr>
          <w:rFonts w:ascii="Google Sans" w:eastAsia="Google Sans" w:hAnsi="Google Sans" w:cs="Google Sans"/>
          <w:sz w:val="24"/>
          <w:szCs w:val="24"/>
        </w:rPr>
      </w:pPr>
    </w:p>
    <w:p w:rsidR="00514DAE" w:rsidRDefault="008935B3">
      <w:pPr>
        <w:spacing w:after="200" w:line="360" w:lineRule="auto"/>
        <w:rPr>
          <w:rFonts w:ascii="Google Sans" w:eastAsia="Google Sans" w:hAnsi="Google Sans" w:cs="Google Sans"/>
          <w:sz w:val="24"/>
          <w:szCs w:val="24"/>
        </w:rPr>
      </w:pPr>
      <w:r>
        <w:pict>
          <v:rect id="_x0000_i1026" style="width:0;height:1.5pt" o:hralign="center" o:hrstd="t" o:hr="t" fillcolor="#a0a0a0" stroked="f"/>
        </w:pict>
      </w:r>
    </w:p>
    <w:p w:rsidR="00514DAE" w:rsidRDefault="00F26E9F">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rsidR="00514DAE" w:rsidRDefault="00F26E9F">
      <w:pPr>
        <w:spacing w:after="200" w:line="360" w:lineRule="auto"/>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rsidR="00514DAE" w:rsidRDefault="00514DAE"/>
    <w:p w:rsidR="008935B3" w:rsidRDefault="008935B3" w:rsidP="008935B3">
      <w:r>
        <w:t xml:space="preserve">Cybersecurity Assessment Summary: </w:t>
      </w:r>
      <w:proofErr w:type="spellStart"/>
      <w:r>
        <w:t>Botium</w:t>
      </w:r>
      <w:proofErr w:type="spellEnd"/>
      <w:r>
        <w:t xml:space="preserve"> Toys</w:t>
      </w:r>
    </w:p>
    <w:p w:rsidR="008935B3" w:rsidRDefault="008935B3" w:rsidP="008935B3"/>
    <w:p w:rsidR="008935B3" w:rsidRDefault="008935B3" w:rsidP="008935B3">
      <w:r>
        <w:t xml:space="preserve">When evaluating </w:t>
      </w:r>
      <w:proofErr w:type="spellStart"/>
      <w:r>
        <w:t>Botium</w:t>
      </w:r>
      <w:proofErr w:type="spellEnd"/>
      <w:r>
        <w:t xml:space="preserve"> Toys' present security posture, I found a number of areas where the business is vulnerable and should enhance its controls to help to safeguard its data and reputation.</w:t>
      </w:r>
    </w:p>
    <w:p w:rsidR="008935B3" w:rsidRDefault="008935B3" w:rsidP="008935B3"/>
    <w:p w:rsidR="008935B3" w:rsidRDefault="008935B3" w:rsidP="008935B3">
      <w:r>
        <w:t>1. Access Controls</w:t>
      </w:r>
    </w:p>
    <w:p w:rsidR="008935B3" w:rsidRDefault="008935B3" w:rsidP="008935B3">
      <w:r>
        <w:t>The company does not now apply least privilege or separation of duties. Employees can thus access more data than they require, including private client information. This generates unneeded risk. When the same person approves and plans purchases, it becomes another issue since this kind of overlap might result in fraud or basic errors. These positions must be clearly separated, and access should be limited depending on employment duties.</w:t>
      </w:r>
    </w:p>
    <w:p w:rsidR="008935B3" w:rsidRDefault="008935B3" w:rsidP="008935B3"/>
    <w:p w:rsidR="008935B3" w:rsidRDefault="008935B3" w:rsidP="008935B3">
      <w:pPr>
        <w:spacing w:line="240" w:lineRule="auto"/>
        <w:rPr>
          <w:rFonts w:ascii="Times New Roman" w:eastAsia="Times New Roman" w:hAnsi="Times New Roman" w:cs="Times New Roman"/>
          <w:sz w:val="24"/>
          <w:szCs w:val="24"/>
          <w:lang w:val="en-US"/>
        </w:rPr>
      </w:pPr>
      <w:r w:rsidRPr="008935B3">
        <w:rPr>
          <w:rFonts w:ascii="Times New Roman" w:eastAsia="Times New Roman" w:hAnsi="Times New Roman" w:cs="Times New Roman"/>
          <w:sz w:val="24"/>
          <w:szCs w:val="24"/>
          <w:lang w:val="en-US"/>
        </w:rPr>
        <w:t>2. Backup and Disaster Recovery</w:t>
      </w:r>
      <w:r w:rsidRPr="008935B3">
        <w:rPr>
          <w:rFonts w:ascii="Times New Roman" w:eastAsia="Times New Roman" w:hAnsi="Times New Roman" w:cs="Times New Roman"/>
          <w:sz w:val="24"/>
          <w:szCs w:val="24"/>
          <w:lang w:val="en-US"/>
        </w:rPr>
        <w:br/>
      </w:r>
      <w:proofErr w:type="spellStart"/>
      <w:r w:rsidRPr="008935B3">
        <w:rPr>
          <w:rFonts w:ascii="Times New Roman" w:eastAsia="Times New Roman" w:hAnsi="Times New Roman" w:cs="Times New Roman"/>
          <w:sz w:val="24"/>
          <w:szCs w:val="24"/>
          <w:lang w:val="en-US"/>
        </w:rPr>
        <w:t>Botium</w:t>
      </w:r>
      <w:proofErr w:type="spellEnd"/>
      <w:r w:rsidRPr="008935B3">
        <w:rPr>
          <w:rFonts w:ascii="Times New Roman" w:eastAsia="Times New Roman" w:hAnsi="Times New Roman" w:cs="Times New Roman"/>
          <w:sz w:val="24"/>
          <w:szCs w:val="24"/>
          <w:lang w:val="en-US"/>
        </w:rPr>
        <w:t xml:space="preserve"> Toys lacks any backup system or disaster recovery strategy. Should something happen to the primary systems—that of a cyberattack, hardware failure, or natural disaster—the business would not be able to restore data or carry on with business. Business continuity depends on a good disaster recovery strategy along with routine backups.</w:t>
      </w:r>
      <w:r w:rsidRPr="008935B3">
        <w:rPr>
          <w:rFonts w:ascii="Times New Roman" w:eastAsia="Times New Roman" w:hAnsi="Times New Roman" w:cs="Times New Roman"/>
          <w:sz w:val="24"/>
          <w:szCs w:val="24"/>
          <w:lang w:val="en-US"/>
        </w:rPr>
        <w:br/>
      </w:r>
      <w:r w:rsidRPr="008935B3">
        <w:rPr>
          <w:rFonts w:ascii="Times New Roman" w:eastAsia="Times New Roman" w:hAnsi="Times New Roman" w:cs="Times New Roman"/>
          <w:sz w:val="24"/>
          <w:szCs w:val="24"/>
          <w:lang w:val="en-US"/>
        </w:rPr>
        <w:br/>
        <w:t>3. Management and Policy of Passwords</w:t>
      </w:r>
      <w:r w:rsidRPr="008935B3">
        <w:rPr>
          <w:rFonts w:ascii="Times New Roman" w:eastAsia="Times New Roman" w:hAnsi="Times New Roman" w:cs="Times New Roman"/>
          <w:sz w:val="24"/>
          <w:szCs w:val="24"/>
          <w:lang w:val="en-US"/>
        </w:rPr>
        <w:br/>
      </w:r>
      <w:proofErr w:type="gramStart"/>
      <w:r w:rsidRPr="008935B3">
        <w:rPr>
          <w:rFonts w:ascii="Times New Roman" w:eastAsia="Times New Roman" w:hAnsi="Times New Roman" w:cs="Times New Roman"/>
          <w:sz w:val="24"/>
          <w:szCs w:val="24"/>
          <w:lang w:val="en-US"/>
        </w:rPr>
        <w:t>Though</w:t>
      </w:r>
      <w:proofErr w:type="gramEnd"/>
      <w:r w:rsidRPr="008935B3">
        <w:rPr>
          <w:rFonts w:ascii="Times New Roman" w:eastAsia="Times New Roman" w:hAnsi="Times New Roman" w:cs="Times New Roman"/>
          <w:sz w:val="24"/>
          <w:szCs w:val="24"/>
          <w:lang w:val="en-US"/>
        </w:rPr>
        <w:t xml:space="preserve"> there is a password policy, it does not satisfy current guidelines for complexity and application. Apart from that, the absence of a password management system complicates matters </w:t>
      </w:r>
      <w:r w:rsidRPr="008935B3">
        <w:rPr>
          <w:rFonts w:ascii="Times New Roman" w:eastAsia="Times New Roman" w:hAnsi="Times New Roman" w:cs="Times New Roman"/>
          <w:sz w:val="24"/>
          <w:szCs w:val="24"/>
          <w:lang w:val="en-US"/>
        </w:rPr>
        <w:lastRenderedPageBreak/>
        <w:t>for staff members including IT professionals. Enhancing security and efficiency would come from strengthening the policy and applying a centralized tool for password management.</w:t>
      </w:r>
    </w:p>
    <w:p w:rsidR="008935B3" w:rsidRDefault="008935B3" w:rsidP="008935B3">
      <w:pPr>
        <w:spacing w:line="240" w:lineRule="auto"/>
        <w:rPr>
          <w:rFonts w:ascii="Times New Roman" w:eastAsia="Times New Roman" w:hAnsi="Times New Roman" w:cs="Times New Roman"/>
          <w:sz w:val="24"/>
          <w:szCs w:val="24"/>
          <w:lang w:val="en-US"/>
        </w:rPr>
      </w:pPr>
    </w:p>
    <w:p w:rsidR="008935B3" w:rsidRPr="008935B3" w:rsidRDefault="008935B3" w:rsidP="008935B3">
      <w:pPr>
        <w:spacing w:line="240" w:lineRule="auto"/>
        <w:rPr>
          <w:rFonts w:ascii="Times New Roman" w:eastAsia="Times New Roman" w:hAnsi="Times New Roman" w:cs="Times New Roman"/>
          <w:sz w:val="24"/>
          <w:szCs w:val="24"/>
          <w:lang w:val="en-US"/>
        </w:rPr>
      </w:pPr>
      <w:r w:rsidRPr="008935B3">
        <w:rPr>
          <w:rFonts w:ascii="Times New Roman" w:eastAsia="Times New Roman" w:hAnsi="Times New Roman" w:cs="Times New Roman"/>
          <w:sz w:val="24"/>
          <w:szCs w:val="24"/>
          <w:lang w:val="en-US"/>
        </w:rPr>
        <w:t>4. The Intrusion Detection System (IDS)</w:t>
      </w:r>
    </w:p>
    <w:p w:rsidR="008935B3" w:rsidRPr="008935B3" w:rsidRDefault="008935B3" w:rsidP="008935B3">
      <w:pPr>
        <w:spacing w:line="240" w:lineRule="auto"/>
        <w:rPr>
          <w:rFonts w:ascii="Times New Roman" w:eastAsia="Times New Roman" w:hAnsi="Times New Roman" w:cs="Times New Roman"/>
          <w:sz w:val="24"/>
          <w:szCs w:val="24"/>
          <w:lang w:val="en-US"/>
        </w:rPr>
      </w:pPr>
      <w:r w:rsidRPr="008935B3">
        <w:rPr>
          <w:rFonts w:ascii="Times New Roman" w:eastAsia="Times New Roman" w:hAnsi="Times New Roman" w:cs="Times New Roman"/>
          <w:sz w:val="24"/>
          <w:szCs w:val="24"/>
          <w:lang w:val="en-US"/>
        </w:rPr>
        <w:t>At the moment, no IDS is in operation. The business cannot identify illegal activity on its network in real time without it. This implies that a cyberattack might go undetected until it's too late. To swiftly detect and address threats, an intrusion detection system is essential.</w:t>
      </w:r>
    </w:p>
    <w:p w:rsidR="008935B3" w:rsidRPr="008935B3" w:rsidRDefault="008935B3" w:rsidP="008935B3">
      <w:pPr>
        <w:spacing w:line="240" w:lineRule="auto"/>
        <w:rPr>
          <w:rFonts w:ascii="Times New Roman" w:eastAsia="Times New Roman" w:hAnsi="Times New Roman" w:cs="Times New Roman"/>
          <w:sz w:val="24"/>
          <w:szCs w:val="24"/>
          <w:lang w:val="en-US"/>
        </w:rPr>
      </w:pPr>
    </w:p>
    <w:p w:rsidR="008935B3" w:rsidRPr="008935B3" w:rsidRDefault="008935B3" w:rsidP="008935B3">
      <w:pPr>
        <w:spacing w:line="240" w:lineRule="auto"/>
        <w:rPr>
          <w:rFonts w:ascii="Times New Roman" w:eastAsia="Times New Roman" w:hAnsi="Times New Roman" w:cs="Times New Roman"/>
          <w:sz w:val="24"/>
          <w:szCs w:val="24"/>
          <w:lang w:val="en-US"/>
        </w:rPr>
      </w:pPr>
      <w:r w:rsidRPr="008935B3">
        <w:rPr>
          <w:rFonts w:ascii="Times New Roman" w:eastAsia="Times New Roman" w:hAnsi="Times New Roman" w:cs="Times New Roman"/>
          <w:sz w:val="24"/>
          <w:szCs w:val="24"/>
          <w:lang w:val="en-US"/>
        </w:rPr>
        <w:t>5. Maintenance for Legacy Systems</w:t>
      </w:r>
    </w:p>
    <w:p w:rsidR="008935B3" w:rsidRDefault="008935B3" w:rsidP="008935B3">
      <w:pPr>
        <w:spacing w:line="240" w:lineRule="auto"/>
        <w:rPr>
          <w:rFonts w:ascii="Times New Roman" w:eastAsia="Times New Roman" w:hAnsi="Times New Roman" w:cs="Times New Roman"/>
          <w:sz w:val="24"/>
          <w:szCs w:val="24"/>
          <w:lang w:val="en-US"/>
        </w:rPr>
      </w:pPr>
      <w:r w:rsidRPr="008935B3">
        <w:rPr>
          <w:rFonts w:ascii="Times New Roman" w:eastAsia="Times New Roman" w:hAnsi="Times New Roman" w:cs="Times New Roman"/>
          <w:sz w:val="24"/>
          <w:szCs w:val="24"/>
          <w:lang w:val="en-US"/>
        </w:rPr>
        <w:t>There are still some older systems that need to be manually monitored. There is no set routine or explicit procedure for maintaining them while they are being observed. Without a clear process, the risk is higher than it should be because legacy systems are frequently more susceptible to attack.</w:t>
      </w:r>
    </w:p>
    <w:p w:rsidR="008935B3" w:rsidRDefault="008935B3" w:rsidP="008935B3">
      <w:pPr>
        <w:spacing w:line="240" w:lineRule="auto"/>
        <w:rPr>
          <w:rFonts w:ascii="Times New Roman" w:eastAsia="Times New Roman" w:hAnsi="Times New Roman" w:cs="Times New Roman"/>
          <w:sz w:val="24"/>
          <w:szCs w:val="24"/>
          <w:lang w:val="en-US"/>
        </w:rPr>
      </w:pPr>
    </w:p>
    <w:p w:rsidR="008935B3" w:rsidRPr="008935B3" w:rsidRDefault="008935B3" w:rsidP="008935B3">
      <w:pPr>
        <w:spacing w:line="240" w:lineRule="auto"/>
        <w:rPr>
          <w:rFonts w:ascii="Times New Roman" w:eastAsia="Times New Roman" w:hAnsi="Times New Roman" w:cs="Times New Roman"/>
          <w:sz w:val="24"/>
          <w:szCs w:val="24"/>
          <w:lang w:val="en-US"/>
        </w:rPr>
      </w:pPr>
      <w:r w:rsidRPr="008935B3">
        <w:rPr>
          <w:rFonts w:ascii="Times New Roman" w:eastAsia="Times New Roman" w:hAnsi="Times New Roman" w:cs="Times New Roman"/>
          <w:sz w:val="24"/>
          <w:szCs w:val="24"/>
          <w:lang w:val="en-US"/>
        </w:rPr>
        <w:t>6. The encryption of data</w:t>
      </w:r>
      <w:r w:rsidRPr="008935B3">
        <w:rPr>
          <w:rFonts w:ascii="Times New Roman" w:eastAsia="Times New Roman" w:hAnsi="Times New Roman" w:cs="Times New Roman"/>
          <w:sz w:val="24"/>
          <w:szCs w:val="24"/>
          <w:lang w:val="en-US"/>
        </w:rPr>
        <w:br/>
      </w:r>
      <w:proofErr w:type="gramStart"/>
      <w:r w:rsidRPr="008935B3">
        <w:rPr>
          <w:rFonts w:ascii="Times New Roman" w:eastAsia="Times New Roman" w:hAnsi="Times New Roman" w:cs="Times New Roman"/>
          <w:sz w:val="24"/>
          <w:szCs w:val="24"/>
          <w:lang w:val="en-US"/>
        </w:rPr>
        <w:t>A</w:t>
      </w:r>
      <w:proofErr w:type="gramEnd"/>
      <w:r w:rsidRPr="008935B3">
        <w:rPr>
          <w:rFonts w:ascii="Times New Roman" w:eastAsia="Times New Roman" w:hAnsi="Times New Roman" w:cs="Times New Roman"/>
          <w:sz w:val="24"/>
          <w:szCs w:val="24"/>
          <w:lang w:val="en-US"/>
        </w:rPr>
        <w:t xml:space="preserve"> major problem is that customer credit card information and personal data are not currently encrypted. There could be serious financial and reputational consequences if this data were compromised. One of the best methods for protecting sensitive information is encryption, which ought to be put into place right away.</w:t>
      </w:r>
      <w:r w:rsidRPr="008935B3">
        <w:rPr>
          <w:rFonts w:ascii="Times New Roman" w:eastAsia="Times New Roman" w:hAnsi="Times New Roman" w:cs="Times New Roman"/>
          <w:sz w:val="24"/>
          <w:szCs w:val="24"/>
          <w:lang w:val="en-US"/>
        </w:rPr>
        <w:br/>
      </w:r>
      <w:r w:rsidRPr="008935B3">
        <w:rPr>
          <w:rFonts w:ascii="Times New Roman" w:eastAsia="Times New Roman" w:hAnsi="Times New Roman" w:cs="Times New Roman"/>
          <w:sz w:val="24"/>
          <w:szCs w:val="24"/>
          <w:lang w:val="en-US"/>
        </w:rPr>
        <w:br/>
        <w:t>7. Problems with Compliance</w:t>
      </w:r>
      <w:r w:rsidRPr="008935B3">
        <w:rPr>
          <w:rFonts w:ascii="Times New Roman" w:eastAsia="Times New Roman" w:hAnsi="Times New Roman" w:cs="Times New Roman"/>
          <w:sz w:val="24"/>
          <w:szCs w:val="24"/>
          <w:lang w:val="en-US"/>
        </w:rPr>
        <w:br/>
      </w:r>
      <w:r w:rsidRPr="008935B3">
        <w:rPr>
          <w:rFonts w:ascii="Times New Roman" w:eastAsia="Times New Roman" w:hAnsi="Times New Roman" w:cs="Times New Roman"/>
          <w:sz w:val="24"/>
          <w:szCs w:val="24"/>
          <w:lang w:val="en-US"/>
        </w:rPr>
        <w:br/>
        <w:t>PCI DSS: The business jeopardizes customer trust by failing to comply with a number of essential standards for securely handling credit card data.</w:t>
      </w:r>
      <w:r w:rsidRPr="008935B3">
        <w:rPr>
          <w:rFonts w:ascii="Times New Roman" w:eastAsia="Times New Roman" w:hAnsi="Times New Roman" w:cs="Times New Roman"/>
          <w:sz w:val="24"/>
          <w:szCs w:val="24"/>
          <w:lang w:val="en-US"/>
        </w:rPr>
        <w:br/>
      </w:r>
      <w:r w:rsidRPr="008935B3">
        <w:rPr>
          <w:rFonts w:ascii="Times New Roman" w:eastAsia="Times New Roman" w:hAnsi="Times New Roman" w:cs="Times New Roman"/>
          <w:sz w:val="24"/>
          <w:szCs w:val="24"/>
          <w:lang w:val="en-US"/>
        </w:rPr>
        <w:br/>
        <w:t>GDPR: Unauthorized access to data is possible due to improper classification and security, particularly for customers in the European Union.</w:t>
      </w:r>
    </w:p>
    <w:p w:rsidR="008935B3" w:rsidRDefault="008935B3" w:rsidP="008935B3">
      <w:pPr>
        <w:spacing w:line="240" w:lineRule="auto"/>
        <w:rPr>
          <w:rFonts w:ascii="Times New Roman" w:eastAsia="Times New Roman" w:hAnsi="Times New Roman" w:cs="Times New Roman"/>
          <w:sz w:val="24"/>
          <w:szCs w:val="24"/>
          <w:lang w:val="en-US"/>
        </w:rPr>
      </w:pPr>
    </w:p>
    <w:p w:rsidR="008935B3" w:rsidRPr="008935B3" w:rsidRDefault="008935B3" w:rsidP="008935B3">
      <w:pPr>
        <w:spacing w:line="240" w:lineRule="auto"/>
        <w:rPr>
          <w:rFonts w:ascii="Times New Roman" w:eastAsia="Times New Roman" w:hAnsi="Times New Roman" w:cs="Times New Roman"/>
          <w:sz w:val="24"/>
          <w:szCs w:val="24"/>
          <w:lang w:val="en-US"/>
        </w:rPr>
      </w:pPr>
      <w:r w:rsidRPr="008935B3">
        <w:rPr>
          <w:rFonts w:ascii="Times New Roman" w:eastAsia="Times New Roman" w:hAnsi="Times New Roman" w:cs="Times New Roman"/>
          <w:sz w:val="24"/>
          <w:szCs w:val="24"/>
          <w:lang w:val="en-US"/>
        </w:rPr>
        <w:t>SOC 1 &amp; SOC 2: If the business wishes to increase operations or gain the trust of customers, it may encounter difficulties because its policies regarding user access, data privacy, and availability are insufficiently robust to satisfy the requirements of these frameworks.</w:t>
      </w:r>
      <w:r w:rsidRPr="008935B3">
        <w:rPr>
          <w:rFonts w:ascii="Times New Roman" w:eastAsia="Times New Roman" w:hAnsi="Times New Roman" w:cs="Times New Roman"/>
          <w:sz w:val="24"/>
          <w:szCs w:val="24"/>
          <w:lang w:val="en-US"/>
        </w:rPr>
        <w:br/>
      </w:r>
      <w:r w:rsidRPr="008935B3">
        <w:rPr>
          <w:rFonts w:ascii="Times New Roman" w:eastAsia="Times New Roman" w:hAnsi="Times New Roman" w:cs="Times New Roman"/>
          <w:sz w:val="24"/>
          <w:szCs w:val="24"/>
          <w:lang w:val="en-US"/>
        </w:rPr>
        <w:br/>
        <w:t>Concluding remarks</w:t>
      </w:r>
      <w:r w:rsidRPr="008935B3">
        <w:rPr>
          <w:rFonts w:ascii="Times New Roman" w:eastAsia="Times New Roman" w:hAnsi="Times New Roman" w:cs="Times New Roman"/>
          <w:sz w:val="24"/>
          <w:szCs w:val="24"/>
          <w:lang w:val="en-US"/>
        </w:rPr>
        <w:br/>
        <w:t xml:space="preserve">Although </w:t>
      </w:r>
      <w:proofErr w:type="spellStart"/>
      <w:r w:rsidRPr="008935B3">
        <w:rPr>
          <w:rFonts w:ascii="Times New Roman" w:eastAsia="Times New Roman" w:hAnsi="Times New Roman" w:cs="Times New Roman"/>
          <w:sz w:val="24"/>
          <w:szCs w:val="24"/>
          <w:lang w:val="en-US"/>
        </w:rPr>
        <w:t>Botium</w:t>
      </w:r>
      <w:proofErr w:type="spellEnd"/>
      <w:r w:rsidRPr="008935B3">
        <w:rPr>
          <w:rFonts w:ascii="Times New Roman" w:eastAsia="Times New Roman" w:hAnsi="Times New Roman" w:cs="Times New Roman"/>
          <w:sz w:val="24"/>
          <w:szCs w:val="24"/>
          <w:lang w:val="en-US"/>
        </w:rPr>
        <w:t xml:space="preserve"> Toys has some basic security measures in place, there are a number of high-risk vulnerabilities that require quick fix. The business can greatly lower its risk exposure and better safeguard its clients and operations by strengthening access controls, formalizing disaster recovery and backup plans, enforcing stronger password practices, and fixing compliance issues.</w:t>
      </w:r>
    </w:p>
    <w:p w:rsidR="008935B3" w:rsidRPr="008935B3" w:rsidRDefault="008935B3" w:rsidP="008935B3">
      <w:pPr>
        <w:spacing w:line="240" w:lineRule="auto"/>
        <w:rPr>
          <w:rFonts w:ascii="Times New Roman" w:eastAsia="Times New Roman" w:hAnsi="Times New Roman" w:cs="Times New Roman"/>
          <w:sz w:val="24"/>
          <w:szCs w:val="24"/>
          <w:lang w:val="en-US"/>
        </w:rPr>
      </w:pPr>
      <w:bookmarkStart w:id="1" w:name="_GoBack"/>
      <w:bookmarkEnd w:id="1"/>
    </w:p>
    <w:p w:rsidR="008935B3" w:rsidRPr="008935B3" w:rsidRDefault="008935B3" w:rsidP="008935B3">
      <w:pPr>
        <w:rPr>
          <w:lang w:val="en-US"/>
        </w:rPr>
      </w:pPr>
    </w:p>
    <w:sectPr w:rsidR="008935B3" w:rsidRPr="008935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81B"/>
    <w:multiLevelType w:val="multilevel"/>
    <w:tmpl w:val="BA60A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E64E2"/>
    <w:multiLevelType w:val="multilevel"/>
    <w:tmpl w:val="1250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55CFA"/>
    <w:multiLevelType w:val="multilevel"/>
    <w:tmpl w:val="6B58A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B174C8"/>
    <w:multiLevelType w:val="multilevel"/>
    <w:tmpl w:val="F384B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2A2F68"/>
    <w:multiLevelType w:val="multilevel"/>
    <w:tmpl w:val="C420A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6E4E59"/>
    <w:multiLevelType w:val="multilevel"/>
    <w:tmpl w:val="06007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BC2357"/>
    <w:multiLevelType w:val="multilevel"/>
    <w:tmpl w:val="EA78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9F7349"/>
    <w:multiLevelType w:val="multilevel"/>
    <w:tmpl w:val="FD646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A876FC"/>
    <w:multiLevelType w:val="multilevel"/>
    <w:tmpl w:val="07D24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AF40B4"/>
    <w:multiLevelType w:val="multilevel"/>
    <w:tmpl w:val="D0AE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7F0D6B"/>
    <w:multiLevelType w:val="multilevel"/>
    <w:tmpl w:val="DCFEB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7A1759"/>
    <w:multiLevelType w:val="multilevel"/>
    <w:tmpl w:val="EA88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664FCA"/>
    <w:multiLevelType w:val="multilevel"/>
    <w:tmpl w:val="6C22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953EEC"/>
    <w:multiLevelType w:val="multilevel"/>
    <w:tmpl w:val="437EC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FC6BA3"/>
    <w:multiLevelType w:val="multilevel"/>
    <w:tmpl w:val="5A88B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6F50BA"/>
    <w:multiLevelType w:val="multilevel"/>
    <w:tmpl w:val="6D6C4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FC314F"/>
    <w:multiLevelType w:val="multilevel"/>
    <w:tmpl w:val="AD52B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BA0673"/>
    <w:multiLevelType w:val="multilevel"/>
    <w:tmpl w:val="3BA47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2614B3"/>
    <w:multiLevelType w:val="multilevel"/>
    <w:tmpl w:val="901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7D5DEF"/>
    <w:multiLevelType w:val="multilevel"/>
    <w:tmpl w:val="CD7C9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6"/>
  </w:num>
  <w:num w:numId="3">
    <w:abstractNumId w:val="13"/>
  </w:num>
  <w:num w:numId="4">
    <w:abstractNumId w:val="4"/>
  </w:num>
  <w:num w:numId="5">
    <w:abstractNumId w:val="1"/>
  </w:num>
  <w:num w:numId="6">
    <w:abstractNumId w:val="2"/>
  </w:num>
  <w:num w:numId="7">
    <w:abstractNumId w:val="7"/>
  </w:num>
  <w:num w:numId="8">
    <w:abstractNumId w:val="19"/>
  </w:num>
  <w:num w:numId="9">
    <w:abstractNumId w:val="12"/>
  </w:num>
  <w:num w:numId="10">
    <w:abstractNumId w:val="3"/>
  </w:num>
  <w:num w:numId="11">
    <w:abstractNumId w:val="15"/>
  </w:num>
  <w:num w:numId="12">
    <w:abstractNumId w:val="6"/>
  </w:num>
  <w:num w:numId="13">
    <w:abstractNumId w:val="8"/>
  </w:num>
  <w:num w:numId="14">
    <w:abstractNumId w:val="10"/>
  </w:num>
  <w:num w:numId="15">
    <w:abstractNumId w:val="17"/>
  </w:num>
  <w:num w:numId="16">
    <w:abstractNumId w:val="9"/>
  </w:num>
  <w:num w:numId="17">
    <w:abstractNumId w:val="0"/>
  </w:num>
  <w:num w:numId="18">
    <w:abstractNumId w:val="11"/>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AE"/>
    <w:rsid w:val="0022641C"/>
    <w:rsid w:val="00514DAE"/>
    <w:rsid w:val="006403A5"/>
    <w:rsid w:val="008935B3"/>
    <w:rsid w:val="00F26E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3831"/>
  <w15:docId w15:val="{D46B1014-BBE4-441A-A7C0-B0C23D87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68861">
      <w:bodyDiv w:val="1"/>
      <w:marLeft w:val="0"/>
      <w:marRight w:val="0"/>
      <w:marTop w:val="0"/>
      <w:marBottom w:val="0"/>
      <w:divBdr>
        <w:top w:val="none" w:sz="0" w:space="0" w:color="auto"/>
        <w:left w:val="none" w:sz="0" w:space="0" w:color="auto"/>
        <w:bottom w:val="none" w:sz="0" w:space="0" w:color="auto"/>
        <w:right w:val="none" w:sz="0" w:space="0" w:color="auto"/>
      </w:divBdr>
    </w:div>
    <w:div w:id="1013454689">
      <w:bodyDiv w:val="1"/>
      <w:marLeft w:val="0"/>
      <w:marRight w:val="0"/>
      <w:marTop w:val="0"/>
      <w:marBottom w:val="0"/>
      <w:divBdr>
        <w:top w:val="none" w:sz="0" w:space="0" w:color="auto"/>
        <w:left w:val="none" w:sz="0" w:space="0" w:color="auto"/>
        <w:bottom w:val="none" w:sz="0" w:space="0" w:color="auto"/>
        <w:right w:val="none" w:sz="0" w:space="0" w:color="auto"/>
      </w:divBdr>
    </w:div>
    <w:div w:id="196780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ettings" Target="settings.xml"/><Relationship Id="rId7" Type="http://schemas.openxmlformats.org/officeDocument/2006/relationships/hyperlink" Target="https://docs.google.com/document/d/1s2u_RuhRAI40JSh-eZHvaFsV1ZMxcNSWXifHDTOsgFc/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5" Type="http://schemas.openxmlformats.org/officeDocument/2006/relationships/hyperlink" Target="https://docs.google.com/document/d/1s2u_RuhRAI40JSh-eZHvaFsV1ZMxcNSWXifHDTOsgFc/template/p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cp:lastModifiedBy>
  <cp:revision>3</cp:revision>
  <dcterms:created xsi:type="dcterms:W3CDTF">2025-06-03T14:45:00Z</dcterms:created>
  <dcterms:modified xsi:type="dcterms:W3CDTF">2025-06-03T15:26:00Z</dcterms:modified>
</cp:coreProperties>
</file>