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034F21E7" w:rsidR="00D929EE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4B2ECC56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>
        <w:rPr>
          <w:b/>
          <w:u w:val="single"/>
        </w:rPr>
        <w:t>SHOAIB AHMED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DC78E6">
        <w:rPr>
          <w:b/>
          <w:u w:val="single"/>
        </w:rPr>
        <w:t>09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3723"/>
        <w:gridCol w:w="687"/>
        <w:gridCol w:w="3453"/>
      </w:tblGrid>
      <w:tr w:rsidR="001B4583" w14:paraId="39741693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65F91F28" w:rsidR="001B4583" w:rsidRDefault="008200B0" w:rsidP="00C3110C">
            <w:pPr>
              <w:rPr>
                <w:rFonts w:ascii="Arial" w:hAnsi="Arial" w:cs="Arial"/>
                <w:sz w:val="20"/>
              </w:rPr>
            </w:pPr>
            <w:r w:rsidRPr="008200B0">
              <w:rPr>
                <w:rFonts w:ascii="Arial" w:hAnsi="Arial" w:cs="Arial"/>
                <w:sz w:val="20"/>
              </w:rPr>
              <w:t>FIT KIT PART</w:t>
            </w:r>
          </w:p>
        </w:tc>
        <w:tc>
          <w:tcPr>
            <w:tcW w:w="345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4102EE69" w:rsidR="001B4583" w:rsidRDefault="008200B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FKP</w:t>
            </w:r>
            <w:r w:rsidR="00803BBD">
              <w:rPr>
                <w:rFonts w:ascii="Arial" w:hAnsi="Arial" w:cs="Arial"/>
                <w:sz w:val="20"/>
              </w:rPr>
              <w:t>-</w:t>
            </w:r>
            <w:r w:rsidR="00DE40F0">
              <w:rPr>
                <w:rFonts w:ascii="Arial" w:hAnsi="Arial" w:cs="Arial"/>
                <w:sz w:val="20"/>
              </w:rPr>
              <w:t>00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77777777" w:rsidR="001B4583" w:rsidRDefault="001B4583" w:rsidP="00C3110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6212D7">
        <w:trPr>
          <w:trHeight w:val="12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7777777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7CAC0C53" w:rsidR="001B4583" w:rsidRDefault="00803BBD" w:rsidP="00C3110C">
            <w:p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7A18463C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135FEE09" w:rsidR="001B4583" w:rsidRDefault="00803BBD" w:rsidP="00C3110C">
            <w:p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49F6BE15" w14:textId="77777777" w:rsidTr="00803BBD">
        <w:trPr>
          <w:trHeight w:val="62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B95F83" w14:textId="77777777" w:rsidR="00396698" w:rsidRDefault="00E35D9C" w:rsidP="00803BB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39CB5E8B" w14:textId="6243AEF0" w:rsidR="00B8485B" w:rsidRPr="00803BBD" w:rsidRDefault="00B8485B" w:rsidP="00803BB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553B850F" w14:textId="77777777" w:rsidTr="006212D7">
        <w:trPr>
          <w:trHeight w:val="53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C3110C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1B4583" w14:paraId="7F0EB6C4" w14:textId="77777777" w:rsidTr="00803BBD">
        <w:trPr>
          <w:trHeight w:val="62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798BEEF7" w:rsidR="001B4583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 the customer arrives at the shop</w:t>
            </w:r>
            <w:r>
              <w:rPr>
                <w:sz w:val="22"/>
              </w:rPr>
              <w:t xml:space="preserve"> </w:t>
            </w:r>
            <w:r w:rsidR="00803BBD">
              <w:rPr>
                <w:sz w:val="22"/>
              </w:rPr>
              <w:t xml:space="preserve">ask the </w:t>
            </w:r>
            <w:r w:rsidR="008200B0">
              <w:rPr>
                <w:sz w:val="22"/>
              </w:rPr>
              <w:t>kit fitting in his vehicle the</w:t>
            </w:r>
            <w:r w:rsidR="00803BBD">
              <w:rPr>
                <w:sz w:val="22"/>
              </w:rPr>
              <w:t xml:space="preserve"> owner call the service employee to </w:t>
            </w:r>
            <w:r w:rsidR="008200B0">
              <w:rPr>
                <w:sz w:val="22"/>
              </w:rPr>
              <w:t>install the CNG kit part in the vehicle.</w:t>
            </w:r>
          </w:p>
        </w:tc>
      </w:tr>
      <w:tr w:rsidR="001B4583" w14:paraId="45EBB96B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0BAA757C" w:rsidR="001B4583" w:rsidRDefault="0079228F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customer </w:t>
            </w:r>
            <w:r w:rsidR="00803BBD">
              <w:rPr>
                <w:sz w:val="20"/>
              </w:rPr>
              <w:t xml:space="preserve">needs </w:t>
            </w:r>
            <w:r w:rsidR="008200B0">
              <w:rPr>
                <w:sz w:val="20"/>
              </w:rPr>
              <w:t>CNG kit fitting</w:t>
            </w:r>
            <w:r w:rsidR="00803BBD">
              <w:rPr>
                <w:sz w:val="20"/>
              </w:rPr>
              <w:t>.</w:t>
            </w:r>
          </w:p>
        </w:tc>
      </w:tr>
      <w:tr w:rsidR="001B4583" w14:paraId="5B53A153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6F899F4C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is initiated when customer </w:t>
            </w:r>
            <w:r w:rsidR="008200B0">
              <w:rPr>
                <w:sz w:val="20"/>
              </w:rPr>
              <w:t>vehicles</w:t>
            </w:r>
            <w:r w:rsidR="00803BBD">
              <w:rPr>
                <w:sz w:val="20"/>
              </w:rPr>
              <w:t xml:space="preserve"> have </w:t>
            </w:r>
            <w:r w:rsidR="008200B0">
              <w:rPr>
                <w:sz w:val="20"/>
              </w:rPr>
              <w:t xml:space="preserve">CNG kit problem </w:t>
            </w:r>
            <w:r w:rsidR="00803BBD">
              <w:rPr>
                <w:sz w:val="20"/>
              </w:rPr>
              <w:t>and required to be repairing</w:t>
            </w:r>
            <w:r w:rsidR="008200B0">
              <w:rPr>
                <w:sz w:val="20"/>
              </w:rPr>
              <w:t xml:space="preserve"> &amp; fitting.</w:t>
            </w:r>
          </w:p>
        </w:tc>
      </w:tr>
      <w:tr w:rsidR="001B4583" w14:paraId="5AC2364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6212D7"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6720F141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E35D9C">
              <w:rPr>
                <w:b/>
                <w:sz w:val="20"/>
              </w:rPr>
              <w:t>1</w:t>
            </w:r>
            <w:r w:rsidR="00E35D9C">
              <w:rPr>
                <w:sz w:val="20"/>
              </w:rPr>
              <w:t xml:space="preserve">: </w:t>
            </w:r>
            <w:r w:rsidR="00B8485B">
              <w:rPr>
                <w:sz w:val="20"/>
              </w:rPr>
              <w:t xml:space="preserve">The service employee </w:t>
            </w:r>
            <w:r w:rsidR="008200B0">
              <w:rPr>
                <w:sz w:val="20"/>
              </w:rPr>
              <w:t>installs the CNG kit part in the vehicle</w:t>
            </w:r>
            <w:bookmarkStart w:id="2" w:name="_GoBack"/>
            <w:bookmarkEnd w:id="2"/>
            <w:r w:rsidR="00B8485B">
              <w:rPr>
                <w:sz w:val="20"/>
              </w:rPr>
              <w:t xml:space="preserve"> ordered by the owner.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39E6E82D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>:</w:t>
            </w:r>
            <w:r w:rsidR="00B8485B">
              <w:rPr>
                <w:sz w:val="20"/>
              </w:rPr>
              <w:t xml:space="preserve"> When service is completed </w:t>
            </w:r>
            <w:r w:rsidR="00FF1120">
              <w:rPr>
                <w:sz w:val="20"/>
              </w:rPr>
              <w:t>the system record the service charges give bill to the customer.</w:t>
            </w:r>
          </w:p>
        </w:tc>
      </w:tr>
      <w:tr w:rsidR="001B4583" w14:paraId="6520C391" w14:textId="77777777" w:rsidTr="008200B0">
        <w:trPr>
          <w:trHeight w:val="75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70F01F93" w:rsidR="001B4583" w:rsidRDefault="001B4583" w:rsidP="00A6065D">
            <w:pPr>
              <w:jc w:val="both"/>
              <w:rPr>
                <w:sz w:val="20"/>
              </w:rPr>
            </w:pPr>
          </w:p>
        </w:tc>
      </w:tr>
      <w:tr w:rsidR="001B4583" w14:paraId="471FB2A8" w14:textId="77777777" w:rsidTr="00A6065D">
        <w:trPr>
          <w:trHeight w:val="438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4F1BBF8B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D461AD">
              <w:rPr>
                <w:sz w:val="20"/>
              </w:rPr>
              <w:t xml:space="preserve"> </w:t>
            </w:r>
            <w:r w:rsidR="008200B0">
              <w:rPr>
                <w:sz w:val="20"/>
              </w:rPr>
              <w:t>CNG kit fitting</w:t>
            </w:r>
            <w:r w:rsidR="0058029C">
              <w:rPr>
                <w:sz w:val="20"/>
              </w:rPr>
              <w:t xml:space="preserve"> service is done by the servicing employee.</w:t>
            </w:r>
          </w:p>
        </w:tc>
      </w:tr>
      <w:tr w:rsidR="001B4583" w14:paraId="0668B696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79B16095" w:rsidR="001B4583" w:rsidRDefault="008200B0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CNG kit fitting </w:t>
            </w:r>
            <w:r w:rsidR="0058029C">
              <w:rPr>
                <w:sz w:val="20"/>
              </w:rPr>
              <w:t>charges is recorded to system software.</w:t>
            </w:r>
          </w:p>
        </w:tc>
      </w:tr>
      <w:tr w:rsidR="001B4583" w14:paraId="4D9E03BD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55CD7FA6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customer</w:t>
            </w:r>
            <w:r w:rsidR="00FC5177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FC5177">
              <w:rPr>
                <w:sz w:val="20"/>
              </w:rPr>
              <w:t xml:space="preserve">must </w:t>
            </w:r>
            <w:r w:rsidR="0058029C">
              <w:rPr>
                <w:sz w:val="20"/>
              </w:rPr>
              <w:t xml:space="preserve">have </w:t>
            </w:r>
            <w:r w:rsidR="008200B0">
              <w:rPr>
                <w:sz w:val="20"/>
              </w:rPr>
              <w:t>CNG kit fitting</w:t>
            </w:r>
            <w:r w:rsidR="0058029C">
              <w:rPr>
                <w:sz w:val="20"/>
              </w:rPr>
              <w:t xml:space="preserve"> problem in his vehicle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5159A1" w14:textId="540D3A52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This use case is available when the shop is open.</w:t>
            </w:r>
          </w:p>
          <w:p w14:paraId="6AD90332" w14:textId="66231B43" w:rsidR="006E1C88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limit</w:t>
            </w:r>
            <w:r w:rsidR="008200B0">
              <w:rPr>
                <w:sz w:val="20"/>
              </w:rPr>
              <w:t xml:space="preserve"> by 20 to 25 max a day</w:t>
            </w:r>
            <w:r>
              <w:rPr>
                <w:sz w:val="20"/>
              </w:rPr>
              <w:t xml:space="preserve"> to use this use case.</w:t>
            </w:r>
          </w:p>
        </w:tc>
      </w:tr>
      <w:tr w:rsidR="001B4583" w14:paraId="36E02435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1ACFB0F8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</w:t>
            </w:r>
            <w:r w:rsidR="008200B0">
              <w:rPr>
                <w:sz w:val="20"/>
              </w:rPr>
              <w:t>CNG kit fitting</w:t>
            </w:r>
            <w:r w:rsidR="0058029C">
              <w:rPr>
                <w:sz w:val="20"/>
              </w:rPr>
              <w:t xml:space="preserve"> service is</w:t>
            </w:r>
            <w:r w:rsidR="00DC78E6">
              <w:rPr>
                <w:sz w:val="20"/>
              </w:rPr>
              <w:t xml:space="preserve"> not available</w:t>
            </w:r>
            <w:r>
              <w:rPr>
                <w:sz w:val="20"/>
              </w:rPr>
              <w:t xml:space="preserve"> the customer </w:t>
            </w:r>
            <w:r w:rsidR="0058029C">
              <w:rPr>
                <w:sz w:val="20"/>
              </w:rPr>
              <w:t>has</w:t>
            </w:r>
            <w:r w:rsidR="00DC78E6">
              <w:rPr>
                <w:sz w:val="20"/>
              </w:rPr>
              <w:t xml:space="preserve"> to</w:t>
            </w:r>
            <w:r>
              <w:rPr>
                <w:sz w:val="20"/>
              </w:rPr>
              <w:t xml:space="preserve"> return back. </w:t>
            </w:r>
          </w:p>
        </w:tc>
      </w:tr>
      <w:tr w:rsidR="001B4583" w14:paraId="782BBCB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072E1600" w:rsidR="001B4583" w:rsidRDefault="006E1C88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105E2D"/>
    <w:rsid w:val="001B4583"/>
    <w:rsid w:val="002B0345"/>
    <w:rsid w:val="0036237E"/>
    <w:rsid w:val="00396698"/>
    <w:rsid w:val="00532B7C"/>
    <w:rsid w:val="0058029C"/>
    <w:rsid w:val="0059185B"/>
    <w:rsid w:val="006212D7"/>
    <w:rsid w:val="00671731"/>
    <w:rsid w:val="006E1C88"/>
    <w:rsid w:val="00757461"/>
    <w:rsid w:val="0079228F"/>
    <w:rsid w:val="007E3E7F"/>
    <w:rsid w:val="00803BBD"/>
    <w:rsid w:val="008200B0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B8485B"/>
    <w:rsid w:val="00C47ADE"/>
    <w:rsid w:val="00C565CD"/>
    <w:rsid w:val="00C939AB"/>
    <w:rsid w:val="00D461AD"/>
    <w:rsid w:val="00D72010"/>
    <w:rsid w:val="00D929EE"/>
    <w:rsid w:val="00DC78E6"/>
    <w:rsid w:val="00DE40F0"/>
    <w:rsid w:val="00E35D9C"/>
    <w:rsid w:val="00E47D94"/>
    <w:rsid w:val="00FC5177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16</cp:revision>
  <dcterms:created xsi:type="dcterms:W3CDTF">2019-04-22T09:51:00Z</dcterms:created>
  <dcterms:modified xsi:type="dcterms:W3CDTF">2019-05-19T12:30:00Z</dcterms:modified>
</cp:coreProperties>
</file>