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Indicators for</w:t>
        <w:br/>
        <w:t>Algorithm Design</w:t>
      </w:r>
    </w:p>
    <w:p>
      <w:pPr>
        <w:pStyle w:val="Subtitle"/>
      </w:pPr>
      <w:r>
        <w:t>A practical overview for the trading research team</w:t>
      </w:r>
    </w:p>
    <w:p>
      <w:r>
        <w:t>Use this guide to choose a small set of understandable inputs for a trading hypothesis. It focuses on stock strategies held for minutes or hours, with additional context for pairs trading and faster execution. Indicator definitions describe market behavior; profitability must be established through testing after costs.</w:t>
      </w:r>
    </w:p>
    <w:p>
      <w:pPr>
        <w:pStyle w:val="Heading2"/>
      </w:pPr>
      <w:r>
        <w:t>Find the indicators for your algorithm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376"/>
        <w:gridCol w:w="4032"/>
        <w:gridCol w:w="3672"/>
      </w:tblGrid>
      <w:tr>
        <w:trPr>
          <w:tblHeader/>
          <w:cantSplit/>
        </w:trPr>
        <w:tc>
          <w:tcPr>
            <w:tcW w:type="dxa" w:w="2376"/>
            <w:vAlign w:val="center"/>
            <w:shd w:fill="17365D"/>
          </w:tcPr>
          <w:p>
            <w:pPr>
              <w:spacing w:after="40" w:before="40" w:line="250" w:lineRule="auto"/>
            </w:pPr>
            <w:r>
              <w:rPr>
                <w:b/>
                <w:color w:val="FFFFFF"/>
                <w:sz w:val="21"/>
              </w:rPr>
              <w:t>Algorithm family</w:t>
            </w:r>
          </w:p>
        </w:tc>
        <w:tc>
          <w:tcPr>
            <w:tcW w:type="dxa" w:w="4032"/>
            <w:vAlign w:val="center"/>
            <w:shd w:fill="17365D"/>
          </w:tcPr>
          <w:p>
            <w:pPr>
              <w:spacing w:after="40" w:before="40" w:line="250" w:lineRule="auto"/>
            </w:pPr>
            <w:r>
              <w:rPr>
                <w:b/>
                <w:color w:val="FFFFFF"/>
                <w:sz w:val="21"/>
              </w:rPr>
              <w:t>What the algorithm expects</w:t>
            </w:r>
          </w:p>
        </w:tc>
        <w:tc>
          <w:tcPr>
            <w:tcW w:type="dxa" w:w="3672"/>
            <w:vAlign w:val="center"/>
            <w:shd w:fill="17365D"/>
          </w:tcPr>
          <w:p>
            <w:pPr>
              <w:spacing w:after="40" w:before="40" w:line="250" w:lineRule="auto"/>
            </w:pPr>
            <w:r>
              <w:rPr>
                <w:b/>
                <w:color w:val="FFFFFF"/>
                <w:sz w:val="21"/>
              </w:rPr>
              <w:t>Start with these pages</w:t>
            </w:r>
          </w:p>
        </w:tc>
      </w:tr>
      <w:tr>
        <w:trPr>
          <w:cantSplit/>
        </w:trPr>
        <w:tc>
          <w:tcPr>
            <w:tcW w:type="dxa" w:w="2376"/>
            <w:vAlign w:val="center"/>
            <w:shd w:fill="EEF3F8"/>
          </w:tcPr>
          <w:p>
            <w:pPr>
              <w:spacing w:after="40" w:before="40" w:line="250" w:lineRule="auto"/>
            </w:pPr>
            <w:r>
              <w:rPr>
                <w:sz w:val="21"/>
              </w:rPr>
              <w:t>Momentum and trend</w:t>
            </w:r>
          </w:p>
        </w:tc>
        <w:tc>
          <w:tcPr>
            <w:tcW w:type="dxa" w:w="4032"/>
            <w:vAlign w:val="center"/>
            <w:shd w:fill="EEF3F8"/>
          </w:tcPr>
          <w:p>
            <w:pPr>
              <w:spacing w:after="40" w:before="40" w:line="250" w:lineRule="auto"/>
            </w:pPr>
            <w:r>
              <w:rPr>
                <w:sz w:val="21"/>
              </w:rPr>
              <w:t>A move will persist.</w:t>
            </w:r>
          </w:p>
        </w:tc>
        <w:tc>
          <w:tcPr>
            <w:tcW w:type="dxa" w:w="3672"/>
            <w:vAlign w:val="center"/>
            <w:shd w:fill="EEF3F8"/>
          </w:tcPr>
          <w:p>
            <w:pPr>
              <w:spacing w:after="40" w:before="40" w:line="250" w:lineRule="auto"/>
            </w:pPr>
            <w:r>
              <w:rPr>
                <w:sz w:val="21"/>
              </w:rPr>
              <w:t>Trend 2</w:t>
              <w:br/>
              <w:t>Activity and breadth 6</w:t>
            </w:r>
          </w:p>
        </w:tc>
      </w:tr>
      <w:tr>
        <w:trPr>
          <w:cantSplit/>
        </w:trPr>
        <w:tc>
          <w:tcPr>
            <w:tcW w:type="dxa" w:w="2376"/>
            <w:vAlign w:val="center"/>
            <w:shd w:fill="FFFFFF"/>
          </w:tcPr>
          <w:p>
            <w:pPr>
              <w:spacing w:after="40" w:before="40" w:line="250" w:lineRule="auto"/>
            </w:pPr>
            <w:r>
              <w:rPr>
                <w:sz w:val="21"/>
              </w:rPr>
              <w:t>Selective mean reversion</w:t>
            </w:r>
          </w:p>
        </w:tc>
        <w:tc>
          <w:tcPr>
            <w:tcW w:type="dxa" w:w="4032"/>
            <w:vAlign w:val="center"/>
            <w:shd w:fill="FFFFFF"/>
          </w:tcPr>
          <w:p>
            <w:pPr>
              <w:spacing w:after="40" w:before="40" w:line="250" w:lineRule="auto"/>
            </w:pPr>
            <w:r>
              <w:rPr>
                <w:sz w:val="21"/>
              </w:rPr>
              <w:t>A particular deviation will narrow.</w:t>
            </w:r>
          </w:p>
        </w:tc>
        <w:tc>
          <w:tcPr>
            <w:tcW w:type="dxa" w:w="3672"/>
            <w:vAlign w:val="center"/>
            <w:shd w:fill="FFFFFF"/>
          </w:tcPr>
          <w:p>
            <w:pPr>
              <w:spacing w:after="40" w:before="40" w:line="250" w:lineRule="auto"/>
            </w:pPr>
            <w:r>
              <w:rPr>
                <w:sz w:val="21"/>
              </w:rPr>
              <w:t>Deviation 3</w:t>
              <w:br/>
              <w:t>Volatility 5</w:t>
            </w:r>
          </w:p>
        </w:tc>
      </w:tr>
      <w:tr>
        <w:trPr>
          <w:cantSplit/>
        </w:trPr>
        <w:tc>
          <w:tcPr>
            <w:tcW w:type="dxa" w:w="2376"/>
            <w:vAlign w:val="center"/>
            <w:shd w:fill="EEF3F8"/>
          </w:tcPr>
          <w:p>
            <w:pPr>
              <w:spacing w:after="40" w:before="40" w:line="250" w:lineRule="auto"/>
            </w:pPr>
            <w:r>
              <w:rPr>
                <w:sz w:val="21"/>
              </w:rPr>
              <w:t>Breakout</w:t>
            </w:r>
          </w:p>
        </w:tc>
        <w:tc>
          <w:tcPr>
            <w:tcW w:type="dxa" w:w="4032"/>
            <w:vAlign w:val="center"/>
            <w:shd w:fill="EEF3F8"/>
          </w:tcPr>
          <w:p>
            <w:pPr>
              <w:spacing w:after="40" w:before="40" w:line="250" w:lineRule="auto"/>
            </w:pPr>
            <w:r>
              <w:rPr>
                <w:sz w:val="21"/>
              </w:rPr>
              <w:t>A break of a prior boundary will continue.</w:t>
            </w:r>
          </w:p>
        </w:tc>
        <w:tc>
          <w:tcPr>
            <w:tcW w:type="dxa" w:w="3672"/>
            <w:vAlign w:val="center"/>
            <w:shd w:fill="EEF3F8"/>
          </w:tcPr>
          <w:p>
            <w:pPr>
              <w:spacing w:after="40" w:before="40" w:line="250" w:lineRule="auto"/>
            </w:pPr>
            <w:r>
              <w:rPr>
                <w:sz w:val="21"/>
              </w:rPr>
              <w:t>Price structure and timing 4</w:t>
              <w:br/>
              <w:t>Activity 6</w:t>
            </w:r>
          </w:p>
        </w:tc>
      </w:tr>
      <w:tr>
        <w:trPr>
          <w:cantSplit/>
        </w:trPr>
        <w:tc>
          <w:tcPr>
            <w:tcW w:type="dxa" w:w="2376"/>
            <w:vAlign w:val="center"/>
            <w:shd w:fill="FFFFFF"/>
          </w:tcPr>
          <w:p>
            <w:pPr>
              <w:spacing w:after="40" w:before="40" w:line="250" w:lineRule="auto"/>
            </w:pPr>
            <w:r>
              <w:rPr>
                <w:sz w:val="21"/>
              </w:rPr>
              <w:t>Pairs and relative value</w:t>
            </w:r>
          </w:p>
        </w:tc>
        <w:tc>
          <w:tcPr>
            <w:tcW w:type="dxa" w:w="4032"/>
            <w:vAlign w:val="center"/>
            <w:shd w:fill="FFFFFF"/>
          </w:tcPr>
          <w:p>
            <w:pPr>
              <w:spacing w:after="40" w:before="40" w:line="250" w:lineRule="auto"/>
            </w:pPr>
            <w:r>
              <w:rPr>
                <w:sz w:val="21"/>
              </w:rPr>
              <w:t>A relationship between assets will converge.</w:t>
            </w:r>
          </w:p>
        </w:tc>
        <w:tc>
          <w:tcPr>
            <w:tcW w:type="dxa" w:w="3672"/>
            <w:vAlign w:val="center"/>
            <w:shd w:fill="FFFFFF"/>
          </w:tcPr>
          <w:p>
            <w:pPr>
              <w:spacing w:after="40" w:before="40" w:line="250" w:lineRule="auto"/>
            </w:pPr>
            <w:r>
              <w:rPr>
                <w:sz w:val="21"/>
              </w:rPr>
              <w:t>Relationships 8</w:t>
              <w:br/>
              <w:t>Costs 10</w:t>
            </w:r>
          </w:p>
        </w:tc>
      </w:tr>
      <w:tr>
        <w:trPr>
          <w:cantSplit/>
        </w:trPr>
        <w:tc>
          <w:tcPr>
            <w:tcW w:type="dxa" w:w="2376"/>
            <w:vAlign w:val="center"/>
            <w:shd w:fill="EEF3F8"/>
          </w:tcPr>
          <w:p>
            <w:pPr>
              <w:spacing w:after="40" w:before="40" w:line="250" w:lineRule="auto"/>
            </w:pPr>
            <w:r>
              <w:rPr>
                <w:sz w:val="21"/>
              </w:rPr>
              <w:t>Scalping and market making</w:t>
            </w:r>
          </w:p>
        </w:tc>
        <w:tc>
          <w:tcPr>
            <w:tcW w:type="dxa" w:w="4032"/>
            <w:vAlign w:val="center"/>
            <w:shd w:fill="EEF3F8"/>
          </w:tcPr>
          <w:p>
            <w:pPr>
              <w:spacing w:after="40" w:before="40" w:line="250" w:lineRule="auto"/>
            </w:pPr>
            <w:r>
              <w:rPr>
                <w:sz w:val="21"/>
              </w:rPr>
              <w:t>Short price moves or spreads can cover execution risk.</w:t>
            </w:r>
          </w:p>
        </w:tc>
        <w:tc>
          <w:tcPr>
            <w:tcW w:type="dxa" w:w="3672"/>
            <w:vAlign w:val="center"/>
            <w:shd w:fill="EEF3F8"/>
          </w:tcPr>
          <w:p>
            <w:pPr>
              <w:spacing w:after="40" w:before="40" w:line="250" w:lineRule="auto"/>
            </w:pPr>
            <w:r>
              <w:rPr>
                <w:sz w:val="21"/>
              </w:rPr>
              <w:t>Liquidity and order flow 7</w:t>
              <w:br/>
              <w:t>Execution 10</w:t>
            </w:r>
          </w:p>
        </w:tc>
      </w:tr>
      <w:tr>
        <w:trPr>
          <w:cantSplit/>
        </w:trPr>
        <w:tc>
          <w:tcPr>
            <w:tcW w:type="dxa" w:w="2376"/>
            <w:vAlign w:val="center"/>
            <w:shd w:fill="FFFFFF"/>
          </w:tcPr>
          <w:p>
            <w:pPr>
              <w:spacing w:after="40" w:before="40" w:line="250" w:lineRule="auto"/>
            </w:pPr>
            <w:r>
              <w:rPr>
                <w:sz w:val="21"/>
              </w:rPr>
              <w:t>Execution algorithms</w:t>
            </w:r>
          </w:p>
        </w:tc>
        <w:tc>
          <w:tcPr>
            <w:tcW w:type="dxa" w:w="4032"/>
            <w:vAlign w:val="center"/>
            <w:shd w:fill="FFFFFF"/>
          </w:tcPr>
          <w:p>
            <w:pPr>
              <w:spacing w:after="40" w:before="40" w:line="250" w:lineRule="auto"/>
            </w:pPr>
            <w:r>
              <w:rPr>
                <w:sz w:val="21"/>
              </w:rPr>
              <w:t>An existing trading decision needs an order schedule.</w:t>
            </w:r>
          </w:p>
        </w:tc>
        <w:tc>
          <w:tcPr>
            <w:tcW w:type="dxa" w:w="3672"/>
            <w:vAlign w:val="center"/>
            <w:shd w:fill="FFFFFF"/>
          </w:tcPr>
          <w:p>
            <w:pPr>
              <w:spacing w:after="40" w:before="40" w:line="250" w:lineRule="auto"/>
            </w:pPr>
            <w:r>
              <w:rPr>
                <w:sz w:val="21"/>
              </w:rPr>
              <w:t>TWAP VWAP and participation 10</w:t>
            </w:r>
          </w:p>
        </w:tc>
      </w:tr>
      <w:tr>
        <w:trPr>
          <w:cantSplit/>
        </w:trPr>
        <w:tc>
          <w:tcPr>
            <w:tcW w:type="dxa" w:w="2376"/>
            <w:vAlign w:val="center"/>
            <w:shd w:fill="EEF3F8"/>
          </w:tcPr>
          <w:p>
            <w:pPr>
              <w:spacing w:after="40" w:before="40" w:line="250" w:lineRule="auto"/>
            </w:pPr>
            <w:r>
              <w:rPr>
                <w:sz w:val="21"/>
              </w:rPr>
              <w:t>Strategy controllers</w:t>
            </w:r>
          </w:p>
        </w:tc>
        <w:tc>
          <w:tcPr>
            <w:tcW w:type="dxa" w:w="4032"/>
            <w:vAlign w:val="center"/>
            <w:shd w:fill="EEF3F8"/>
          </w:tcPr>
          <w:p>
            <w:pPr>
              <w:spacing w:after="40" w:before="40" w:line="250" w:lineRule="auto"/>
            </w:pPr>
            <w:r>
              <w:rPr>
                <w:sz w:val="21"/>
              </w:rPr>
              <w:t>Trading eligibility or risk should change with conditions.</w:t>
            </w:r>
          </w:p>
        </w:tc>
        <w:tc>
          <w:tcPr>
            <w:tcW w:type="dxa" w:w="3672"/>
            <w:vAlign w:val="center"/>
            <w:shd w:fill="EEF3F8"/>
          </w:tcPr>
          <w:p>
            <w:pPr>
              <w:spacing w:after="40" w:before="40" w:line="250" w:lineRule="auto"/>
            </w:pPr>
            <w:r>
              <w:rPr>
                <w:sz w:val="21"/>
              </w:rPr>
              <w:t>Context 9</w:t>
              <w:br/>
              <w:t>Monitoring 11</w:t>
            </w:r>
          </w:p>
        </w:tc>
      </w:tr>
    </w:tbl>
    <w:p>
      <w:pPr>
        <w:spacing w:after="20"/>
      </w:pPr>
      <w:r/>
    </w:p>
    <w:p>
      <w:pPr>
        <w:pStyle w:val="Heading2"/>
      </w:pPr>
      <w:r>
        <w:t>Give each input a clear job</w:t>
      </w:r>
    </w:p>
    <w:p>
      <w:r>
        <w:t>Signal proposes direction or a target position. Filter decides whether the setup is eligible. Sizing sets exposure. Exit ends or reduces a position. Execution decides how orders reach the market. Monitoring checks whether data and behavior remain acceptable.</w:t>
      </w:r>
    </w:p>
    <w:p>
      <w:r>
        <w:t>The same indicator can fill different roles. High RSI can support a momentum rule or identify a possible mean-reversion candidate. The strategy hypothesis determines the interpretation.</w:t>
      </w:r>
    </w:p>
    <w:p>
      <w:pPr>
        <w:spacing w:after="80"/>
      </w:pPr>
      <w:r>
        <w:rPr>
          <w:sz w:val="19"/>
        </w:rPr>
        <w:t>Reading route: pages 2 to 8 explain core indicators; pages 9 to 11 cover supporting inputs; pages 12 to 13 show how to combine and test them. Sources are linked on page 14.</w:t>
      </w:r>
    </w:p>
    <w:p>
      <w:pPr>
        <w:pStyle w:val="Heading1"/>
        <w:pageBreakBefore/>
      </w:pPr>
      <w:r>
        <w:t>Trend and momentum</w:t>
      </w:r>
    </w:p>
    <w:p>
      <w:r>
        <w:t>Question: Is price moving consistently enough that continuation is a reasonable hypothesis? Data: completed price bars. Common users: momentum, trend following, breakout filters, and strategy controllers.</w:t>
      </w:r>
    </w:p>
    <w:p>
      <w:pPr>
        <w:pStyle w:val="Heading2"/>
      </w:pPr>
      <w:r>
        <w:t>Lookback return and relative strength</w:t>
      </w:r>
    </w:p>
    <w:p>
      <w:r>
        <w:t>Lookback return is the percentage change over a chosen interval. A move from $100 to $101 is a 1% return. Relative strength compares that return with a market, sector, or peer group; a 1% gain against a 0.2% market gain is 0.8 percentage points of simple outperformance.</w:t>
      </w:r>
    </w:p>
    <w:p>
      <w:r>
        <w:rPr>
          <w:b/>
        </w:rPr>
        <w:t xml:space="preserve">Typical use: </w:t>
      </w:r>
      <w:r>
        <w:t xml:space="preserve">Momentum signals and ranking which stocks to trade. </w:t>
      </w:r>
      <w:r>
        <w:rPr>
          <w:b/>
        </w:rPr>
        <w:t xml:space="preserve">Watch for: </w:t>
      </w:r>
      <w:r>
        <w:t>Relative strength is different from RSI. A positive past return does not establish future continuation.</w:t>
      </w:r>
    </w:p>
    <w:p>
      <w:pPr>
        <w:pStyle w:val="Heading2"/>
      </w:pPr>
      <w:r>
        <w:t>Moving averages and their slope</w:t>
      </w:r>
    </w:p>
    <w:p>
      <w:r>
        <w:t>A simple moving average gives each observation equal weight. An exponential moving average gives recent observations more weight. A rising average describes an upward recent baseline; a fast average above a slow average suggests stronger recent prices. [1]</w:t>
      </w:r>
    </w:p>
    <w:p>
      <w:r>
        <w:rPr>
          <w:b/>
        </w:rPr>
        <w:t xml:space="preserve">Typical use: </w:t>
      </w:r>
      <w:r>
        <w:t xml:space="preserve">Trend direction, entry filters, and trend-based exits. </w:t>
      </w:r>
      <w:r>
        <w:rPr>
          <w:b/>
        </w:rPr>
        <w:t xml:space="preserve">Watch for: </w:t>
      </w:r>
      <w:r>
        <w:t>Averages lag. Crossovers can produce repeated losing trades in a sideways market.</w:t>
      </w:r>
    </w:p>
    <w:p>
      <w:pPr>
        <w:pStyle w:val="Heading2"/>
      </w:pPr>
      <w:r>
        <w:t>MACD</w:t>
      </w:r>
    </w:p>
    <w:p>
      <w:r>
        <w:t>Moving Average Convergence Divergence compares a faster EMA with a slower EMA. A signal line smooths that difference; the histogram measures the gap between the MACD and signal lines. It summarizes changes in the relative strength of recent price movement. [2]</w:t>
      </w:r>
    </w:p>
    <w:p>
      <w:r>
        <w:rPr>
          <w:b/>
        </w:rPr>
        <w:t xml:space="preserve">Typical use: </w:t>
      </w:r>
      <w:r>
        <w:t xml:space="preserve">Momentum timing and trend confirmation. </w:t>
      </w:r>
      <w:r>
        <w:rPr>
          <w:b/>
        </w:rPr>
        <w:t xml:space="preserve">Watch for: </w:t>
      </w:r>
      <w:r>
        <w:t>It substantially overlaps with EMA and return features. Three related indicators are not three independent votes.</w:t>
      </w:r>
    </w:p>
    <w:p>
      <w:pPr>
        <w:pStyle w:val="Heading2"/>
      </w:pPr>
      <w:r>
        <w:t>ADX and path efficiency</w:t>
      </w:r>
    </w:p>
    <w:p>
      <w:r>
        <w:t>Average Directional Index measures trend strength, without independently telling you whether the trend is up or down. Path efficiency compares the net move with all movement along the way: a nearly straight climb has higher efficiency than repeated back-and-forth changes. [3]</w:t>
      </w:r>
    </w:p>
    <w:p>
      <w:r>
        <w:rPr>
          <w:b/>
        </w:rPr>
        <w:t xml:space="preserve">Typical use: </w:t>
      </w:r>
      <w:r>
        <w:t xml:space="preserve">Deciding whether to enable trend trading or avoid fading a persistent move. </w:t>
      </w:r>
      <w:r>
        <w:rPr>
          <w:b/>
        </w:rPr>
        <w:t xml:space="preserve">Watch for: </w:t>
      </w:r>
      <w:r>
        <w:t>Both summarize past behavior. Their thresholds depend on the instrument, interval, and estimation window.</w:t>
      </w:r>
    </w:p>
    <w:p>
      <w:pPr>
        <w:pStyle w:val="Heading2"/>
      </w:pPr>
      <w:r>
        <w:t>A simple design example</w:t>
      </w:r>
    </w:p>
    <w:p>
      <w:r>
        <w:t>A research rule could require positive medium-term return, a rising EMA, and positive sector-relative strength before considering a long entry. Test whether each extra condition improves results beyond a simple return-only baseline.</w:t>
      </w:r>
    </w:p>
    <w:p>
      <w:r>
        <w:rPr>
          <w:b/>
        </w:rPr>
        <w:t xml:space="preserve">Before coding </w:t>
      </w:r>
      <w:r>
        <w:t>Implementation choice: define the interval and the window separately. Twenty observations of one-minute bars and twenty observations of hourly bars describe very different behavior.</w:t>
      </w:r>
    </w:p>
    <w:p>
      <w:pPr>
        <w:pStyle w:val="Heading1"/>
        <w:pageBreakBefore/>
      </w:pPr>
      <w:r>
        <w:t>Deviation and mean reversion</w:t>
      </w:r>
    </w:p>
    <w:p>
      <w:r>
        <w:t>Question: Is price unusually far from a meaningful reference, and under what conditions does that deviation close? Data: bars or trades. Common users: selective mean reversion and relative-value strategies.</w:t>
      </w:r>
    </w:p>
    <w:p>
      <w:pPr>
        <w:pStyle w:val="Heading2"/>
      </w:pPr>
      <w:r>
        <w:t>Rolling z score</w:t>
      </w:r>
    </w:p>
    <w:p>
      <w:r>
        <w:t>A z-score expresses a deviation in standard-deviation units. If price is $102, its rolling average is $100, and its estimated standard deviation is $1, the z-score is +2. It measures unusualness relative to that particular window.</w:t>
      </w:r>
    </w:p>
    <w:p>
      <w:r>
        <w:rPr>
          <w:b/>
        </w:rPr>
        <w:t xml:space="preserve">Typical use: </w:t>
      </w:r>
      <w:r>
        <w:t xml:space="preserve">Entry candidates, convergence targets, and extreme-deviation limits. </w:t>
      </w:r>
      <w:r>
        <w:rPr>
          <w:b/>
        </w:rPr>
        <w:t xml:space="preserve">Watch for: </w:t>
      </w:r>
      <w:r>
        <w:t>A large value is not a reversal forecast. A changing mean or volatility can make the score misleading.</w:t>
      </w:r>
    </w:p>
    <w:p>
      <w:pPr>
        <w:pStyle w:val="Heading2"/>
      </w:pPr>
      <w:r>
        <w:t>Distance from VWAP</w:t>
      </w:r>
    </w:p>
    <w:p>
      <w:r>
        <w:t>Volume Weighted Average Price is the average traded price weighted by shares traded. Session VWAP starts at a defined session boundary; anchored VWAP starts at a chosen event. Distance from VWAP describes whether current price is above or below that trading reference. [7]</w:t>
      </w:r>
    </w:p>
    <w:p>
      <w:r>
        <w:rPr>
          <w:b/>
        </w:rPr>
        <w:t xml:space="preserve">Typical use: </w:t>
      </w:r>
      <w:r>
        <w:t xml:space="preserve">Intraday reversion candidates, trend filters, and execution benchmarks. </w:t>
      </w:r>
      <w:r>
        <w:rPr>
          <w:b/>
        </w:rPr>
        <w:t xml:space="preserve">Watch for: </w:t>
      </w:r>
      <w:r>
        <w:t>VWAP is a traded-price reference, not intrinsic value. Strong trends can stay far from it.</w:t>
      </w:r>
    </w:p>
    <w:p>
      <w:pPr>
        <w:pStyle w:val="Heading2"/>
      </w:pPr>
      <w:r>
        <w:t>Bollinger Bands</w:t>
      </w:r>
    </w:p>
    <w:p>
      <w:r>
        <w:t>Bollinger Bands place upper and lower bands around a moving average using recent price dispersion. Band position describes extension; band width describes expansion or compression. The familiar two-standard-deviation setting is a convention, not a guaranteed probability envelope. [6]</w:t>
      </w:r>
    </w:p>
    <w:p>
      <w:r>
        <w:rPr>
          <w:b/>
        </w:rPr>
        <w:t xml:space="preserve">Typical use: </w:t>
      </w:r>
      <w:r>
        <w:t xml:space="preserve">Mean-reversion setups and volatility-compression filters for breakouts. </w:t>
      </w:r>
      <w:r>
        <w:rPr>
          <w:b/>
        </w:rPr>
        <w:t xml:space="preserve">Watch for: </w:t>
      </w:r>
      <w:r>
        <w:t>Price can repeatedly touch or move along a band during a trend. A touch is not an automatic exit or reversal.</w:t>
      </w:r>
    </w:p>
    <w:p>
      <w:pPr>
        <w:pStyle w:val="Heading2"/>
      </w:pPr>
      <w:r>
        <w:t>RSI</w:t>
      </w:r>
    </w:p>
    <w:p>
      <w:r>
        <w:t>Relative Strength Index compares smoothed upward and downward price changes on a scale from 0 to 100. A high reading means recent upward changes have dominated. Familiar labels such as overbought above 70 describe common conventions. [4]</w:t>
      </w:r>
    </w:p>
    <w:p>
      <w:r>
        <w:rPr>
          <w:b/>
        </w:rPr>
        <w:t xml:space="preserve">Typical use: </w:t>
      </w:r>
      <w:r>
        <w:t xml:space="preserve">Reversion candidates, pullback timing, or momentum-strength filters. </w:t>
      </w:r>
      <w:r>
        <w:rPr>
          <w:b/>
        </w:rPr>
        <w:t xml:space="preserve">Watch for: </w:t>
      </w:r>
      <w:r>
        <w:t>High RSI can persist in an uptrend. Use the value in the context of the hypothesis rather than treating 70 and 30 as universal orders.</w:t>
      </w:r>
    </w:p>
    <w:p>
      <w:pPr>
        <w:pStyle w:val="Heading2"/>
      </w:pPr>
      <w:r>
        <w:t>What makes the approach selective</w:t>
      </w:r>
    </w:p>
    <w:p>
      <w:r>
        <w:t>The algorithm tests which deviations are worth fading. Possible filters include modest trend strength, a stable reference, ordinary liquidity, and no recent company-specific shock. It also needs a failure exit and a time limit; waiting indefinitely changes the strategy.</w:t>
      </w:r>
    </w:p>
    <w:p>
      <w:r>
        <w:rPr>
          <w:b/>
        </w:rPr>
        <w:t xml:space="preserve">Important distinction </w:t>
      </w:r>
      <w:r>
        <w:t>Ask whether price moved back or the reference merely caught up. Only the former necessarily helps a position betting on a price reversal.</w:t>
      </w:r>
    </w:p>
    <w:p>
      <w:pPr>
        <w:pStyle w:val="Heading1"/>
        <w:pageBreakBefore/>
      </w:pPr>
      <w:r>
        <w:t>Breakouts and session timing</w:t>
      </w:r>
    </w:p>
    <w:p>
      <w:r>
        <w:t>Question: Has price moved beyond an established boundary, and is the timing suitable for the proposed trade? Data: bars plus an exchange calendar. Common users: opening-range breakout, momentum, gap trading, and session controls.</w:t>
      </w:r>
    </w:p>
    <w:p>
      <w:pPr>
        <w:pStyle w:val="Heading2"/>
      </w:pPr>
      <w:r>
        <w:t>Prior highs and lows</w:t>
      </w:r>
    </w:p>
    <w:p>
      <w:r>
        <w:t>Rolling highs and lows, previous-day extremes, and premarket extremes are observable boundaries. A breakout occurs when a later observation crosses a boundary defined beforehand. The amount beyond the boundary can be scaled by ATR to compare different stocks.</w:t>
      </w:r>
    </w:p>
    <w:p>
      <w:r>
        <w:rPr>
          <w:b/>
        </w:rPr>
        <w:t xml:space="preserve">Typical use: </w:t>
      </w:r>
      <w:r>
        <w:t xml:space="preserve">Breakout entries, failed-breakout exits, and protective price references. </w:t>
      </w:r>
      <w:r>
        <w:rPr>
          <w:b/>
        </w:rPr>
        <w:t xml:space="preserve">Watch for: </w:t>
      </w:r>
      <w:r>
        <w:t>Define the boundary without future data. Crossing by one cent may mostly reflect noise or the spread.</w:t>
      </w:r>
    </w:p>
    <w:p>
      <w:pPr>
        <w:pStyle w:val="Heading2"/>
      </w:pPr>
      <w:r>
        <w:t>Opening range and range compression</w:t>
      </w:r>
    </w:p>
    <w:p>
      <w:r>
        <w:t>The opening range is the high-low interval during a predefined period after the open. A narrow recent range or narrow Bollinger Bands describes compression. For example, a 15-minute opening range is not fully known until that interval has ended.</w:t>
      </w:r>
    </w:p>
    <w:p>
      <w:r>
        <w:rPr>
          <w:b/>
        </w:rPr>
        <w:t xml:space="preserve">Typical use: </w:t>
      </w:r>
      <w:r>
        <w:t xml:space="preserve">Opening-range breakouts and strategies studying expansion after quiet trading. </w:t>
      </w:r>
      <w:r>
        <w:rPr>
          <w:b/>
        </w:rPr>
        <w:t xml:space="preserve">Watch for: </w:t>
      </w:r>
      <w:r>
        <w:t>Compression does not identify the eventual direction. Premature use of the final opening range creates lookahead bias.</w:t>
      </w:r>
    </w:p>
    <w:p>
      <w:pPr>
        <w:pStyle w:val="Heading2"/>
      </w:pPr>
      <w:r>
        <w:t>Persistence and retests</w:t>
      </w:r>
    </w:p>
    <w:p>
      <w:r>
        <w:t>Persistence measures how long price remains beyond a boundary. A retest occurs when price revisits the broken level. These definitions turn vague chart ideas such as a convincing break into repeatable rules.</w:t>
      </w:r>
    </w:p>
    <w:p>
      <w:r>
        <w:rPr>
          <w:b/>
        </w:rPr>
        <w:t xml:space="preserve">Typical use: </w:t>
      </w:r>
      <w:r>
        <w:t xml:space="preserve">Reducing immediate false-breakout entries or timing a later entry. </w:t>
      </w:r>
      <w:r>
        <w:rPr>
          <w:b/>
        </w:rPr>
        <w:t xml:space="preserve">Watch for: </w:t>
      </w:r>
      <w:r>
        <w:t>Waiting for confirmation changes the entry price and can miss the move. Include that tradeoff in the test.</w:t>
      </w:r>
    </w:p>
    <w:p>
      <w:pPr>
        <w:pStyle w:val="Heading2"/>
      </w:pPr>
      <w:r>
        <w:t>Time of day and overnight gap</w:t>
      </w:r>
    </w:p>
    <w:p>
      <w:r>
        <w:t>Minutes since the open and until the close identify session context. The overnight gap compares the opening price with the prior close; scaling it by normal volatility shows how unusual it is. Gap retracement measures how much of the gap has subsequently closed.</w:t>
      </w:r>
    </w:p>
    <w:p>
      <w:r>
        <w:rPr>
          <w:b/>
        </w:rPr>
        <w:t xml:space="preserve">Typical use: </w:t>
      </w:r>
      <w:r>
        <w:t xml:space="preserve">Session eligibility, gap continuation or reversal, and scheduled exits. </w:t>
      </w:r>
      <w:r>
        <w:rPr>
          <w:b/>
        </w:rPr>
        <w:t xml:space="preserve">Watch for: </w:t>
      </w:r>
      <w:r>
        <w:t>Separate regular and extended sessions. Account for shortened sessions and do not use future session volume.</w:t>
      </w:r>
    </w:p>
    <w:p>
      <w:pPr>
        <w:pStyle w:val="Heading2"/>
      </w:pPr>
      <w:r>
        <w:t>A simple design example</w:t>
      </w:r>
    </w:p>
    <w:p>
      <w:r>
        <w:t>Research a long entry after a completed opening range is broken, conditioned on above-normal activity and supportive market direction. Specify whether entry occurs on a quote, a trade, or a completed bar. Those are different algorithms with different execution assumptions.</w:t>
      </w:r>
    </w:p>
    <w:p>
      <w:pPr>
        <w:pStyle w:val="Heading1"/>
        <w:pageBreakBefore/>
      </w:pPr>
      <w:r>
        <w:t>Volatility and risk</w:t>
      </w:r>
    </w:p>
    <w:p>
      <w:r>
        <w:t>Question: How large and unstable are price movements, and what exposure can the strategy tolerate? Data: bars or finer price observations. Common users: every strategy, especially sizing and risk controls.</w:t>
      </w:r>
    </w:p>
    <w:p>
      <w:pPr>
        <w:pStyle w:val="Heading2"/>
      </w:pPr>
      <w:r>
        <w:t>ATR and ATR percentage</w:t>
      </w:r>
    </w:p>
    <w:p>
      <w:r>
        <w:t>Average True Range averages ranges that account for gaps from the preceding close. It is expressed in price units. ATR percentage divides by price: a $1 ATR on a $100 stock is 1%, making comparison easier. ATR measures movement size, not direction. [5]</w:t>
      </w:r>
    </w:p>
    <w:p>
      <w:r>
        <w:rPr>
          <w:b/>
        </w:rPr>
        <w:t xml:space="preserve">Typical use: </w:t>
      </w:r>
      <w:r>
        <w:t xml:space="preserve">Stop-distance research, position sizing, and volatility-scaled breakout distances. </w:t>
      </w:r>
      <w:r>
        <w:rPr>
          <w:b/>
        </w:rPr>
        <w:t xml:space="preserve">Watch for: </w:t>
      </w:r>
      <w:r>
        <w:t>A multiple of ATR is not a guaranteed maximum loss. Gaps and execution delays can exceed it.</w:t>
      </w:r>
    </w:p>
    <w:p>
      <w:pPr>
        <w:pStyle w:val="Heading2"/>
      </w:pPr>
      <w:r>
        <w:t>Realized return volatility</w:t>
      </w:r>
    </w:p>
    <w:p>
      <w:r>
        <w:t>Realized volatility measures the dispersion of observed returns. A stock whose one-minute returns fluctuate more has higher one-minute volatility. Use the same interval and units when comparing observations or setting a risk target.</w:t>
      </w:r>
    </w:p>
    <w:p>
      <w:r>
        <w:rPr>
          <w:b/>
        </w:rPr>
        <w:t xml:space="preserve">Typical use: </w:t>
      </w:r>
      <w:r>
        <w:t xml:space="preserve">Volatility-targeted sizing and deciding whether conditions resemble the research sample. </w:t>
      </w:r>
      <w:r>
        <w:rPr>
          <w:b/>
        </w:rPr>
        <w:t xml:space="preserve">Watch for: </w:t>
      </w:r>
      <w:r>
        <w:t>Very fine trade prices can contain bid-ask bounce. Annualized numbers also depend on scaling assumptions.</w:t>
      </w:r>
    </w:p>
    <w:p>
      <w:pPr>
        <w:pStyle w:val="Heading2"/>
      </w:pPr>
      <w:r>
        <w:t>Volatility ratio and percentile</w:t>
      </w:r>
    </w:p>
    <w:p>
      <w:r>
        <w:t>A short-window to long-window ratio describes whether movement has recently accelerated. A percentile compares current volatility with its past distribution. A 90th-percentile reading means it exceeds about 90% of that comparison sample.</w:t>
      </w:r>
    </w:p>
    <w:p>
      <w:r>
        <w:rPr>
          <w:b/>
        </w:rPr>
        <w:t xml:space="preserve">Typical use: </w:t>
      </w:r>
      <w:r>
        <w:t xml:space="preserve">High-volatility filters, adaptive risk limits, and regime classification. </w:t>
      </w:r>
      <w:r>
        <w:rPr>
          <w:b/>
        </w:rPr>
        <w:t xml:space="preserve">Watch for: </w:t>
      </w:r>
      <w:r>
        <w:t>High volatility can increase both opportunity and losses. Its trading implication depends on the strategy.</w:t>
      </w:r>
    </w:p>
    <w:p>
      <w:pPr>
        <w:pStyle w:val="Heading2"/>
      </w:pPr>
      <w:r>
        <w:t>Drawdown and adverse excursion</w:t>
      </w:r>
    </w:p>
    <w:p>
      <w:r>
        <w:t>Drawdown measures decline from an earlier equity peak. Maximum adverse excursion measures the worst movement against a position while it was open. These reveal losses that an average return or win rate can conceal.</w:t>
      </w:r>
    </w:p>
    <w:p>
      <w:r>
        <w:rPr>
          <w:b/>
        </w:rPr>
        <w:t xml:space="preserve">Typical use: </w:t>
      </w:r>
      <w:r>
        <w:t xml:space="preserve">Exposure limits, exit research, and strategy-health monitoring. </w:t>
      </w:r>
      <w:r>
        <w:rPr>
          <w:b/>
        </w:rPr>
        <w:t xml:space="preserve">Watch for: </w:t>
      </w:r>
      <w:r>
        <w:t>Historical worst cases do not bound future losses. A tight stop selected from past winning trades can be overfit.</w:t>
      </w:r>
    </w:p>
    <w:p>
      <w:pPr>
        <w:pStyle w:val="Heading2"/>
      </w:pPr>
      <w:r>
        <w:t>Sizing example</w:t>
      </w:r>
    </w:p>
    <w:p>
      <w:r>
        <w:t>Suppose an illustrative trade risk budget is $100 and the planned adverse price distance is $0.50 per share. The simple size is 200 shares before costs and other limits. If that distance doubles, the comparable size halves. Portfolio concentration, liquidity, and gap risk can require a smaller size.</w:t>
      </w:r>
    </w:p>
    <w:p>
      <w:r>
        <w:rPr>
          <w:b/>
        </w:rPr>
        <w:t xml:space="preserve">Before coding </w:t>
      </w:r>
      <w:r>
        <w:t>Estimate inputs from observations available at the decision time. Keep adaptation bounded so one unstable estimate cannot produce excessive exposure.</w:t>
      </w:r>
    </w:p>
    <w:p>
      <w:pPr>
        <w:pStyle w:val="Heading1"/>
        <w:pageBreakBefore/>
      </w:pPr>
      <w:r>
        <w:t>Trading activity and market breadth</w:t>
      </w:r>
    </w:p>
    <w:p>
      <w:r>
        <w:t>Question: Is activity unusual, and does the broader market agree with the stock? Data: volume bars or trades; multiple securities for breadth. Common users: momentum, breakouts, reversion filters, and universe selection.</w:t>
      </w:r>
    </w:p>
    <w:p>
      <w:pPr>
        <w:pStyle w:val="Heading2"/>
      </w:pPr>
      <w:r>
        <w:t>Time of day relative volume</w:t>
      </w:r>
    </w:p>
    <w:p>
      <w:r>
        <w:t>Relative volume compares observed activity with a historical baseline. For intraday use, compare cumulative volume by 10:00 with previous sessions by 10:00. If today has 200,000 shares against a 100,000-share baseline, relative volume is 2.</w:t>
      </w:r>
    </w:p>
    <w:p>
      <w:r>
        <w:rPr>
          <w:b/>
        </w:rPr>
        <w:t xml:space="preserve">Typical use: </w:t>
      </w:r>
      <w:r>
        <w:t xml:space="preserve">Activity filters and ranking breakout or event candidates. </w:t>
      </w:r>
      <w:r>
        <w:rPr>
          <w:b/>
        </w:rPr>
        <w:t xml:space="preserve">Watch for: </w:t>
      </w:r>
      <w:r>
        <w:t>A high reading can accompany continuation, exhaustion, or a shock. Match feed coverage and session definitions.</w:t>
      </w:r>
    </w:p>
    <w:p>
      <w:pPr>
        <w:pStyle w:val="Heading2"/>
      </w:pPr>
      <w:r>
        <w:t>Dollar volume and trade intensity</w:t>
      </w:r>
    </w:p>
    <w:p>
      <w:r>
        <w:t>Dollar volume approximates price multiplied by shares traded. Trade intensity counts executions per unit time. Average trade size divides share volume by trade count. Together they describe trading activity from different angles.</w:t>
      </w:r>
    </w:p>
    <w:p>
      <w:r>
        <w:rPr>
          <w:b/>
        </w:rPr>
        <w:t xml:space="preserve">Typical use: </w:t>
      </w:r>
      <w:r>
        <w:t xml:space="preserve">Liquidity screens, universe selection, and faster execution research. </w:t>
      </w:r>
      <w:r>
        <w:rPr>
          <w:b/>
        </w:rPr>
        <w:t xml:space="preserve">Watch for: </w:t>
      </w:r>
      <w:r>
        <w:t>High turnover does not guarantee a tight spread or enough executable depth. Large prints do not identify informed traders.</w:t>
      </w:r>
    </w:p>
    <w:p>
      <w:pPr>
        <w:pStyle w:val="Heading2"/>
      </w:pPr>
      <w:r>
        <w:t>Price and volume together</w:t>
      </w:r>
    </w:p>
    <w:p>
      <w:r>
        <w:t>Study whether a price move occurs with unusually high activity. On-balance volume is a simpler cumulative proxy that adds or subtracts bar volume based on the closing-price direction; it does not identify the true buyer or seller initiating every trade.</w:t>
      </w:r>
    </w:p>
    <w:p>
      <w:r>
        <w:rPr>
          <w:b/>
        </w:rPr>
        <w:t xml:space="preserve">Typical use: </w:t>
      </w:r>
      <w:r>
        <w:t xml:space="preserve">Testing whether volume adds information to a price-only signal. </w:t>
      </w:r>
      <w:r>
        <w:rPr>
          <w:b/>
        </w:rPr>
        <w:t xml:space="preserve">Watch for: </w:t>
      </w:r>
      <w:r>
        <w:t>A visual divergence is not enough. Define it numerically and compare it against a baseline.</w:t>
      </w:r>
    </w:p>
    <w:p>
      <w:pPr>
        <w:pStyle w:val="Heading2"/>
      </w:pPr>
      <w:r>
        <w:t>Three useful breadth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880"/>
        <w:gridCol w:w="3672"/>
        <w:gridCol w:w="3528"/>
      </w:tblGrid>
      <w:tr>
        <w:trPr>
          <w:tblHeader/>
          <w:cantSplit/>
        </w:trPr>
        <w:tc>
          <w:tcPr>
            <w:tcW w:type="dxa" w:w="2880"/>
            <w:vAlign w:val="center"/>
            <w:shd w:fill="17365D"/>
          </w:tcPr>
          <w:p>
            <w:pPr>
              <w:spacing w:after="40" w:before="40" w:line="250" w:lineRule="auto"/>
            </w:pPr>
            <w:r>
              <w:rPr>
                <w:b/>
                <w:color w:val="FFFFFF"/>
                <w:sz w:val="21"/>
              </w:rPr>
              <w:t>Measure</w:t>
            </w:r>
          </w:p>
        </w:tc>
        <w:tc>
          <w:tcPr>
            <w:tcW w:type="dxa" w:w="3672"/>
            <w:vAlign w:val="center"/>
            <w:shd w:fill="17365D"/>
          </w:tcPr>
          <w:p>
            <w:pPr>
              <w:spacing w:after="40" w:before="40" w:line="250" w:lineRule="auto"/>
            </w:pPr>
            <w:r>
              <w:rPr>
                <w:b/>
                <w:color w:val="FFFFFF"/>
                <w:sz w:val="21"/>
              </w:rPr>
              <w:t>Plain meaning</w:t>
            </w:r>
          </w:p>
        </w:tc>
        <w:tc>
          <w:tcPr>
            <w:tcW w:type="dxa" w:w="3528"/>
            <w:vAlign w:val="center"/>
            <w:shd w:fill="17365D"/>
          </w:tcPr>
          <w:p>
            <w:pPr>
              <w:spacing w:after="40" w:before="40" w:line="250" w:lineRule="auto"/>
            </w:pPr>
            <w:r>
              <w:rPr>
                <w:b/>
                <w:color w:val="FFFFFF"/>
                <w:sz w:val="21"/>
              </w:rPr>
              <w:t>Typical algorithm use</w:t>
            </w:r>
          </w:p>
        </w:tc>
      </w:tr>
      <w:tr>
        <w:trPr>
          <w:cantSplit/>
        </w:trPr>
        <w:tc>
          <w:tcPr>
            <w:tcW w:type="dxa" w:w="2880"/>
            <w:vAlign w:val="center"/>
            <w:shd w:fill="EEF3F8"/>
          </w:tcPr>
          <w:p>
            <w:pPr>
              <w:spacing w:after="40" w:before="40" w:line="250" w:lineRule="auto"/>
            </w:pPr>
            <w:r>
              <w:rPr>
                <w:sz w:val="21"/>
              </w:rPr>
              <w:t>Advancing percentage or percentage above VWAP</w:t>
            </w:r>
          </w:p>
        </w:tc>
        <w:tc>
          <w:tcPr>
            <w:tcW w:type="dxa" w:w="3672"/>
            <w:vAlign w:val="center"/>
            <w:shd w:fill="EEF3F8"/>
          </w:tcPr>
          <w:p>
            <w:pPr>
              <w:spacing w:after="40" w:before="40" w:line="250" w:lineRule="auto"/>
            </w:pPr>
            <w:r>
              <w:rPr>
                <w:sz w:val="21"/>
              </w:rPr>
              <w:t>How much of a defined universe shares the move.</w:t>
            </w:r>
          </w:p>
        </w:tc>
        <w:tc>
          <w:tcPr>
            <w:tcW w:type="dxa" w:w="3528"/>
            <w:vAlign w:val="center"/>
            <w:shd w:fill="EEF3F8"/>
          </w:tcPr>
          <w:p>
            <w:pPr>
              <w:spacing w:after="40" w:before="40" w:line="250" w:lineRule="auto"/>
            </w:pPr>
            <w:r>
              <w:rPr>
                <w:sz w:val="21"/>
              </w:rPr>
              <w:t>Market-direction filter; avoid relying on one index leader.</w:t>
            </w:r>
          </w:p>
        </w:tc>
      </w:tr>
      <w:tr>
        <w:trPr>
          <w:cantSplit/>
        </w:trPr>
        <w:tc>
          <w:tcPr>
            <w:tcW w:type="dxa" w:w="2880"/>
            <w:vAlign w:val="center"/>
            <w:shd w:fill="FFFFFF"/>
          </w:tcPr>
          <w:p>
            <w:pPr>
              <w:spacing w:after="40" w:before="40" w:line="250" w:lineRule="auto"/>
            </w:pPr>
            <w:r>
              <w:rPr>
                <w:sz w:val="21"/>
              </w:rPr>
              <w:t>Equal-weight versus cap-weight return</w:t>
            </w:r>
          </w:p>
        </w:tc>
        <w:tc>
          <w:tcPr>
            <w:tcW w:type="dxa" w:w="3672"/>
            <w:vAlign w:val="center"/>
            <w:shd w:fill="FFFFFF"/>
          </w:tcPr>
          <w:p>
            <w:pPr>
              <w:spacing w:after="40" w:before="40" w:line="250" w:lineRule="auto"/>
            </w:pPr>
            <w:r>
              <w:rPr>
                <w:sz w:val="21"/>
              </w:rPr>
              <w:t>Whether the typical constituent agrees with the largest companies.</w:t>
            </w:r>
          </w:p>
        </w:tc>
        <w:tc>
          <w:tcPr>
            <w:tcW w:type="dxa" w:w="3528"/>
            <w:vAlign w:val="center"/>
            <w:shd w:fill="FFFFFF"/>
          </w:tcPr>
          <w:p>
            <w:pPr>
              <w:spacing w:after="40" w:before="40" w:line="250" w:lineRule="auto"/>
            </w:pPr>
            <w:r>
              <w:rPr>
                <w:sz w:val="21"/>
              </w:rPr>
              <w:t>Breadth filter for momentum or index strategies.</w:t>
            </w:r>
          </w:p>
        </w:tc>
      </w:tr>
      <w:tr>
        <w:trPr>
          <w:cantSplit/>
        </w:trPr>
        <w:tc>
          <w:tcPr>
            <w:tcW w:type="dxa" w:w="2880"/>
            <w:vAlign w:val="center"/>
            <w:shd w:fill="EEF3F8"/>
          </w:tcPr>
          <w:p>
            <w:pPr>
              <w:spacing w:after="40" w:before="40" w:line="250" w:lineRule="auto"/>
            </w:pPr>
            <w:r>
              <w:rPr>
                <w:sz w:val="21"/>
              </w:rPr>
              <w:t>Return dispersion and correlation</w:t>
            </w:r>
          </w:p>
        </w:tc>
        <w:tc>
          <w:tcPr>
            <w:tcW w:type="dxa" w:w="3672"/>
            <w:vAlign w:val="center"/>
            <w:shd w:fill="EEF3F8"/>
          </w:tcPr>
          <w:p>
            <w:pPr>
              <w:spacing w:after="40" w:before="40" w:line="250" w:lineRule="auto"/>
            </w:pPr>
            <w:r>
              <w:rPr>
                <w:sz w:val="21"/>
              </w:rPr>
              <w:t>Whether stocks move differently or together.</w:t>
            </w:r>
          </w:p>
        </w:tc>
        <w:tc>
          <w:tcPr>
            <w:tcW w:type="dxa" w:w="3528"/>
            <w:vAlign w:val="center"/>
            <w:shd w:fill="EEF3F8"/>
          </w:tcPr>
          <w:p>
            <w:pPr>
              <w:spacing w:after="40" w:before="40" w:line="250" w:lineRule="auto"/>
            </w:pPr>
            <w:r>
              <w:rPr>
                <w:sz w:val="21"/>
              </w:rPr>
              <w:t>Stock selection, relative value, and portfolio risk.</w:t>
            </w:r>
          </w:p>
        </w:tc>
      </w:tr>
    </w:tbl>
    <w:p>
      <w:pPr>
        <w:spacing w:after="20"/>
      </w:pPr>
      <w:r/>
    </w:p>
    <w:p>
      <w:r>
        <w:rPr>
          <w:b/>
        </w:rPr>
        <w:t xml:space="preserve">Coverage matters </w:t>
      </w:r>
      <w:r>
        <w:t>A basket of selected technology stocks measures that basket. Label the universe and preserve historical membership when testing market-wide claims.</w:t>
      </w:r>
    </w:p>
    <w:p>
      <w:pPr>
        <w:pStyle w:val="Heading1"/>
        <w:pageBreakBefore/>
      </w:pPr>
      <w:r>
        <w:t>Liquidity and immediate order flow</w:t>
      </w:r>
    </w:p>
    <w:p>
      <w:r>
        <w:t>Question: What does trading cost now, and what pressure is visible near the best prices? Data: synchronized quotes and trades; full book messages for queues. Common users: execution, scalping, market making, and entry filters.</w:t>
      </w:r>
    </w:p>
    <w:p>
      <w:pPr>
        <w:pStyle w:val="Heading2"/>
      </w:pPr>
      <w:r>
        <w:t>Bid ask spread and displayed depth</w:t>
      </w:r>
    </w:p>
    <w:p>
      <w:r>
        <w:t>The spread is the ask minus the bid. A $0.02 spread around $100 is about 2 basis points, where 1 basis point is 0.01%. Displayed depth is the quantity quoted at the best prices or across available book levels.</w:t>
      </w:r>
    </w:p>
    <w:p>
      <w:r>
        <w:rPr>
          <w:b/>
        </w:rPr>
        <w:t xml:space="preserve">Typical use: </w:t>
      </w:r>
      <w:r>
        <w:t xml:space="preserve">Rejecting expensive trades, choosing order behavior, and limiting order size. </w:t>
      </w:r>
      <w:r>
        <w:rPr>
          <w:b/>
        </w:rPr>
        <w:t xml:space="preserve">Watch for: </w:t>
      </w:r>
      <w:r>
        <w:t>Displayed size can disappear and excludes hidden liquidity. Crossing both ways costs roughly one full spread if the midpoint is unchanged.</w:t>
      </w:r>
    </w:p>
    <w:p>
      <w:pPr>
        <w:pStyle w:val="Heading2"/>
      </w:pPr>
      <w:r>
        <w:t>Quote size imbalance and microprice</w:t>
      </w:r>
    </w:p>
    <w:p>
      <w:r>
        <w:t>Quote imbalance compares displayed bid and ask size. With 900 shares bid and 100 offered, imbalance is +0.8 under the difference-divided-by-total convention. Microprice weights the best prices so greater bid size moves the estimate toward the ask.</w:t>
      </w:r>
    </w:p>
    <w:p>
      <w:r>
        <w:rPr>
          <w:b/>
        </w:rPr>
        <w:t xml:space="preserve">Typical use: </w:t>
      </w:r>
      <w:r>
        <w:t xml:space="preserve">Short-horizon price research, quote placement, and execution timing. </w:t>
      </w:r>
      <w:r>
        <w:rPr>
          <w:b/>
        </w:rPr>
        <w:t xml:space="preserve">Watch for: </w:t>
      </w:r>
      <w:r>
        <w:t>A snapshot is not a guaranteed next move. It is also not your order queue position.</w:t>
      </w:r>
    </w:p>
    <w:p>
      <w:pPr>
        <w:pStyle w:val="Heading2"/>
      </w:pPr>
      <w:r>
        <w:t>Signed trade volume</w:t>
      </w:r>
    </w:p>
    <w:p>
      <w:r>
        <w:t>Estimate whether a trade aggressively bought at an offer or sold at a bid, then compare the associated volumes. Cumulative volume delta adds these signed quantities over time. Every trade still has both a buyer and a seller.</w:t>
      </w:r>
    </w:p>
    <w:p>
      <w:r>
        <w:rPr>
          <w:b/>
        </w:rPr>
        <w:t xml:space="preserve">Typical use: </w:t>
      </w:r>
      <w:r>
        <w:t xml:space="preserve">Order-flow continuation, absorption research, and scalping signals. </w:t>
      </w:r>
      <w:r>
        <w:rPr>
          <w:b/>
        </w:rPr>
        <w:t xml:space="preserve">Watch for: </w:t>
      </w:r>
      <w:r>
        <w:t>Direction is often inferred. Timestamp alignment and ambiguous prints can change the result.</w:t>
      </w:r>
    </w:p>
    <w:p>
      <w:pPr>
        <w:pStyle w:val="Heading2"/>
      </w:pPr>
      <w:r>
        <w:t>Order flow imbalance</w:t>
      </w:r>
    </w:p>
    <w:p>
      <w:r>
        <w:t>OFI combines changes in supply and demand at the best bid and ask as prices and sizes update. It differs from a single quote-size snapshot and from signed trade volume. Research connects OFI with contemporaneous short price changes. [10]</w:t>
      </w:r>
    </w:p>
    <w:p>
      <w:r>
        <w:rPr>
          <w:b/>
        </w:rPr>
        <w:t xml:space="preserve">Typical use: </w:t>
      </w:r>
      <w:r>
        <w:t xml:space="preserve">Microstructure research and execution models. </w:t>
      </w:r>
      <w:r>
        <w:rPr>
          <w:b/>
        </w:rPr>
        <w:t xml:space="preserve">Watch for: </w:t>
      </w:r>
      <w:r>
        <w:t>Explaining a simultaneous price move does not establish a forecast that survives latency and costs.</w:t>
      </w:r>
    </w:p>
    <w:p>
      <w:pPr>
        <w:pStyle w:val="Heading2"/>
      </w:pPr>
      <w:r>
        <w:t>Quote age and post fill markout</w:t>
      </w:r>
    </w:p>
    <w:p>
      <w:r>
        <w:t>Quote age measures how old the latest usable quote is. A markout measures price change after a fill over a specified interval. A passive order waits for someone else to trade against it; repeated movement against those fills is evidence of adverse selection.</w:t>
      </w:r>
    </w:p>
    <w:p>
      <w:r>
        <w:rPr>
          <w:b/>
        </w:rPr>
        <w:t xml:space="preserve">Typical use: </w:t>
      </w:r>
      <w:r>
        <w:t xml:space="preserve">Freshness checks and deciding whether passive execution is helping. </w:t>
      </w:r>
      <w:r>
        <w:rPr>
          <w:b/>
        </w:rPr>
        <w:t xml:space="preserve">Watch for: </w:t>
      </w:r>
      <w:r>
        <w:t>Measure buys and sells with consistent signs and distinguish midpoint markouts from realizable profit.</w:t>
      </w:r>
    </w:p>
    <w:p>
      <w:r>
        <w:rPr>
          <w:b/>
        </w:rPr>
        <w:t xml:space="preserve">Data limit </w:t>
      </w:r>
      <w:r>
        <w:t>Alpaca stock quotes and trades support top-of-book research, not reconstruction of individual exchange queues. Treat trade conditions, corrections, size units, and event timestamps consistently. [8]</w:t>
      </w:r>
    </w:p>
    <w:p>
      <w:pPr>
        <w:pStyle w:val="Heading1"/>
        <w:pageBreakBefore/>
      </w:pPr>
      <w:r>
        <w:t>Pairs and relative value</w:t>
      </w:r>
    </w:p>
    <w:p>
      <w:r>
        <w:t>Question: Has a relationship moved unusually far from its baseline, and is that relationship still credible? Data: synchronized histories for all legs. Common users: pairs trading, sector residual reversion, and basket statistical arbitrage.</w:t>
      </w:r>
    </w:p>
    <w:p>
      <w:pPr>
        <w:pStyle w:val="Heading2"/>
      </w:pPr>
      <w:r>
        <w:t>Spread and spread z score</w:t>
      </w:r>
    </w:p>
    <w:p>
      <w:r>
        <w:t>A spread is a deliberately defined relationship, such as one log price minus a fitted multiple of another log price. Its z-score describes distance from its own rolling baseline. A candidate trade bets on that relationship narrowing, rather than on either stock rising alone.</w:t>
      </w:r>
    </w:p>
    <w:p>
      <w:r>
        <w:rPr>
          <w:b/>
        </w:rPr>
        <w:t xml:space="preserve">Typical use: </w:t>
      </w:r>
      <w:r>
        <w:t xml:space="preserve">Relative-value entry candidates and convergence exits. </w:t>
      </w:r>
      <w:r>
        <w:rPr>
          <w:b/>
        </w:rPr>
        <w:t xml:space="preserve">Watch for: </w:t>
      </w:r>
      <w:r>
        <w:t>Define the spread and leg sizes consistently. A hedge coefficient in a log-price model is not automatically a share-quantity ratio.</w:t>
      </w:r>
    </w:p>
    <w:p>
      <w:pPr>
        <w:pStyle w:val="Heading2"/>
      </w:pPr>
      <w:r>
        <w:t>Beta and hedge ratio stability</w:t>
      </w:r>
    </w:p>
    <w:p>
      <w:r>
        <w:t>Beta estimates sensitivity to a market, sector, or other leg. The hedge ratio translates a model into relative exposure. Compare estimates through time to see whether the relationship is stable enough to use.</w:t>
      </w:r>
    </w:p>
    <w:p>
      <w:r>
        <w:rPr>
          <w:b/>
        </w:rPr>
        <w:t xml:space="preserve">Typical use: </w:t>
      </w:r>
      <w:r>
        <w:t xml:space="preserve">Sizing hedges and rejecting unstable relationships. </w:t>
      </w:r>
      <w:r>
        <w:rPr>
          <w:b/>
        </w:rPr>
        <w:t xml:space="preserve">Watch for: </w:t>
      </w:r>
      <w:r>
        <w:t>A fitted hedge is imperfect. Estimate with past data, avoid unmatched timestamps, and monitor unhedged partial fills.</w:t>
      </w:r>
    </w:p>
    <w:p>
      <w:pPr>
        <w:pStyle w:val="Heading2"/>
      </w:pPr>
      <w:r>
        <w:t>Correlation and cointegration</w:t>
      </w:r>
    </w:p>
    <w:p>
      <w:r>
        <w:t>Return correlation measures co-movement. Cointegration asks whether a specified combination of drifting price series fluctuates around a stable baseline under statistical assumptions. Two stocks can have strongly correlated returns while their price relationship keeps drifting.</w:t>
      </w:r>
    </w:p>
    <w:p>
      <w:r>
        <w:rPr>
          <w:b/>
        </w:rPr>
        <w:t xml:space="preserve">Typical use: </w:t>
      </w:r>
      <w:r>
        <w:t xml:space="preserve">Correlation for risk and candidate screening; cointegration diagnostics for certain convergence models. </w:t>
      </w:r>
      <w:r>
        <w:rPr>
          <w:b/>
        </w:rPr>
        <w:t xml:space="preserve">Watch for: </w:t>
      </w:r>
      <w:r>
        <w:t>A favorable test is evidence under assumptions, not proof of a permanent relationship or profitable trade.</w:t>
      </w:r>
    </w:p>
    <w:p>
      <w:pPr>
        <w:pStyle w:val="Heading2"/>
      </w:pPr>
      <w:r>
        <w:t>Reversion speed and relationship breaks</w:t>
      </w:r>
    </w:p>
    <w:p>
      <w:r>
        <w:t>Estimated half-life describes how quickly a modeled deviation shrinks. A relationship-break measure asks whether current behavior differs from the fitting period. A very slow estimated convergence may not suit an intraday holding limit.</w:t>
      </w:r>
    </w:p>
    <w:p>
      <w:r>
        <w:rPr>
          <w:b/>
        </w:rPr>
        <w:t xml:space="preserve">Typical use: </w:t>
      </w:r>
      <w:r>
        <w:t xml:space="preserve">Holding-time research, relationship filters, and decisions to pause new entries. </w:t>
      </w:r>
      <w:r>
        <w:rPr>
          <w:b/>
        </w:rPr>
        <w:t xml:space="preserve">Watch for: </w:t>
      </w:r>
      <w:r>
        <w:t>Half-life is uncertain and model-dependent. Exit logic must handle divergence as well as successful convergence.</w:t>
      </w:r>
    </w:p>
    <w:p>
      <w:pPr>
        <w:pStyle w:val="Heading2"/>
      </w:pPr>
      <w:r>
        <w:t>Market and sector residuals</w:t>
      </w:r>
    </w:p>
    <w:p>
      <w:r>
        <w:t>A residual is the stock movement left after subtracting modeled market and sector contributions. If a stock rises 1% while the model explains 0.8%, the residual is about +0.2 percentage points under that specification.</w:t>
      </w:r>
    </w:p>
    <w:p>
      <w:r>
        <w:rPr>
          <w:b/>
        </w:rPr>
        <w:t xml:space="preserve">Typical use: </w:t>
      </w:r>
      <w:r>
        <w:t xml:space="preserve">Sector residual reversion or residual momentum, depending on the hypothesis. </w:t>
      </w:r>
      <w:r>
        <w:rPr>
          <w:b/>
        </w:rPr>
        <w:t xml:space="preserve">Watch for: </w:t>
      </w:r>
      <w:r>
        <w:t>A residual can contain omitted risk or genuine new information. It is not automatically mispricing.</w:t>
      </w:r>
    </w:p>
    <w:p>
      <w:r>
        <w:rPr>
          <w:b/>
        </w:rPr>
        <w:t xml:space="preserve">Trade eligibility </w:t>
      </w:r>
      <w:r>
        <w:t>For each entry, estimate plausible convergence after both legs' spread, slippage, fees, borrow, and financing. Small gross spreads can disappear after costs.</w:t>
      </w:r>
    </w:p>
    <w:p>
      <w:pPr>
        <w:pStyle w:val="Heading1"/>
        <w:pageBreakBefore/>
      </w:pPr>
      <w:r>
        <w:t>Additional market context</w:t>
      </w:r>
    </w:p>
    <w:p>
      <w:r>
        <w:t>Question: Is there information that changes the meaning or risk of the technical setup? These inputs extend the earlier catalog but are not all technical indicators. Use them mainly as explicit filters or separate research hypotheses.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2952"/>
        <w:gridCol w:w="4536"/>
        <w:gridCol w:w="2592"/>
      </w:tblGrid>
      <w:tr>
        <w:trPr>
          <w:tblHeader/>
          <w:cantSplit/>
        </w:trPr>
        <w:tc>
          <w:tcPr>
            <w:tcW w:type="dxa" w:w="2952"/>
            <w:vAlign w:val="center"/>
            <w:shd w:fill="17365D"/>
          </w:tcPr>
          <w:p>
            <w:pPr>
              <w:spacing w:after="40" w:before="40" w:line="250" w:lineRule="auto"/>
            </w:pPr>
            <w:r>
              <w:rPr>
                <w:b/>
                <w:color w:val="FFFFFF"/>
                <w:sz w:val="21"/>
              </w:rPr>
              <w:t>Category and key inputs</w:t>
            </w:r>
          </w:p>
        </w:tc>
        <w:tc>
          <w:tcPr>
            <w:tcW w:type="dxa" w:w="4536"/>
            <w:vAlign w:val="center"/>
            <w:shd w:fill="17365D"/>
          </w:tcPr>
          <w:p>
            <w:pPr>
              <w:spacing w:after="40" w:before="40" w:line="250" w:lineRule="auto"/>
            </w:pPr>
            <w:r>
              <w:rPr>
                <w:b/>
                <w:color w:val="FFFFFF"/>
                <w:sz w:val="21"/>
              </w:rPr>
              <w:t>What to understand</w:t>
            </w:r>
          </w:p>
        </w:tc>
        <w:tc>
          <w:tcPr>
            <w:tcW w:type="dxa" w:w="2592"/>
            <w:vAlign w:val="center"/>
            <w:shd w:fill="17365D"/>
          </w:tcPr>
          <w:p>
            <w:pPr>
              <w:spacing w:after="40" w:before="40" w:line="250" w:lineRule="auto"/>
            </w:pPr>
            <w:r>
              <w:rPr>
                <w:b/>
                <w:color w:val="FFFFFF"/>
                <w:sz w:val="21"/>
              </w:rPr>
              <w:t>Typical users</w:t>
            </w:r>
          </w:p>
        </w:tc>
      </w:tr>
      <w:tr>
        <w:trPr>
          <w:cantSplit/>
        </w:trPr>
        <w:tc>
          <w:tcPr>
            <w:tcW w:type="dxa" w:w="2952"/>
            <w:vAlign w:val="center"/>
            <w:shd w:fill="EEF3F8"/>
          </w:tcPr>
          <w:p>
            <w:pPr>
              <w:spacing w:after="40" w:before="40" w:line="250" w:lineRule="auto"/>
            </w:pPr>
            <w:r>
              <w:rPr>
                <w:sz w:val="21"/>
              </w:rPr>
              <w:t>Cross asset</w:t>
              <w:br/>
              <w:t>Yields, credit spreads, dollar, oil</w:t>
            </w:r>
          </w:p>
        </w:tc>
        <w:tc>
          <w:tcPr>
            <w:tcW w:type="dxa" w:w="4536"/>
            <w:vAlign w:val="center"/>
            <w:shd w:fill="EEF3F8"/>
          </w:tcPr>
          <w:p>
            <w:pPr>
              <w:spacing w:after="40" w:before="40" w:line="250" w:lineRule="auto"/>
            </w:pPr>
            <w:r>
              <w:rPr>
                <w:sz w:val="21"/>
              </w:rPr>
              <w:t>Shows movement in other markets. Effects depend on the cause and the company or sector exposure.</w:t>
            </w:r>
          </w:p>
        </w:tc>
        <w:tc>
          <w:tcPr>
            <w:tcW w:type="dxa" w:w="2592"/>
            <w:vAlign w:val="center"/>
            <w:shd w:fill="EEF3F8"/>
          </w:tcPr>
          <w:p>
            <w:pPr>
              <w:spacing w:after="40" w:before="40" w:line="250" w:lineRule="auto"/>
            </w:pPr>
            <w:r>
              <w:rPr>
                <w:sz w:val="21"/>
              </w:rPr>
              <w:t>Market filters, sector strategies, portfolio risk</w:t>
            </w:r>
          </w:p>
        </w:tc>
      </w:tr>
      <w:tr>
        <w:trPr>
          <w:cantSplit/>
        </w:trPr>
        <w:tc>
          <w:tcPr>
            <w:tcW w:type="dxa" w:w="2952"/>
            <w:vAlign w:val="center"/>
            <w:shd w:fill="FFFFFF"/>
          </w:tcPr>
          <w:p>
            <w:pPr>
              <w:spacing w:after="40" w:before="40" w:line="250" w:lineRule="auto"/>
            </w:pPr>
            <w:r>
              <w:rPr>
                <w:sz w:val="21"/>
              </w:rPr>
              <w:t>Events and news</w:t>
              <w:br/>
              <w:t>Time to earnings, surprise, novelty</w:t>
            </w:r>
          </w:p>
        </w:tc>
        <w:tc>
          <w:tcPr>
            <w:tcW w:type="dxa" w:w="4536"/>
            <w:vAlign w:val="center"/>
            <w:shd w:fill="FFFFFF"/>
          </w:tcPr>
          <w:p>
            <w:pPr>
              <w:spacing w:after="40" w:before="40" w:line="250" w:lineRule="auto"/>
            </w:pPr>
            <w:r>
              <w:rPr>
                <w:sz w:val="21"/>
              </w:rPr>
              <w:t>Measures event proximity or new information. Surprise needs the expectation known before release.</w:t>
            </w:r>
          </w:p>
        </w:tc>
        <w:tc>
          <w:tcPr>
            <w:tcW w:type="dxa" w:w="2592"/>
            <w:vAlign w:val="center"/>
            <w:shd w:fill="FFFFFF"/>
          </w:tcPr>
          <w:p>
            <w:pPr>
              <w:spacing w:after="40" w:before="40" w:line="250" w:lineRule="auto"/>
            </w:pPr>
            <w:r>
              <w:rPr>
                <w:sz w:val="21"/>
              </w:rPr>
              <w:t>Event momentum, post-event reversal, entry pauses</w:t>
            </w:r>
          </w:p>
        </w:tc>
      </w:tr>
      <w:tr>
        <w:trPr>
          <w:cantSplit/>
        </w:trPr>
        <w:tc>
          <w:tcPr>
            <w:tcW w:type="dxa" w:w="2952"/>
            <w:vAlign w:val="center"/>
            <w:shd w:fill="EEF3F8"/>
          </w:tcPr>
          <w:p>
            <w:pPr>
              <w:spacing w:after="40" w:before="40" w:line="250" w:lineRule="auto"/>
            </w:pPr>
            <w:r>
              <w:rPr>
                <w:sz w:val="21"/>
              </w:rPr>
              <w:t>Options</w:t>
              <w:br/>
              <w:t>VIX, implied volatility, skew</w:t>
            </w:r>
          </w:p>
        </w:tc>
        <w:tc>
          <w:tcPr>
            <w:tcW w:type="dxa" w:w="4536"/>
            <w:vAlign w:val="center"/>
            <w:shd w:fill="EEF3F8"/>
          </w:tcPr>
          <w:p>
            <w:pPr>
              <w:spacing w:after="40" w:before="40" w:line="250" w:lineRule="auto"/>
            </w:pPr>
            <w:r>
              <w:rPr>
                <w:sz w:val="21"/>
              </w:rPr>
              <w:t>Describes option-implied risk and relative downside pricing. VIX is about 30-day expected volatility, not price direction. [11]</w:t>
            </w:r>
          </w:p>
        </w:tc>
        <w:tc>
          <w:tcPr>
            <w:tcW w:type="dxa" w:w="2592"/>
            <w:vAlign w:val="center"/>
            <w:shd w:fill="EEF3F8"/>
          </w:tcPr>
          <w:p>
            <w:pPr>
              <w:spacing w:after="40" w:before="40" w:line="250" w:lineRule="auto"/>
            </w:pPr>
            <w:r>
              <w:rPr>
                <w:sz w:val="21"/>
              </w:rPr>
              <w:t>Volatility strategies and risk filters</w:t>
            </w:r>
          </w:p>
        </w:tc>
      </w:tr>
      <w:tr>
        <w:trPr>
          <w:cantSplit/>
        </w:trPr>
        <w:tc>
          <w:tcPr>
            <w:tcW w:type="dxa" w:w="2952"/>
            <w:vAlign w:val="center"/>
            <w:shd w:fill="FFFFFF"/>
          </w:tcPr>
          <w:p>
            <w:pPr>
              <w:spacing w:after="40" w:before="40" w:line="250" w:lineRule="auto"/>
            </w:pPr>
            <w:r>
              <w:rPr>
                <w:sz w:val="21"/>
              </w:rPr>
              <w:t>Fundamentals</w:t>
              <w:br/>
              <w:t>Size, value, profitability, leverage</w:t>
            </w:r>
          </w:p>
        </w:tc>
        <w:tc>
          <w:tcPr>
            <w:tcW w:type="dxa" w:w="4536"/>
            <w:vAlign w:val="center"/>
            <w:shd w:fill="FFFFFF"/>
          </w:tcPr>
          <w:p>
            <w:pPr>
              <w:spacing w:after="40" w:before="40" w:line="250" w:lineRule="auto"/>
            </w:pPr>
            <w:r>
              <w:rPr>
                <w:sz w:val="21"/>
              </w:rPr>
              <w:t>Describes the company and slower exposures. It is generally context for an intraday signal. [14, 15]</w:t>
            </w:r>
          </w:p>
        </w:tc>
        <w:tc>
          <w:tcPr>
            <w:tcW w:type="dxa" w:w="2592"/>
            <w:vAlign w:val="center"/>
            <w:shd w:fill="FFFFFF"/>
          </w:tcPr>
          <w:p>
            <w:pPr>
              <w:spacing w:after="40" w:before="40" w:line="250" w:lineRule="auto"/>
            </w:pPr>
            <w:r>
              <w:rPr>
                <w:sz w:val="21"/>
              </w:rPr>
              <w:t>Universe selection, factor portfolios, exposure limits</w:t>
            </w:r>
          </w:p>
        </w:tc>
      </w:tr>
      <w:tr>
        <w:trPr>
          <w:cantSplit/>
        </w:trPr>
        <w:tc>
          <w:tcPr>
            <w:tcW w:type="dxa" w:w="2952"/>
            <w:vAlign w:val="center"/>
            <w:shd w:fill="EEF3F8"/>
          </w:tcPr>
          <w:p>
            <w:pPr>
              <w:spacing w:after="40" w:before="40" w:line="250" w:lineRule="auto"/>
            </w:pPr>
            <w:r>
              <w:rPr>
                <w:sz w:val="21"/>
              </w:rPr>
              <w:t>Positioning and borrowing</w:t>
              <w:br/>
              <w:t>Short interest, borrow fee and availability</w:t>
            </w:r>
          </w:p>
        </w:tc>
        <w:tc>
          <w:tcPr>
            <w:tcW w:type="dxa" w:w="4536"/>
            <w:vAlign w:val="center"/>
            <w:shd w:fill="EEF3F8"/>
          </w:tcPr>
          <w:p>
            <w:pPr>
              <w:spacing w:after="40" w:before="40" w:line="250" w:lineRule="auto"/>
            </w:pPr>
            <w:r>
              <w:rPr>
                <w:sz w:val="21"/>
              </w:rPr>
              <w:t>Reported positions describe crowding; borrow terms determine short-sale feasibility. Short-sale volume is not outstanding short interest. [12]</w:t>
            </w:r>
          </w:p>
        </w:tc>
        <w:tc>
          <w:tcPr>
            <w:tcW w:type="dxa" w:w="2592"/>
            <w:vAlign w:val="center"/>
            <w:shd w:fill="EEF3F8"/>
          </w:tcPr>
          <w:p>
            <w:pPr>
              <w:spacing w:after="40" w:before="40" w:line="250" w:lineRule="auto"/>
            </w:pPr>
            <w:r>
              <w:rPr>
                <w:sz w:val="21"/>
              </w:rPr>
              <w:t>Short strategies, pairs, crowding studies</w:t>
            </w:r>
          </w:p>
        </w:tc>
      </w:tr>
      <w:tr>
        <w:trPr>
          <w:cantSplit/>
        </w:trPr>
        <w:tc>
          <w:tcPr>
            <w:tcW w:type="dxa" w:w="2952"/>
            <w:vAlign w:val="center"/>
            <w:shd w:fill="FFFFFF"/>
          </w:tcPr>
          <w:p>
            <w:pPr>
              <w:spacing w:after="40" w:before="40" w:line="250" w:lineRule="auto"/>
            </w:pPr>
            <w:r>
              <w:rPr>
                <w:sz w:val="21"/>
              </w:rPr>
              <w:t>Macroeconomics</w:t>
              <w:br/>
              <w:t>Release time, inflation and jobs surprises</w:t>
            </w:r>
          </w:p>
        </w:tc>
        <w:tc>
          <w:tcPr>
            <w:tcW w:type="dxa" w:w="4536"/>
            <w:vAlign w:val="center"/>
            <w:shd w:fill="FFFFFF"/>
          </w:tcPr>
          <w:p>
            <w:pPr>
              <w:spacing w:after="40" w:before="40" w:line="250" w:lineRule="auto"/>
            </w:pPr>
            <w:r>
              <w:rPr>
                <w:sz w:val="21"/>
              </w:rPr>
              <w:t>Separates scheduled risk from the actual information surprise. Historical revisions must not appear early. [13]</w:t>
            </w:r>
          </w:p>
        </w:tc>
        <w:tc>
          <w:tcPr>
            <w:tcW w:type="dxa" w:w="2592"/>
            <w:vAlign w:val="center"/>
            <w:shd w:fill="FFFFFF"/>
          </w:tcPr>
          <w:p>
            <w:pPr>
              <w:spacing w:after="40" w:before="40" w:line="250" w:lineRule="auto"/>
            </w:pPr>
            <w:r>
              <w:rPr>
                <w:sz w:val="21"/>
              </w:rPr>
              <w:t>Event strategies, entry pauses, risk controls</w:t>
            </w:r>
          </w:p>
        </w:tc>
      </w:tr>
      <w:tr>
        <w:trPr>
          <w:cantSplit/>
        </w:trPr>
        <w:tc>
          <w:tcPr>
            <w:tcW w:type="dxa" w:w="2952"/>
            <w:vAlign w:val="center"/>
            <w:shd w:fill="EEF3F8"/>
          </w:tcPr>
          <w:p>
            <w:pPr>
              <w:spacing w:after="40" w:before="40" w:line="250" w:lineRule="auto"/>
            </w:pPr>
            <w:r>
              <w:rPr>
                <w:sz w:val="21"/>
              </w:rPr>
              <w:t>Auctions</w:t>
              <w:br/>
              <w:t>Imbalance, paired quantity, indicative price</w:t>
            </w:r>
          </w:p>
        </w:tc>
        <w:tc>
          <w:tcPr>
            <w:tcW w:type="dxa" w:w="4536"/>
            <w:vAlign w:val="center"/>
            <w:shd w:fill="EEF3F8"/>
          </w:tcPr>
          <w:p>
            <w:pPr>
              <w:spacing w:after="40" w:before="40" w:line="250" w:lineRule="auto"/>
            </w:pPr>
            <w:r>
              <w:rPr>
                <w:sz w:val="21"/>
              </w:rPr>
              <w:t>Describes exchange-specific opening or closing demand. These are separate auction fields, not ordinary quote imbalance. [16]</w:t>
            </w:r>
          </w:p>
        </w:tc>
        <w:tc>
          <w:tcPr>
            <w:tcW w:type="dxa" w:w="2592"/>
            <w:vAlign w:val="center"/>
            <w:shd w:fill="EEF3F8"/>
          </w:tcPr>
          <w:p>
            <w:pPr>
              <w:spacing w:after="40" w:before="40" w:line="250" w:lineRule="auto"/>
            </w:pPr>
            <w:r>
              <w:rPr>
                <w:sz w:val="21"/>
              </w:rPr>
              <w:t>Auction execution and specialist event strategies</w:t>
            </w:r>
          </w:p>
        </w:tc>
      </w:tr>
    </w:tbl>
    <w:p>
      <w:pPr>
        <w:spacing w:after="20"/>
      </w:pPr>
      <w:r/>
    </w:p>
    <w:p>
      <w:pPr>
        <w:pStyle w:val="Heading2"/>
      </w:pPr>
      <w:r>
        <w:t>Choose context that has a clear purpose</w:t>
      </w:r>
    </w:p>
    <w:p>
      <w:r>
        <w:t>A sensible first use of earnings data is to test whether a reversion strategy should avoid new positions around earnings. Building a real-time news classifier or estimating dealer gamma exposure is a separate project with substantially greater data and modeling demands.</w:t>
      </w:r>
    </w:p>
    <w:p>
      <w:r>
        <w:rPr>
          <w:b/>
        </w:rPr>
        <w:t xml:space="preserve">Before coding </w:t>
      </w:r>
      <w:r>
        <w:t>Use the first time information was available, not the period it describes. A quarterly filing and a later restatement cannot both be treated as known at the original quarter end.</w:t>
      </w:r>
    </w:p>
    <w:p>
      <w:pPr>
        <w:pStyle w:val="Heading1"/>
        <w:pageBreakBefore/>
      </w:pPr>
      <w:r>
        <w:t>Execution and transaction costs</w:t>
      </w:r>
    </w:p>
    <w:p>
      <w:r>
        <w:t>Question: How should an existing trading decision become orders, and is the expected payoff large enough? Common users: every strategy. Data: quotes, trades, order records, fills, and broker costs.</w:t>
      </w:r>
    </w:p>
    <w:p>
      <w:pPr>
        <w:pStyle w:val="Heading2"/>
      </w:pPr>
      <w:r>
        <w:t>Expected net payoff</w:t>
      </w:r>
    </w:p>
    <w:p>
      <w:r>
        <w:t>Estimate the payoff of the trading hypothesis, then subtract spread, slippage, impact, explicit fees, and relevant borrowing or financing. An illustrative expected gross gain of 12 basis points with 9 basis points of total costs leaves only 3 before estimation error.</w:t>
      </w:r>
    </w:p>
    <w:p>
      <w:r>
        <w:rPr>
          <w:b/>
        </w:rPr>
        <w:t xml:space="preserve">Typical use: </w:t>
      </w:r>
      <w:r>
        <w:t xml:space="preserve">Trade eligibility and comparing direct versus scheduled execution. </w:t>
      </w:r>
      <w:r>
        <w:rPr>
          <w:b/>
        </w:rPr>
        <w:t xml:space="preserve">Watch for: </w:t>
      </w:r>
      <w:r>
        <w:t>A forecast is uncertain. Costs change with order size, volatility, liquidity, and how long execution takes.</w:t>
      </w:r>
    </w:p>
    <w:p>
      <w:pPr>
        <w:pStyle w:val="Heading2"/>
      </w:pPr>
      <w:r>
        <w:t>Fill rate and implementation shortfall</w:t>
      </w:r>
    </w:p>
    <w:p>
      <w:r>
        <w:t>Fill rate measures executed quantity or orders against a clearly stated denominator. Implementation shortfall compares the total execution outcome with a decision-time benchmark, including relevant unexecuted quantity. Track time to fill and partial fills as well.</w:t>
      </w:r>
    </w:p>
    <w:p>
      <w:r>
        <w:rPr>
          <w:b/>
        </w:rPr>
        <w:t xml:space="preserve">Typical use: </w:t>
      </w:r>
      <w:r>
        <w:t xml:space="preserve">Execution evaluation and realistic backtest calibration. </w:t>
      </w:r>
      <w:r>
        <w:rPr>
          <w:b/>
        </w:rPr>
        <w:t xml:space="preserve">Watch for: </w:t>
      </w:r>
      <w:r>
        <w:t>A better average fill price can come with more missed profitable trades. Evaluate the whole decision outcome.</w:t>
      </w:r>
    </w:p>
    <w:p>
      <w:pPr>
        <w:pStyle w:val="Heading2"/>
      </w:pPr>
      <w:r>
        <w:t>Reusable execution methods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944"/>
        <w:gridCol w:w="4320"/>
        <w:gridCol w:w="3816"/>
      </w:tblGrid>
      <w:tr>
        <w:trPr>
          <w:tblHeader/>
          <w:cantSplit/>
        </w:trPr>
        <w:tc>
          <w:tcPr>
            <w:tcW w:type="dxa" w:w="1944"/>
            <w:vAlign w:val="center"/>
            <w:shd w:fill="17365D"/>
          </w:tcPr>
          <w:p>
            <w:pPr>
              <w:spacing w:after="40" w:before="40" w:line="250" w:lineRule="auto"/>
            </w:pPr>
            <w:r>
              <w:rPr>
                <w:b/>
                <w:color w:val="FFFFFF"/>
                <w:sz w:val="21"/>
              </w:rPr>
              <w:t>Method</w:t>
            </w:r>
          </w:p>
        </w:tc>
        <w:tc>
          <w:tcPr>
            <w:tcW w:type="dxa" w:w="4320"/>
            <w:vAlign w:val="center"/>
            <w:shd w:fill="17365D"/>
          </w:tcPr>
          <w:p>
            <w:pPr>
              <w:spacing w:after="40" w:before="40" w:line="250" w:lineRule="auto"/>
            </w:pPr>
            <w:r>
              <w:rPr>
                <w:b/>
                <w:color w:val="FFFFFF"/>
                <w:sz w:val="21"/>
              </w:rPr>
              <w:t>How orders are scheduled</w:t>
            </w:r>
          </w:p>
        </w:tc>
        <w:tc>
          <w:tcPr>
            <w:tcW w:type="dxa" w:w="3816"/>
            <w:vAlign w:val="center"/>
            <w:shd w:fill="17365D"/>
          </w:tcPr>
          <w:p>
            <w:pPr>
              <w:spacing w:after="40" w:before="40" w:line="250" w:lineRule="auto"/>
            </w:pPr>
            <w:r>
              <w:rPr>
                <w:b/>
                <w:color w:val="FFFFFF"/>
                <w:sz w:val="21"/>
              </w:rPr>
              <w:t>When to research it</w:t>
            </w:r>
          </w:p>
        </w:tc>
      </w:tr>
      <w:tr>
        <w:trPr>
          <w:cantSplit/>
        </w:trPr>
        <w:tc>
          <w:tcPr>
            <w:tcW w:type="dxa" w:w="1944"/>
            <w:vAlign w:val="center"/>
            <w:shd w:fill="EEF3F8"/>
          </w:tcPr>
          <w:p>
            <w:pPr>
              <w:spacing w:after="40" w:before="40" w:line="250" w:lineRule="auto"/>
            </w:pPr>
            <w:r>
              <w:rPr>
                <w:sz w:val="21"/>
              </w:rPr>
              <w:t>Direct execution</w:t>
            </w:r>
          </w:p>
        </w:tc>
        <w:tc>
          <w:tcPr>
            <w:tcW w:type="dxa" w:w="4320"/>
            <w:vAlign w:val="center"/>
            <w:shd w:fill="EEF3F8"/>
          </w:tcPr>
          <w:p>
            <w:pPr>
              <w:spacing w:after="40" w:before="40" w:line="250" w:lineRule="auto"/>
            </w:pPr>
            <w:r>
              <w:rPr>
                <w:sz w:val="21"/>
              </w:rPr>
              <w:t>Submit the intended order promptly, subject to price and risk limits.</w:t>
            </w:r>
          </w:p>
        </w:tc>
        <w:tc>
          <w:tcPr>
            <w:tcW w:type="dxa" w:w="3816"/>
            <w:vAlign w:val="center"/>
            <w:shd w:fill="EEF3F8"/>
          </w:tcPr>
          <w:p>
            <w:pPr>
              <w:spacing w:after="40" w:before="40" w:line="250" w:lineRule="auto"/>
            </w:pPr>
            <w:r>
              <w:rPr>
                <w:sz w:val="21"/>
              </w:rPr>
              <w:t>Small or urgent trades where waiting could consume the opportunity.</w:t>
            </w:r>
          </w:p>
        </w:tc>
      </w:tr>
      <w:tr>
        <w:trPr>
          <w:cantSplit/>
        </w:trPr>
        <w:tc>
          <w:tcPr>
            <w:tcW w:type="dxa" w:w="1944"/>
            <w:vAlign w:val="center"/>
            <w:shd w:fill="FFFFFF"/>
          </w:tcPr>
          <w:p>
            <w:pPr>
              <w:spacing w:after="40" w:before="40" w:line="250" w:lineRule="auto"/>
            </w:pPr>
            <w:r>
              <w:rPr>
                <w:sz w:val="21"/>
              </w:rPr>
              <w:t>TWAP</w:t>
            </w:r>
          </w:p>
        </w:tc>
        <w:tc>
          <w:tcPr>
            <w:tcW w:type="dxa" w:w="4320"/>
            <w:vAlign w:val="center"/>
            <w:shd w:fill="FFFFFF"/>
          </w:tcPr>
          <w:p>
            <w:pPr>
              <w:spacing w:after="40" w:before="40" w:line="250" w:lineRule="auto"/>
            </w:pPr>
            <w:r>
              <w:rPr>
                <w:sz w:val="21"/>
              </w:rPr>
              <w:t>Spread quantity approximately evenly across a time window. [17]</w:t>
            </w:r>
          </w:p>
        </w:tc>
        <w:tc>
          <w:tcPr>
            <w:tcW w:type="dxa" w:w="3816"/>
            <w:vAlign w:val="center"/>
            <w:shd w:fill="FFFFFF"/>
          </w:tcPr>
          <w:p>
            <w:pPr>
              <w:spacing w:after="40" w:before="40" w:line="250" w:lineRule="auto"/>
            </w:pPr>
            <w:r>
              <w:rPr>
                <w:sz w:val="21"/>
              </w:rPr>
              <w:t>Orders that can tolerate delay; simple baseline schedule.</w:t>
            </w:r>
          </w:p>
        </w:tc>
      </w:tr>
      <w:tr>
        <w:trPr>
          <w:cantSplit/>
        </w:trPr>
        <w:tc>
          <w:tcPr>
            <w:tcW w:type="dxa" w:w="1944"/>
            <w:vAlign w:val="center"/>
            <w:shd w:fill="EEF3F8"/>
          </w:tcPr>
          <w:p>
            <w:pPr>
              <w:spacing w:after="40" w:before="40" w:line="250" w:lineRule="auto"/>
            </w:pPr>
            <w:r>
              <w:rPr>
                <w:sz w:val="21"/>
              </w:rPr>
              <w:t>VWAP execution</w:t>
            </w:r>
          </w:p>
        </w:tc>
        <w:tc>
          <w:tcPr>
            <w:tcW w:type="dxa" w:w="4320"/>
            <w:vAlign w:val="center"/>
            <w:shd w:fill="EEF3F8"/>
          </w:tcPr>
          <w:p>
            <w:pPr>
              <w:spacing w:after="40" w:before="40" w:line="250" w:lineRule="auto"/>
            </w:pPr>
            <w:r>
              <w:rPr>
                <w:sz w:val="21"/>
              </w:rPr>
              <w:t>Schedule toward a volume-weighted benchmark, commonly using a forecast volume profile and updates. [18]</w:t>
            </w:r>
          </w:p>
        </w:tc>
        <w:tc>
          <w:tcPr>
            <w:tcW w:type="dxa" w:w="3816"/>
            <w:vAlign w:val="center"/>
            <w:shd w:fill="EEF3F8"/>
          </w:tcPr>
          <w:p>
            <w:pPr>
              <w:spacing w:after="40" w:before="40" w:line="250" w:lineRule="auto"/>
            </w:pPr>
            <w:r>
              <w:rPr>
                <w:sz w:val="21"/>
              </w:rPr>
              <w:t>Orders material relative to liquidity where benchmark tracking matters.</w:t>
            </w:r>
          </w:p>
        </w:tc>
      </w:tr>
      <w:tr>
        <w:trPr>
          <w:cantSplit/>
        </w:trPr>
        <w:tc>
          <w:tcPr>
            <w:tcW w:type="dxa" w:w="1944"/>
            <w:vAlign w:val="center"/>
            <w:shd w:fill="FFFFFF"/>
          </w:tcPr>
          <w:p>
            <w:pPr>
              <w:spacing w:after="40" w:before="40" w:line="250" w:lineRule="auto"/>
            </w:pPr>
            <w:r>
              <w:rPr>
                <w:sz w:val="21"/>
              </w:rPr>
              <w:t>Participation or POV</w:t>
            </w:r>
          </w:p>
        </w:tc>
        <w:tc>
          <w:tcPr>
            <w:tcW w:type="dxa" w:w="4320"/>
            <w:vAlign w:val="center"/>
            <w:shd w:fill="FFFFFF"/>
          </w:tcPr>
          <w:p>
            <w:pPr>
              <w:spacing w:after="40" w:before="40" w:line="250" w:lineRule="auto"/>
            </w:pPr>
            <w:r>
              <w:rPr>
                <w:sz w:val="21"/>
              </w:rPr>
              <w:t>Trade a chosen fraction of observed market activity.</w:t>
            </w:r>
          </w:p>
        </w:tc>
        <w:tc>
          <w:tcPr>
            <w:tcW w:type="dxa" w:w="3816"/>
            <w:vAlign w:val="center"/>
            <w:shd w:fill="FFFFFF"/>
          </w:tcPr>
          <w:p>
            <w:pPr>
              <w:spacing w:after="40" w:before="40" w:line="250" w:lineRule="auto"/>
            </w:pPr>
            <w:r>
              <w:rPr>
                <w:sz w:val="21"/>
              </w:rPr>
              <w:t>Orders intended to scale with available activity; completion time can vary.</w:t>
            </w:r>
          </w:p>
        </w:tc>
      </w:tr>
    </w:tbl>
    <w:p>
      <w:pPr>
        <w:spacing w:after="20"/>
      </w:pPr>
      <w:r/>
    </w:p>
    <w:p>
      <w:r>
        <w:rPr>
          <w:b/>
        </w:rPr>
        <w:t xml:space="preserve">Keep the roles separate </w:t>
      </w:r>
      <w:r>
        <w:t>VWAP as an indicator describes traded prices. VWAP execution seeks an execution benchmark. TWAP is an execution schedule. These methods do not independently establish why a stock should be bought or sold.</w:t>
      </w:r>
    </w:p>
    <w:p>
      <w:r>
        <w:rPr>
          <w:b/>
        </w:rPr>
        <w:t xml:space="preserve">Design requirement </w:t>
      </w:r>
      <w:r>
        <w:t>A pairs executor must coordinate both legs and handle rejects, partial fills, outstanding orders, and late fills. An exit manager must keep working even when new entries are paused.</w:t>
      </w:r>
    </w:p>
    <w:p>
      <w:pPr>
        <w:pStyle w:val="Heading1"/>
        <w:pageBreakBefore/>
      </w:pPr>
      <w:r>
        <w:t>Regimes and strategy monitoring</w:t>
      </w:r>
    </w:p>
    <w:p>
      <w:r>
        <w:t>Question: Should the strategy trade now, at what exposure, and what should trigger investigation? Data: market features plus the account's positions, orders, fills, and results. Common users: strategy controllers and portfolio management.</w:t>
      </w:r>
    </w:p>
    <w:p>
      <w:pPr>
        <w:pStyle w:val="Heading2"/>
      </w:pPr>
      <w:r>
        <w:t>Trend volatility and liquidity regimes</w:t>
      </w:r>
    </w:p>
    <w:p>
      <w:r>
        <w:t>Combine a few interpretable measurements, such as trend slope, volatility percentile, and spread percentile, into a market-condition description. For example, ordinary volatility with a persistent trend is different from a sudden volatile move with wide spreads.</w:t>
      </w:r>
    </w:p>
    <w:p>
      <w:r>
        <w:rPr>
          <w:b/>
        </w:rPr>
        <w:t xml:space="preserve">Typical use: </w:t>
      </w:r>
      <w:r>
        <w:t xml:space="preserve">Eligibility rules and bounded changes to risk. </w:t>
      </w:r>
      <w:r>
        <w:rPr>
          <w:b/>
        </w:rPr>
        <w:t xml:space="preserve">Watch for: </w:t>
      </w:r>
      <w:r>
        <w:t>Regime labels are estimates. Test the controller together with the trading rule, including switching delays.</w:t>
      </w:r>
    </w:p>
    <w:p>
      <w:pPr>
        <w:pStyle w:val="Heading2"/>
      </w:pPr>
      <w:r>
        <w:t>Correlation and exposure concentration</w:t>
      </w:r>
    </w:p>
    <w:p>
      <w:r>
        <w:t>Measure total long and short exposure, market beta, sector exposure, and strategy-return correlation. Five stock positions can represent one concentrated sector bet. Similar average returns do not reveal whether strategies lose together.</w:t>
      </w:r>
    </w:p>
    <w:p>
      <w:r>
        <w:rPr>
          <w:b/>
        </w:rPr>
        <w:t xml:space="preserve">Typical use: </w:t>
      </w:r>
      <w:r>
        <w:t xml:space="preserve">Portfolio limits and allocation across strategies. </w:t>
      </w:r>
      <w:r>
        <w:rPr>
          <w:b/>
        </w:rPr>
        <w:t xml:space="preserve">Watch for: </w:t>
      </w:r>
      <w:r>
        <w:t>Correlations can change sharply during stress. Include common loss days and adverse periods in the review.</w:t>
      </w:r>
    </w:p>
    <w:p>
      <w:pPr>
        <w:pStyle w:val="Heading2"/>
      </w:pPr>
      <w:r>
        <w:t>Net expectancy and drawdown</w:t>
      </w:r>
    </w:p>
    <w:p>
      <w:r>
        <w:t>Net expectancy is the average outcome after costs, with consistent trade or position accounting. Drawdown captures decline from an earlier equity peak. Track both, along with turnover and exposure, rather than using win rate alone.</w:t>
      </w:r>
    </w:p>
    <w:p>
      <w:r>
        <w:rPr>
          <w:b/>
        </w:rPr>
        <w:t xml:space="preserve">Typical use: </w:t>
      </w:r>
      <w:r>
        <w:t xml:space="preserve">Monitoring and deciding when an investigation is warranted. </w:t>
      </w:r>
      <w:r>
        <w:rPr>
          <w:b/>
        </w:rPr>
        <w:t xml:space="preserve">Watch for: </w:t>
      </w:r>
      <w:r>
        <w:t>Short losing streaks can occur in viable systems. Do not continually retune the model to the latest outcomes.</w:t>
      </w:r>
    </w:p>
    <w:p>
      <w:pPr>
        <w:pStyle w:val="Heading2"/>
      </w:pPr>
      <w:r>
        <w:t>Data drift and execution drift</w:t>
      </w:r>
    </w:p>
    <w:p>
      <w:r>
        <w:t>Data drift means current inputs differ from the calibration period. Execution drift means live spreads, slippage, fill delays, or rejects differ from assumptions. Quote age, missing bars, and out-of-order records also deserve explicit checks.</w:t>
      </w:r>
    </w:p>
    <w:p>
      <w:r>
        <w:rPr>
          <w:b/>
        </w:rPr>
        <w:t xml:space="preserve">Typical use: </w:t>
      </w:r>
      <w:r>
        <w:t xml:space="preserve">Pausing new entries, reducing risk under predefined rules, and operational alerts. </w:t>
      </w:r>
      <w:r>
        <w:rPr>
          <w:b/>
        </w:rPr>
        <w:t xml:space="preserve">Watch for: </w:t>
      </w:r>
      <w:r>
        <w:t>Pausing entries does not remove open positions or pending orders. Define how they remain managed.</w:t>
      </w:r>
    </w:p>
    <w:p>
      <w:pPr>
        <w:pStyle w:val="Heading2"/>
      </w:pPr>
      <w:r>
        <w:t>Adapt estimates before adding complex controllers</w:t>
      </w:r>
    </w:p>
    <w:p>
      <w:r>
        <w:t>Rolling volatility, mean and dispersion, hedge ratios, and time-of-day volume baselines are understandable adaptive inputs. Bound their influence, retain configuration versions, and recalibrate on a defined schedule.</w:t>
      </w:r>
    </w:p>
    <w:p>
      <w:r>
        <w:t>Hidden-state models, Hurst estimates, entropy, and change-point models can be later research tools. Each adds estimation uncertainty and should outperform a simple controller in chronological tests before adoption.</w:t>
      </w:r>
    </w:p>
    <w:p>
      <w:pPr>
        <w:pStyle w:val="Heading1"/>
        <w:pageBreakBefore/>
      </w:pPr>
      <w:r>
        <w:t>Putting indicators into algorithms</w:t>
      </w:r>
    </w:p>
    <w:p>
      <w:r>
        <w:t>These are illustrative research designs, not validated trading rules or recommended parameter settings. Each design separates the hypothesis from filters, sizing, exits, and order placement.</w:t>
      </w:r>
    </w:p>
    <w:p>
      <w:pPr>
        <w:pStyle w:val="Heading2"/>
      </w:pPr>
      <w:r>
        <w:t>Selective intraday mean reversion</w:t>
      </w:r>
    </w:p>
    <w:p>
      <w:r>
        <w:t>Hypothesis: some unusually large deviations close when the price reference is stable and the market is not strongly trending. Candidate signal: a large negative VWAP deviation or rolling z-score. Filters: trend strength, event proximity, relative volume, and spread. Size: volatility and portfolio limits. Exit: convergence, a defined failure condition, or a time limit.</w:t>
      </w:r>
    </w:p>
    <w:p>
      <w:r>
        <w:t>Key test: do the filters identify more favorable reversals after costs than a simple deviation rule? A falling price during a company shock may be new information rather than a temporary deviation.</w:t>
      </w:r>
    </w:p>
    <w:p>
      <w:pPr>
        <w:pStyle w:val="Heading2"/>
      </w:pPr>
      <w:r>
        <w:t>Intraday momentum or opening range breakout</w:t>
      </w:r>
    </w:p>
    <w:p>
      <w:r>
        <w:t>Hypothesis: a subset of moves continue over the selected holding horizon. Candidate signal: positive lookback return or a break above a completed opening range. Filters: sector-relative strength, breadth, and time-of-day volume. Size: volatility and available liquidity. Exit: trend failure, return inside the range, a risk limit, or session deadline.</w:t>
      </w:r>
    </w:p>
    <w:p>
      <w:r>
        <w:t>Key test: does the combination improve over a simple momentum or breakout baseline, including the entry delay and false breaks? Momentum and breakout often share the same continuation hypothesis.</w:t>
      </w:r>
    </w:p>
    <w:p>
      <w:pPr>
        <w:pStyle w:val="Heading2"/>
      </w:pPr>
      <w:r>
        <w:t>Pairs or sector residual reversion</w:t>
      </w:r>
    </w:p>
    <w:p>
      <w:r>
        <w:t>Hypothesis: a stable relationship temporarily deviates and then converges. Candidate signal: spread or residual z-score. Filters: relationship stability, reversion speed, company events, and borrow availability. Size: model-consistent hedge plus portfolio limits. Exit: convergence, relationship failure, or maximum holding time. Execute and monitor all legs together.</w:t>
      </w:r>
    </w:p>
    <w:p>
      <w:r>
        <w:t>Key test: does convergence remain profitable after both legs' costs and incomplete hedges? A pair can make money while both stocks fall if the long leg outperforms the short leg by enough.</w:t>
      </w:r>
    </w:p>
    <w:p>
      <w:pPr>
        <w:pStyle w:val="Heading2"/>
      </w:pPr>
      <w:r>
        <w:t>Combine signals only when their meanings align</w:t>
      </w:r>
    </w:p>
    <w:p>
      <w:r>
        <w:t>Start with one primary signal and a small set of filters. For an ensemble, align the forecast horizon, direction convention, and scale before weighting signals. Z-score normalization does not turn a score into a calibrated probability. Preserve strategy identity when different hypotheses or hedges share a portfolio.</w:t>
      </w:r>
    </w:p>
    <w:p>
      <w:r>
        <w:t>Reusable components include feature calculations, data checks, sizing, risk limits, exits, and execution. Keep strategy-specific entry and failure logic explicit. Avoid allowing one strategy's order manager to cancel another's hedge.</w:t>
      </w:r>
    </w:p>
    <w:p>
      <w:pPr>
        <w:pStyle w:val="Heading1"/>
        <w:pageBreakBefore/>
      </w:pPr>
      <w:r>
        <w:t>Data requirements and research checks</w:t>
      </w:r>
    </w:p>
    <w:p>
      <w:r>
        <w:t>Start with what can be measured consistently in both historical research and live operation. Finer data improves reconstruction, but does not guarantee that a hypothetical order would have filled.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5" w:type="dxa"/>
          <w:right w:w="105" w:type="dxa"/>
        </w:tblCellMar>
      </w:tblPr>
      <w:tblGrid>
        <w:gridCol w:w="1800"/>
        <w:gridCol w:w="4104"/>
        <w:gridCol w:w="4176"/>
      </w:tblGrid>
      <w:tr>
        <w:trPr>
          <w:tblHeader/>
          <w:cantSplit/>
        </w:trPr>
        <w:tc>
          <w:tcPr>
            <w:tcW w:type="dxa" w:w="1800"/>
            <w:vAlign w:val="center"/>
            <w:shd w:fill="17365D"/>
          </w:tcPr>
          <w:p>
            <w:pPr>
              <w:spacing w:after="40" w:before="40" w:line="250" w:lineRule="auto"/>
            </w:pPr>
            <w:r>
              <w:rPr>
                <w:b/>
                <w:color w:val="FFFFFF"/>
                <w:sz w:val="21"/>
              </w:rPr>
              <w:t>Data</w:t>
            </w:r>
          </w:p>
        </w:tc>
        <w:tc>
          <w:tcPr>
            <w:tcW w:type="dxa" w:w="4104"/>
            <w:vAlign w:val="center"/>
            <w:shd w:fill="17365D"/>
          </w:tcPr>
          <w:p>
            <w:pPr>
              <w:spacing w:after="40" w:before="40" w:line="250" w:lineRule="auto"/>
            </w:pPr>
            <w:r>
              <w:rPr>
                <w:b/>
                <w:color w:val="FFFFFF"/>
                <w:sz w:val="21"/>
              </w:rPr>
              <w:t>What it supports</w:t>
            </w:r>
          </w:p>
        </w:tc>
        <w:tc>
          <w:tcPr>
            <w:tcW w:type="dxa" w:w="4176"/>
            <w:vAlign w:val="center"/>
            <w:shd w:fill="17365D"/>
          </w:tcPr>
          <w:p>
            <w:pPr>
              <w:spacing w:after="40" w:before="40" w:line="250" w:lineRule="auto"/>
            </w:pPr>
            <w:r>
              <w:rPr>
                <w:b/>
                <w:color w:val="FFFFFF"/>
                <w:sz w:val="21"/>
              </w:rPr>
              <w:t>What it does not establish</w:t>
            </w:r>
          </w:p>
        </w:tc>
      </w:tr>
      <w:tr>
        <w:trPr>
          <w:cantSplit/>
        </w:trPr>
        <w:tc>
          <w:tcPr>
            <w:tcW w:type="dxa" w:w="1800"/>
            <w:vAlign w:val="center"/>
            <w:shd w:fill="EEF3F8"/>
          </w:tcPr>
          <w:p>
            <w:pPr>
              <w:spacing w:after="40" w:before="40" w:line="250" w:lineRule="auto"/>
            </w:pPr>
            <w:r>
              <w:rPr>
                <w:sz w:val="21"/>
              </w:rPr>
              <w:t>Minute bars</w:t>
            </w:r>
          </w:p>
        </w:tc>
        <w:tc>
          <w:tcPr>
            <w:tcW w:type="dxa" w:w="4104"/>
            <w:vAlign w:val="center"/>
            <w:shd w:fill="EEF3F8"/>
          </w:tcPr>
          <w:p>
            <w:pPr>
              <w:spacing w:after="40" w:before="40" w:line="250" w:lineRule="auto"/>
            </w:pPr>
            <w:r>
              <w:rPr>
                <w:sz w:val="21"/>
              </w:rPr>
              <w:t>Returns, averages, RSI, bands, ATR, ranges, aggregate volume.</w:t>
            </w:r>
          </w:p>
        </w:tc>
        <w:tc>
          <w:tcPr>
            <w:tcW w:type="dxa" w:w="4176"/>
            <w:vAlign w:val="center"/>
            <w:shd w:fill="EEF3F8"/>
          </w:tcPr>
          <w:p>
            <w:pPr>
              <w:spacing w:after="40" w:before="40" w:line="250" w:lineRule="auto"/>
            </w:pPr>
            <w:r>
              <w:rPr>
                <w:sz w:val="21"/>
              </w:rPr>
              <w:t>The exact sequence inside the minute or queue-based passive fills.</w:t>
            </w:r>
          </w:p>
        </w:tc>
      </w:tr>
      <w:tr>
        <w:trPr>
          <w:cantSplit/>
        </w:trPr>
        <w:tc>
          <w:tcPr>
            <w:tcW w:type="dxa" w:w="1800"/>
            <w:vAlign w:val="center"/>
            <w:shd w:fill="FFFFFF"/>
          </w:tcPr>
          <w:p>
            <w:pPr>
              <w:spacing w:after="40" w:before="40" w:line="250" w:lineRule="auto"/>
            </w:pPr>
            <w:r>
              <w:rPr>
                <w:sz w:val="21"/>
              </w:rPr>
              <w:t>Trades</w:t>
            </w:r>
          </w:p>
        </w:tc>
        <w:tc>
          <w:tcPr>
            <w:tcW w:type="dxa" w:w="4104"/>
            <w:vAlign w:val="center"/>
            <w:shd w:fill="FFFFFF"/>
          </w:tcPr>
          <w:p>
            <w:pPr>
              <w:spacing w:after="40" w:before="40" w:line="250" w:lineRule="auto"/>
            </w:pPr>
            <w:r>
              <w:rPr>
                <w:sz w:val="21"/>
              </w:rPr>
              <w:t>Trade counts, size distributions, detailed VWAP and volume at price.</w:t>
            </w:r>
          </w:p>
        </w:tc>
        <w:tc>
          <w:tcPr>
            <w:tcW w:type="dxa" w:w="4176"/>
            <w:vAlign w:val="center"/>
            <w:shd w:fill="FFFFFF"/>
          </w:tcPr>
          <w:p>
            <w:pPr>
              <w:spacing w:after="40" w:before="40" w:line="250" w:lineRule="auto"/>
            </w:pPr>
            <w:r>
              <w:rPr>
                <w:sz w:val="21"/>
              </w:rPr>
              <w:t>Aggressor direction without assumptions or matching quotes.</w:t>
            </w:r>
          </w:p>
        </w:tc>
      </w:tr>
      <w:tr>
        <w:trPr>
          <w:cantSplit/>
        </w:trPr>
        <w:tc>
          <w:tcPr>
            <w:tcW w:type="dxa" w:w="1800"/>
            <w:vAlign w:val="center"/>
            <w:shd w:fill="EEF3F8"/>
          </w:tcPr>
          <w:p>
            <w:pPr>
              <w:spacing w:after="40" w:before="40" w:line="250" w:lineRule="auto"/>
            </w:pPr>
            <w:r>
              <w:rPr>
                <w:sz w:val="21"/>
              </w:rPr>
              <w:t>Best quotes</w:t>
            </w:r>
          </w:p>
        </w:tc>
        <w:tc>
          <w:tcPr>
            <w:tcW w:type="dxa" w:w="4104"/>
            <w:vAlign w:val="center"/>
            <w:shd w:fill="EEF3F8"/>
          </w:tcPr>
          <w:p>
            <w:pPr>
              <w:spacing w:after="40" w:before="40" w:line="250" w:lineRule="auto"/>
            </w:pPr>
            <w:r>
              <w:rPr>
                <w:sz w:val="21"/>
              </w:rPr>
              <w:t>Spreads, displayed size, quote imbalance, microprice, freshness.</w:t>
            </w:r>
          </w:p>
        </w:tc>
        <w:tc>
          <w:tcPr>
            <w:tcW w:type="dxa" w:w="4176"/>
            <w:vAlign w:val="center"/>
            <w:shd w:fill="EEF3F8"/>
          </w:tcPr>
          <w:p>
            <w:pPr>
              <w:spacing w:after="40" w:before="40" w:line="250" w:lineRule="auto"/>
            </w:pPr>
            <w:r>
              <w:rPr>
                <w:sz w:val="21"/>
              </w:rPr>
              <w:t>Full book depth, hidden liquidity, or your actual queue position.</w:t>
            </w:r>
          </w:p>
        </w:tc>
      </w:tr>
      <w:tr>
        <w:trPr>
          <w:cantSplit/>
        </w:trPr>
        <w:tc>
          <w:tcPr>
            <w:tcW w:type="dxa" w:w="1800"/>
            <w:vAlign w:val="center"/>
            <w:shd w:fill="FFFFFF"/>
          </w:tcPr>
          <w:p>
            <w:pPr>
              <w:spacing w:after="40" w:before="40" w:line="250" w:lineRule="auto"/>
            </w:pPr>
            <w:r>
              <w:rPr>
                <w:sz w:val="21"/>
              </w:rPr>
              <w:t>Multiple securities</w:t>
            </w:r>
          </w:p>
        </w:tc>
        <w:tc>
          <w:tcPr>
            <w:tcW w:type="dxa" w:w="4104"/>
            <w:vAlign w:val="center"/>
            <w:shd w:fill="FFFFFF"/>
          </w:tcPr>
          <w:p>
            <w:pPr>
              <w:spacing w:after="40" w:before="40" w:line="250" w:lineRule="auto"/>
            </w:pPr>
            <w:r>
              <w:rPr>
                <w:sz w:val="21"/>
              </w:rPr>
              <w:t>Breadth, relative strength, beta, pairs and residuals.</w:t>
            </w:r>
          </w:p>
        </w:tc>
        <w:tc>
          <w:tcPr>
            <w:tcW w:type="dxa" w:w="4176"/>
            <w:vAlign w:val="center"/>
            <w:shd w:fill="FFFFFF"/>
          </w:tcPr>
          <w:p>
            <w:pPr>
              <w:spacing w:after="40" w:before="40" w:line="250" w:lineRule="auto"/>
            </w:pPr>
            <w:r>
              <w:rPr>
                <w:sz w:val="21"/>
              </w:rPr>
              <w:t>Broad-market coverage without a suitable defined universe.</w:t>
            </w:r>
          </w:p>
        </w:tc>
      </w:tr>
      <w:tr>
        <w:trPr>
          <w:cantSplit/>
        </w:trPr>
        <w:tc>
          <w:tcPr>
            <w:tcW w:type="dxa" w:w="1800"/>
            <w:vAlign w:val="center"/>
            <w:shd w:fill="EEF3F8"/>
          </w:tcPr>
          <w:p>
            <w:pPr>
              <w:spacing w:after="40" w:before="40" w:line="250" w:lineRule="auto"/>
            </w:pPr>
            <w:r>
              <w:rPr>
                <w:sz w:val="21"/>
              </w:rPr>
              <w:t>External datasets</w:t>
            </w:r>
          </w:p>
        </w:tc>
        <w:tc>
          <w:tcPr>
            <w:tcW w:type="dxa" w:w="4104"/>
            <w:vAlign w:val="center"/>
            <w:shd w:fill="EEF3F8"/>
          </w:tcPr>
          <w:p>
            <w:pPr>
              <w:spacing w:after="40" w:before="40" w:line="250" w:lineRule="auto"/>
            </w:pPr>
            <w:r>
              <w:rPr>
                <w:sz w:val="21"/>
              </w:rPr>
              <w:t>Events, filings, options, borrowing, macro and auctions.</w:t>
            </w:r>
          </w:p>
        </w:tc>
        <w:tc>
          <w:tcPr>
            <w:tcW w:type="dxa" w:w="4176"/>
            <w:vAlign w:val="center"/>
            <w:shd w:fill="EEF3F8"/>
          </w:tcPr>
          <w:p>
            <w:pPr>
              <w:spacing w:after="40" w:before="40" w:line="250" w:lineRule="auto"/>
            </w:pPr>
            <w:r>
              <w:rPr>
                <w:sz w:val="21"/>
              </w:rPr>
              <w:t>Availability at the historical decision time unless recorded and verified.</w:t>
            </w:r>
          </w:p>
        </w:tc>
      </w:tr>
    </w:tbl>
    <w:p>
      <w:pPr>
        <w:spacing w:after="20"/>
      </w:pPr>
      <w:r/>
    </w:p>
    <w:p>
      <w:r>
        <w:rPr>
          <w:b/>
        </w:rPr>
        <w:t xml:space="preserve">Alpaca coverage </w:t>
      </w:r>
      <w:r>
        <w:t>Free live IEX measurements describe one exchange. Label their volume, VWAP, and quote features accordingly. Alpaca permits historical SIP queries without the recent-data subscription when the request end is at least 15 minutes old; specify the feed explicitly. Research on SIP and operation on IEX use different inputs. [8, 9]</w:t>
      </w:r>
    </w:p>
    <w:p>
      <w:pPr>
        <w:pStyle w:val="Heading2"/>
      </w:pPr>
      <w:r>
        <w:t>Before accepting a new indicator</w:t>
      </w:r>
    </w:p>
    <w:p>
      <w:r>
        <w:rPr>
          <w:b/>
        </w:rPr>
        <w:t xml:space="preserve">1. </w:t>
      </w:r>
      <w:r>
        <w:t>Write the hypothesis and the indicator's job. State why it should help at the intended holding horizon.</w:t>
      </w:r>
    </w:p>
    <w:p>
      <w:r>
        <w:rPr>
          <w:b/>
        </w:rPr>
        <w:t xml:space="preserve">2. </w:t>
      </w:r>
      <w:r>
        <w:t>Define the source, universe, session, bar interval, lookback, units, warmup, and missing-data behavior.</w:t>
      </w:r>
    </w:p>
    <w:p>
      <w:r>
        <w:rPr>
          <w:b/>
        </w:rPr>
        <w:t xml:space="preserve">3. </w:t>
      </w:r>
      <w:r>
        <w:t>Use only information available when the decision is made. A completed bar's high, low, close, and volume are known after that bar finishes.</w:t>
      </w:r>
    </w:p>
    <w:p>
      <w:r>
        <w:rPr>
          <w:b/>
        </w:rPr>
        <w:t xml:space="preserve">4. </w:t>
      </w:r>
      <w:r>
        <w:t>Handle splits, dividends, symbol changes, historical membership, late updates, and timestamp alignment consistently.</w:t>
      </w:r>
    </w:p>
    <w:p>
      <w:r>
        <w:rPr>
          <w:b/>
        </w:rPr>
        <w:t xml:space="preserve">5. </w:t>
      </w:r>
      <w:r>
        <w:t>Compare with a simpler baseline. Add features one at a time and check whether each contributes beyond related indicators.</w:t>
      </w:r>
    </w:p>
    <w:p>
      <w:r>
        <w:rPr>
          <w:b/>
        </w:rPr>
        <w:t xml:space="preserve">6. </w:t>
      </w:r>
      <w:r>
        <w:t>Separate chronological development, validation, and final evaluation. Account for repeated parameter searches and overlapping outcomes.</w:t>
      </w:r>
    </w:p>
    <w:p>
      <w:r>
        <w:rPr>
          <w:b/>
        </w:rPr>
        <w:t xml:space="preserve">7. </w:t>
      </w:r>
      <w:r>
        <w:t>Model costs, pending orders, partial fills, exits, and realistic timing. Report net results, turnover, drawdown, exposure, and benchmark comparison.</w:t>
      </w:r>
    </w:p>
    <w:p>
      <w:r>
        <w:t>Choose a small feature set the team can explain. A model with a clear hypothesis and credible execution assumptions is a better research starting point than a large collection of overlapping scores.</w:t>
      </w:r>
    </w:p>
    <w:p>
      <w:pPr>
        <w:pStyle w:val="Heading1"/>
        <w:pageBreakBefore/>
      </w:pPr>
      <w:r>
        <w:t>Sources and further reading</w:t>
      </w:r>
    </w:p>
    <w:p>
      <w:r>
        <w:t>Definitions and data specifications were checked on October 12 2026. These resources support the explanations; they do not validate the illustrative strategies. Click a title to open the source.</w:t>
      </w:r>
    </w:p>
    <w:p>
      <w:pPr>
        <w:spacing w:after="120" w:line="247" w:lineRule="auto"/>
      </w:pPr>
      <w:r>
        <w:rPr>
          <w:sz w:val="20"/>
        </w:rPr>
        <w:t xml:space="preserve">[1] </w:t>
      </w:r>
      <w:hyperlink r:id="rId10">
        <w:r>
          <w:rPr>
            <w:color w:val="174A78"/>
            <w:u w:val="single"/>
            <w:sz w:val="20"/>
          </w:rPr>
          <w:t>Fidelity Exponential Moving Average</w:t>
        </w:r>
      </w:hyperlink>
      <w:r>
        <w:rPr>
          <w:sz w:val="20"/>
        </w:rPr>
        <w:br/>
        <w:t>Weighting, sensitivity, and lag.</w:t>
      </w:r>
    </w:p>
    <w:p>
      <w:pPr>
        <w:spacing w:after="120" w:line="247" w:lineRule="auto"/>
      </w:pPr>
      <w:r>
        <w:rPr>
          <w:sz w:val="20"/>
        </w:rPr>
        <w:t xml:space="preserve">[2] </w:t>
      </w:r>
      <w:hyperlink r:id="rId11">
        <w:r>
          <w:rPr>
            <w:color w:val="174A78"/>
            <w:u w:val="single"/>
            <w:sz w:val="20"/>
          </w:rPr>
          <w:t>Fidelity MACD</w:t>
        </w:r>
      </w:hyperlink>
      <w:r>
        <w:rPr>
          <w:sz w:val="20"/>
        </w:rPr>
        <w:br/>
        <w:t>MACD, signal line, and histogram.</w:t>
      </w:r>
    </w:p>
    <w:p>
      <w:pPr>
        <w:spacing w:after="120" w:line="247" w:lineRule="auto"/>
      </w:pPr>
      <w:r>
        <w:rPr>
          <w:sz w:val="20"/>
        </w:rPr>
        <w:t xml:space="preserve">[3] </w:t>
      </w:r>
      <w:hyperlink r:id="rId12">
        <w:r>
          <w:rPr>
            <w:color w:val="174A78"/>
            <w:u w:val="single"/>
            <w:sz w:val="20"/>
          </w:rPr>
          <w:t>Fidelity Average Directional Index</w:t>
        </w:r>
      </w:hyperlink>
      <w:r>
        <w:rPr>
          <w:sz w:val="20"/>
        </w:rPr>
        <w:br/>
        <w:t>Trend strength and interpretation.</w:t>
      </w:r>
    </w:p>
    <w:p>
      <w:pPr>
        <w:spacing w:after="120" w:line="247" w:lineRule="auto"/>
      </w:pPr>
      <w:r>
        <w:rPr>
          <w:sz w:val="20"/>
        </w:rPr>
        <w:t xml:space="preserve">[4] </w:t>
      </w:r>
      <w:hyperlink r:id="rId13">
        <w:r>
          <w:rPr>
            <w:color w:val="174A78"/>
            <w:u w:val="single"/>
            <w:sz w:val="20"/>
          </w:rPr>
          <w:t>Fidelity Relative Strength Index</w:t>
        </w:r>
      </w:hyperlink>
      <w:r>
        <w:rPr>
          <w:sz w:val="20"/>
        </w:rPr>
        <w:br/>
        <w:t>RSI construction and interpretation.</w:t>
      </w:r>
    </w:p>
    <w:p>
      <w:pPr>
        <w:spacing w:after="120" w:line="247" w:lineRule="auto"/>
      </w:pPr>
      <w:r>
        <w:rPr>
          <w:sz w:val="20"/>
        </w:rPr>
        <w:t xml:space="preserve">[5] </w:t>
      </w:r>
      <w:hyperlink r:id="rId14">
        <w:r>
          <w:rPr>
            <w:color w:val="174A78"/>
            <w:u w:val="single"/>
            <w:sz w:val="20"/>
          </w:rPr>
          <w:t>Fidelity Average True Range</w:t>
        </w:r>
      </w:hyperlink>
      <w:r>
        <w:rPr>
          <w:sz w:val="20"/>
        </w:rPr>
        <w:br/>
        <w:t>Range-based volatility.</w:t>
      </w:r>
    </w:p>
    <w:p>
      <w:pPr>
        <w:spacing w:after="120" w:line="247" w:lineRule="auto"/>
      </w:pPr>
      <w:r>
        <w:rPr>
          <w:sz w:val="20"/>
        </w:rPr>
        <w:t xml:space="preserve">[6] </w:t>
      </w:r>
      <w:hyperlink r:id="rId15">
        <w:r>
          <w:rPr>
            <w:color w:val="174A78"/>
            <w:u w:val="single"/>
            <w:sz w:val="20"/>
          </w:rPr>
          <w:t>Fidelity Bollinger Bands</w:t>
        </w:r>
      </w:hyperlink>
      <w:r>
        <w:rPr>
          <w:sz w:val="20"/>
        </w:rPr>
        <w:br/>
        <w:t>Band construction and volatility interpretation.</w:t>
      </w:r>
    </w:p>
    <w:p>
      <w:pPr>
        <w:spacing w:after="120" w:line="247" w:lineRule="auto"/>
      </w:pPr>
      <w:r>
        <w:rPr>
          <w:sz w:val="20"/>
        </w:rPr>
        <w:t xml:space="preserve">[7] </w:t>
      </w:r>
      <w:hyperlink r:id="rId16">
        <w:r>
          <w:rPr>
            <w:color w:val="174A78"/>
            <w:u w:val="single"/>
            <w:sz w:val="20"/>
          </w:rPr>
          <w:t>Interactive Brokers VWAP glossary</w:t>
        </w:r>
      </w:hyperlink>
      <w:r>
        <w:rPr>
          <w:sz w:val="20"/>
        </w:rPr>
        <w:br/>
        <w:t>Volume-weighted traded-price reference.</w:t>
      </w:r>
    </w:p>
    <w:p>
      <w:pPr>
        <w:spacing w:after="120" w:line="247" w:lineRule="auto"/>
      </w:pPr>
      <w:r>
        <w:rPr>
          <w:sz w:val="20"/>
        </w:rPr>
        <w:t xml:space="preserve">[8] </w:t>
      </w:r>
      <w:hyperlink r:id="rId17">
        <w:r>
          <w:rPr>
            <w:color w:val="174A78"/>
            <w:u w:val="single"/>
            <w:sz w:val="20"/>
          </w:rPr>
          <w:t>Alpaca Real Time Stock Data</w:t>
        </w:r>
      </w:hyperlink>
      <w:r>
        <w:rPr>
          <w:sz w:val="20"/>
        </w:rPr>
        <w:br/>
        <w:t>Quote, trade, bar, and correction fields.</w:t>
      </w:r>
    </w:p>
    <w:p>
      <w:pPr>
        <w:spacing w:after="120" w:line="247" w:lineRule="auto"/>
      </w:pPr>
      <w:r>
        <w:rPr>
          <w:sz w:val="20"/>
        </w:rPr>
        <w:t xml:space="preserve">[9] </w:t>
      </w:r>
      <w:hyperlink r:id="rId18">
        <w:r>
          <w:rPr>
            <w:color w:val="174A78"/>
            <w:u w:val="single"/>
            <w:sz w:val="20"/>
          </w:rPr>
          <w:t>Alpaca Market Data FAQ</w:t>
        </w:r>
      </w:hyperlink>
      <w:r>
        <w:rPr>
          <w:sz w:val="20"/>
        </w:rPr>
        <w:br/>
        <w:t>IEX and SIP coverage, historical access, and bar construction.</w:t>
      </w:r>
    </w:p>
    <w:p>
      <w:pPr>
        <w:spacing w:after="120" w:line="247" w:lineRule="auto"/>
      </w:pPr>
      <w:r>
        <w:rPr>
          <w:sz w:val="20"/>
        </w:rPr>
        <w:t xml:space="preserve">[10] </w:t>
      </w:r>
      <w:hyperlink r:id="rId19">
        <w:r>
          <w:rPr>
            <w:color w:val="174A78"/>
            <w:u w:val="single"/>
            <w:sz w:val="20"/>
          </w:rPr>
          <w:t>Cont Kukanov and Stoikov The Price Impact of Order Book Events</w:t>
        </w:r>
      </w:hyperlink>
      <w:r>
        <w:rPr>
          <w:sz w:val="20"/>
        </w:rPr>
        <w:br/>
        <w:t>Primary research on order-flow imbalance and price changes.</w:t>
      </w:r>
    </w:p>
    <w:p>
      <w:pPr>
        <w:spacing w:after="120" w:line="247" w:lineRule="auto"/>
      </w:pPr>
      <w:r>
        <w:rPr>
          <w:sz w:val="20"/>
        </w:rPr>
        <w:t xml:space="preserve">[11] </w:t>
      </w:r>
      <w:hyperlink r:id="rId20">
        <w:r>
          <w:rPr>
            <w:color w:val="174A78"/>
            <w:u w:val="single"/>
            <w:sz w:val="20"/>
          </w:rPr>
          <w:t>Cboe Volatility Trading</w:t>
        </w:r>
      </w:hyperlink>
      <w:r>
        <w:rPr>
          <w:sz w:val="20"/>
        </w:rPr>
        <w:br/>
        <w:t>VIX and expected volatility.</w:t>
      </w:r>
    </w:p>
    <w:p>
      <w:pPr>
        <w:spacing w:after="120" w:line="247" w:lineRule="auto"/>
      </w:pPr>
      <w:r>
        <w:rPr>
          <w:sz w:val="20"/>
        </w:rPr>
        <w:t xml:space="preserve">[12] </w:t>
      </w:r>
      <w:hyperlink r:id="rId21">
        <w:r>
          <w:rPr>
            <w:color w:val="174A78"/>
            <w:u w:val="single"/>
            <w:sz w:val="20"/>
          </w:rPr>
          <w:t>FINRA Short Interest What It Is and What It Is Not</w:t>
        </w:r>
      </w:hyperlink>
      <w:r>
        <w:rPr>
          <w:sz w:val="20"/>
        </w:rPr>
        <w:br/>
        <w:t>Outstanding positions versus daily short-sale transactions.</w:t>
      </w:r>
    </w:p>
    <w:p>
      <w:pPr>
        <w:spacing w:after="120" w:line="247" w:lineRule="auto"/>
      </w:pPr>
      <w:r>
        <w:rPr>
          <w:sz w:val="20"/>
        </w:rPr>
        <w:t xml:space="preserve">[13] </w:t>
      </w:r>
      <w:hyperlink r:id="rId22">
        <w:r>
          <w:rPr>
            <w:color w:val="174A78"/>
            <w:u w:val="single"/>
            <w:sz w:val="20"/>
          </w:rPr>
          <w:t>St Louis Fed ALFRED Help</w:t>
        </w:r>
      </w:hyperlink>
      <w:r>
        <w:rPr>
          <w:sz w:val="20"/>
        </w:rPr>
        <w:br/>
        <w:t>Historical vintages and economic-data revisions.</w:t>
      </w:r>
    </w:p>
    <w:p>
      <w:pPr>
        <w:spacing w:after="120" w:line="247" w:lineRule="auto"/>
      </w:pPr>
      <w:r>
        <w:rPr>
          <w:sz w:val="20"/>
        </w:rPr>
        <w:t xml:space="preserve">[14] </w:t>
      </w:r>
      <w:hyperlink r:id="rId23">
        <w:r>
          <w:rPr>
            <w:color w:val="174A78"/>
            <w:u w:val="single"/>
            <w:sz w:val="20"/>
          </w:rPr>
          <w:t>SEC EDGAR Application Programming Interfaces</w:t>
        </w:r>
      </w:hyperlink>
      <w:r>
        <w:rPr>
          <w:sz w:val="20"/>
        </w:rPr>
        <w:br/>
        <w:t>Filings and extracted financial facts.</w:t>
      </w:r>
    </w:p>
    <w:p>
      <w:pPr>
        <w:spacing w:after="120" w:line="247" w:lineRule="auto"/>
      </w:pPr>
      <w:r>
        <w:rPr>
          <w:sz w:val="20"/>
        </w:rPr>
        <w:t xml:space="preserve">[15] </w:t>
      </w:r>
      <w:hyperlink r:id="rId24">
        <w:r>
          <w:rPr>
            <w:color w:val="174A78"/>
            <w:u w:val="single"/>
            <w:sz w:val="20"/>
          </w:rPr>
          <w:t>MSCI Factor Indexes</w:t>
        </w:r>
      </w:hyperlink>
      <w:r>
        <w:rPr>
          <w:sz w:val="20"/>
        </w:rPr>
        <w:br/>
        <w:t>Established equity factor families.</w:t>
      </w:r>
    </w:p>
    <w:p>
      <w:pPr>
        <w:spacing w:after="120" w:line="247" w:lineRule="auto"/>
      </w:pPr>
      <w:r>
        <w:rPr>
          <w:sz w:val="20"/>
        </w:rPr>
        <w:t xml:space="preserve">[16] </w:t>
      </w:r>
      <w:hyperlink r:id="rId25">
        <w:r>
          <w:rPr>
            <w:color w:val="174A78"/>
            <w:u w:val="single"/>
            <w:sz w:val="20"/>
          </w:rPr>
          <w:t>NYSE Auctions</w:t>
        </w:r>
      </w:hyperlink>
      <w:r>
        <w:rPr>
          <w:sz w:val="20"/>
        </w:rPr>
        <w:br/>
        <w:t>Auction fields and exchange-specific definitions.</w:t>
      </w:r>
    </w:p>
    <w:p>
      <w:pPr>
        <w:spacing w:after="120" w:line="247" w:lineRule="auto"/>
      </w:pPr>
      <w:r>
        <w:rPr>
          <w:sz w:val="20"/>
        </w:rPr>
        <w:t xml:space="preserve">[17] </w:t>
      </w:r>
      <w:hyperlink r:id="rId26">
        <w:r>
          <w:rPr>
            <w:color w:val="174A78"/>
            <w:u w:val="single"/>
            <w:sz w:val="20"/>
          </w:rPr>
          <w:t>Interactive Brokers TWAP documentation</w:t>
        </w:r>
      </w:hyperlink>
      <w:r>
        <w:rPr>
          <w:sz w:val="20"/>
        </w:rPr>
        <w:br/>
        <w:t>Time-based execution scheduling.</w:t>
      </w:r>
    </w:p>
    <w:p>
      <w:pPr>
        <w:spacing w:after="120" w:line="247" w:lineRule="auto"/>
      </w:pPr>
      <w:r>
        <w:rPr>
          <w:sz w:val="20"/>
        </w:rPr>
        <w:t xml:space="preserve">[18] </w:t>
      </w:r>
      <w:hyperlink r:id="rId27">
        <w:r>
          <w:rPr>
            <w:color w:val="174A78"/>
            <w:u w:val="single"/>
            <w:sz w:val="20"/>
          </w:rPr>
          <w:t>Interactive Brokers VWAP documentation</w:t>
        </w:r>
      </w:hyperlink>
      <w:r>
        <w:rPr>
          <w:sz w:val="20"/>
        </w:rPr>
        <w:br/>
        <w:t>Benchmark-oriented execution and fill tradeoffs.</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sz w:val="18"/>
      </w:rPr>
      <w:t xml:space="preserve">Algorithm design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fidelity.com/learning-center/trading-investing/technical-analysis/technical-indicator-guide/ema" TargetMode="External"/><Relationship Id="rId11" Type="http://schemas.openxmlformats.org/officeDocument/2006/relationships/hyperlink" Target="https://www.fidelity.com/learning-center/trading-investing/technical-analysis/technical-indicator-guide/macd" TargetMode="External"/><Relationship Id="rId12" Type="http://schemas.openxmlformats.org/officeDocument/2006/relationships/hyperlink" Target="https://www.fidelity.com/viewpoints/active-investor/average-directional-index-ADX" TargetMode="External"/><Relationship Id="rId13" Type="http://schemas.openxmlformats.org/officeDocument/2006/relationships/hyperlink" Target="https://www.fidelity.com/learning-center/trading-investing/technical-analysis/technical-indicator-guide/RSI" TargetMode="External"/><Relationship Id="rId14" Type="http://schemas.openxmlformats.org/officeDocument/2006/relationships/hyperlink" Target="https://www.fidelity.com/learning-center/trading-investing/technical-analysis/technical-indicator-guide/atr" TargetMode="External"/><Relationship Id="rId15" Type="http://schemas.openxmlformats.org/officeDocument/2006/relationships/hyperlink" Target="https://www.fidelity.com/learning-center/trading-investing/technical-analysis/technical-indicator-guide/bollinger-bands" TargetMode="External"/><Relationship Id="rId16" Type="http://schemas.openxmlformats.org/officeDocument/2006/relationships/hyperlink" Target="https://www.interactivebrokers.com/campus/glossary-terms/volume-weighted-average-price-vwap/" TargetMode="External"/><Relationship Id="rId17" Type="http://schemas.openxmlformats.org/officeDocument/2006/relationships/hyperlink" Target="https://docs.alpaca.markets/us/docs/real-time-stock-pricing-data" TargetMode="External"/><Relationship Id="rId18" Type="http://schemas.openxmlformats.org/officeDocument/2006/relationships/hyperlink" Target="https://docs.alpaca.markets/us/docs/market-data-faq" TargetMode="External"/><Relationship Id="rId19" Type="http://schemas.openxmlformats.org/officeDocument/2006/relationships/hyperlink" Target="https://arxiv.org/abs/1011.6402" TargetMode="External"/><Relationship Id="rId20" Type="http://schemas.openxmlformats.org/officeDocument/2006/relationships/hyperlink" Target="https://www.cboe.com/tradable-products/volatility-trading/" TargetMode="External"/><Relationship Id="rId21" Type="http://schemas.openxmlformats.org/officeDocument/2006/relationships/hyperlink" Target="https://syndication.finra.org/content/short-interest-what-it-what-it-not" TargetMode="External"/><Relationship Id="rId22" Type="http://schemas.openxmlformats.org/officeDocument/2006/relationships/hyperlink" Target="https://alfred.stlouisfed.org/help" TargetMode="External"/><Relationship Id="rId23" Type="http://schemas.openxmlformats.org/officeDocument/2006/relationships/hyperlink" Target="https://www.sec.gov/search-filings/edgar-application-programming-interfaces" TargetMode="External"/><Relationship Id="rId24" Type="http://schemas.openxmlformats.org/officeDocument/2006/relationships/hyperlink" Target="https://www.msci.com/indexes/factor-indexes/msci-factor-indexes" TargetMode="External"/><Relationship Id="rId25" Type="http://schemas.openxmlformats.org/officeDocument/2006/relationships/hyperlink" Target="https://www.nyse.com/trade/auctions" TargetMode="External"/><Relationship Id="rId26" Type="http://schemas.openxmlformats.org/officeDocument/2006/relationships/hyperlink" Target="https://www.interactivebrokers.com/docs/general/order-types/algorithmic-orders/ib-algorithms/twap" TargetMode="External"/><Relationship Id="rId27" Type="http://schemas.openxmlformats.org/officeDocument/2006/relationships/hyperlink" Target="https://www.interactivebrokers.com/docs/general/order-types/algorithmic-orders/ib-algorithms/vwa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Indicators for Algorithm Design</dc:title>
  <dc:subject>A practical team guide to indicators and their roles in trading algorithms</dc:subject>
  <dc:creator>Trading Research Team</dc:creator>
  <cp:keywords>technical indicators, momentum, mean reversion, breakout, pairs, execution</cp:keywords>
  <dc:description>generated by python-docx</dc:description>
  <cp:lastModifiedBy/>
  <cp:revision>1</cp:revision>
  <dcterms:created xsi:type="dcterms:W3CDTF">2013-12-23T23:15:00Z</dcterms:created>
  <dcterms:modified xsi:type="dcterms:W3CDTF">2013-12-23T23:15:00Z</dcterms:modified>
  <cp:category/>
</cp:coreProperties>
</file>