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Statistical Arbitrage and Relative Value</w:t>
      </w:r>
    </w:p>
    <w:p>
      <w:pPr>
        <w:pStyle w:val="Subtitle"/>
      </w:pPr>
      <w:r>
        <w:t>Team 1   Beginner foundations and implementation guide</w:t>
      </w:r>
    </w:p>
    <w:p>
      <w:pPr>
        <w:pStyle w:val="Heading1"/>
      </w:pPr>
      <w:r>
        <w:t>1  Your team and the research question</w:t>
      </w:r>
    </w:p>
    <w:p>
      <w:r>
        <w:t>Develop and test intraday strategies that trade a security relative to related securities. Your central question is whether an unusual relative price deviation predicts a subsequent convergence that remains worthwhile after costs. Statistical arbitrage involves uncertain statistical relationships; it does not imply a risk-free profit.</w:t>
      </w:r>
    </w:p>
    <w:p>
      <w:r>
        <w:t>Start with one understandable pairs strategy and retain it as a permanent benchmark. Over the year, extend the same program to sector hedges, factor models, changing relationships and cross-asset lead–lag. Your semester result can be a well-supported negative finding as well as a promising strategy.</w:t>
      </w:r>
    </w:p>
    <w:p>
      <w:pPr>
        <w:pStyle w:val="Heading2"/>
      </w:pPr>
      <w:r>
        <w:t>What you should understand first</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Term</w:t>
            </w:r>
          </w:p>
        </w:tc>
        <w:tc>
          <w:tcPr>
            <w:tcW w:type="dxa" w:w="842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Plain meaning</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Long and short</w:t>
            </w:r>
          </w:p>
        </w:tc>
        <w:tc>
          <w:tcPr>
            <w:tcW w:type="dxa" w:w="84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long benefits from a rise. A short benefits from a fall and requires permission and borrow availability.</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Pair and hedge</w:t>
            </w:r>
          </w:p>
        </w:tc>
        <w:tc>
          <w:tcPr>
            <w:tcW w:type="dxa" w:w="84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Two related instruments traded together to reduce a specified shared exposure.</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Residual</w:t>
            </w:r>
          </w:p>
        </w:tc>
        <w:tc>
          <w:tcPr>
            <w:tcW w:type="dxa" w:w="84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part of a price or return not explained by the chosen relationship.</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Mean reversion</w:t>
            </w:r>
          </w:p>
        </w:tc>
        <w:tc>
          <w:tcPr>
            <w:tcW w:type="dxa" w:w="84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tendency for a deviation to move back toward a reference level. It is a hypothesis to test.</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Hedge ratio</w:t>
            </w:r>
          </w:p>
        </w:tc>
        <w:tc>
          <w:tcPr>
            <w:tcW w:type="dxa" w:w="84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How much of one instrument offsets the chosen exposure in the other. Its units matter.</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Cointegration</w:t>
            </w:r>
          </w:p>
        </w:tc>
        <w:tc>
          <w:tcPr>
            <w:tcW w:type="dxa" w:w="842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combination of individually drifting series has roughly stable statistical behavior over the modeled period.</w:t>
            </w:r>
          </w:p>
        </w:tc>
      </w:tr>
    </w:tbl>
    <w:p>
      <w:pPr>
        <w:spacing w:after="20"/>
      </w:pPr>
    </w:p>
    <w:p>
      <w:pPr>
        <w:pStyle w:val="Heading2"/>
      </w:pPr>
      <w:r>
        <w:t>How to use this guide</w:t>
      </w:r>
    </w:p>
    <w:p>
      <w:r>
        <w:t>Read the data and foundations pages together, then calculate the first example by hand. The example thresholds are teaching choices, not optimized parameters or promises of performance. Use the later pages as a checklist while implementing and evaluating.</w:t>
      </w:r>
    </w:p>
    <w:p>
      <w:r>
        <w:t>First deliverable: a clearly specified two-leg strategy with verified hedge sizing, causal data handling, exits and a reproducible cost-aware backtest. Add one research enhancement only after the baseline works.</w:t>
      </w:r>
    </w:p>
    <w:p>
      <w:pPr>
        <w:pStyle w:val="Heading1"/>
        <w:pageBreakBefore/>
      </w:pPr>
      <w:r>
        <w:t>2  Market observations and data discipline</w:t>
      </w:r>
    </w:p>
    <w:p>
      <w:r>
        <w:t>Your experiments use US stocks and ETFs, with positions intended to open and close within the same trading session. Begin with a small, predefined universe. A familiar company or a liquid market-wide security is an example to investigate, not evidence that it is suitable or profitable.</w:t>
      </w:r>
    </w:p>
    <w:p>
      <w:pPr>
        <w:pStyle w:val="Heading2"/>
      </w:pPr>
      <w:r>
        <w:t>Orders positions and trading costs</w:t>
      </w:r>
    </w:p>
    <w:p>
      <w:r>
        <w:t>A market order seeks prompt execution without guaranteeing price. A limit order sets a worst acceptable price without guaranteeing a fill. A short position sells borrowed shares and later buys them back. Notional is shares times price; P&amp;L is profit or loss. Commissions, spread, slippage and applicable short-related costs all matter.</w:t>
      </w:r>
    </w:p>
    <w:p>
      <w:pPr>
        <w:pStyle w:val="Heading2"/>
      </w:pPr>
      <w:r>
        <w:t>Bars quotes and trades</w:t>
      </w:r>
    </w:p>
    <w:tbl>
      <w:tblPr>
        <w:tblW w:type="auto" w:w="0"/>
        <w:jc w:val="center"/>
        <w:tblLayout w:type="fixed"/>
        <w:tblLook w:firstColumn="1" w:firstRow="1" w:lastColumn="0" w:lastRow="0" w:noHBand="0" w:noVBand="1" w:val="04A0"/>
      </w:tblPr>
      <w:tblGrid>
        <w:gridCol w:w="1584"/>
        <w:gridCol w:w="3600"/>
        <w:gridCol w:w="5040"/>
      </w:tblGrid>
      <w:tr>
        <w:trPr>
          <w:cantSplit/>
          <w:tblHeader/>
        </w:trPr>
        <w:tc>
          <w:tcPr>
            <w:tcW w:type="dxa" w:w="158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Observation</w:t>
            </w:r>
          </w:p>
        </w:tc>
        <w:tc>
          <w:tcPr>
            <w:tcW w:type="dxa" w:w="360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What it contains</w:t>
            </w:r>
          </w:p>
        </w:tc>
        <w:tc>
          <w:tcPr>
            <w:tcW w:type="dxa" w:w="504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What it cannot establish</w:t>
            </w:r>
          </w:p>
        </w:tc>
      </w:tr>
      <w:tr>
        <w:trPr>
          <w:cantSplit/>
        </w:trP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One minute bar</w:t>
            </w:r>
          </w:p>
        </w:tc>
        <w:tc>
          <w:tcPr>
            <w:tcW w:type="dxa" w:w="36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Open, high, low, close and traded volume for an interval.</w:t>
            </w:r>
          </w:p>
        </w:tc>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order of intraminute prices, executable bid and ask, or your fill.</w:t>
            </w:r>
          </w:p>
        </w:tc>
      </w:tr>
      <w:tr>
        <w:trPr>
          <w:cantSplit/>
        </w:trPr>
        <w:tc>
          <w:tcPr>
            <w:tcW w:type="dxa" w:w="158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Quote</w:t>
            </w:r>
          </w:p>
        </w:tc>
        <w:tc>
          <w:tcPr>
            <w:tcW w:type="dxa" w:w="36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Displayed bid and ask prices and sizes at a timestamp.</w:t>
            </w:r>
          </w:p>
        </w:tc>
        <w:tc>
          <w:tcPr>
            <w:tcW w:type="dxa" w:w="504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promise that your order will fill, hidden liquidity, or your queue position.</w:t>
            </w:r>
          </w:p>
        </w:tc>
      </w:tr>
      <w:tr>
        <w:trPr>
          <w:cantSplit/>
        </w:trP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Trade</w:t>
            </w:r>
          </w:p>
        </w:tc>
        <w:tc>
          <w:tcPr>
            <w:tcW w:type="dxa" w:w="36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An execution price, size, timestamp and available identifiers.</w:t>
            </w:r>
          </w:p>
        </w:tc>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directly observed buyer or seller aggressor label in the current payload.</w:t>
            </w:r>
          </w:p>
        </w:tc>
      </w:tr>
    </w:tbl>
    <w:p>
      <w:pPr>
        <w:spacing w:after="20"/>
      </w:pPr>
    </w:p>
    <w:p>
      <w:r>
        <w:t>Alpaca free live data covers IEX, one exchange. Treat its volume and liquidity measures as venue-specific. Record the explicit feed setting for every dataset and run. [D1]</w:t>
      </w:r>
    </w:p>
    <w:p>
      <w:pPr>
        <w:pStyle w:val="Heading2"/>
      </w:pPr>
      <w:r>
        <w:t>When information becomes available</w:t>
      </w:r>
    </w:p>
    <w:p>
      <w:r>
        <w:t>A bar timestamp marks the interval start. The 10:00 bar completes at 10:01; decide after receipt and simulate orders afterward. Document a policy for late updates. [D2]</w:t>
      </w:r>
    </w:p>
    <w:p>
      <w:pPr>
        <w:pStyle w:val="ListBullet"/>
      </w:pPr>
      <w:r>
        <w:t>Store provider event time and your local receipt time separately. Keep the original timestamp string; do not invent precision lost in conversion.</w:t>
      </w:r>
    </w:p>
    <w:p>
      <w:pPr>
        <w:pStyle w:val="ListBullet"/>
      </w:pPr>
      <w:r>
        <w:t>Use the exchange calendar and America/New_York for session rules. Store UTC timestamps. Handle holidays, early closes and daylight-saving changes.</w:t>
      </w:r>
    </w:p>
    <w:p>
      <w:pPr>
        <w:pStyle w:val="ListBullet"/>
      </w:pPr>
      <w:r>
        <w:t>Measure missing observations, duplicates, stale quotes, invalid prices and cross-symbol time differences. Missing activity is not a measured zero return.</w:t>
      </w:r>
    </w:p>
    <w:p>
      <w:pPr>
        <w:pStyle w:val="ListBullet"/>
      </w:pPr>
      <w:r>
        <w:t>Keep raw data immutable. Version cleaning rules, adjustments and derived datasets. Split adjustments must be consistent across prices and share quantities.</w:t>
      </w:r>
    </w:p>
    <w:p>
      <w:r>
        <w:t>Paper trading evaluates behavior through simulated fills. Alpaca omits effects including latency slippage, queue position and market impact. Its NBBO-based fills can differ from an IEX-only replay. NBBO means the national best bid and offer. [D3]</w:t>
      </w:r>
    </w:p>
    <w:p>
      <w:pPr>
        <w:pStyle w:val="Heading1"/>
        <w:pageBreakBefore/>
      </w:pPr>
      <w:r>
        <w:t>3  Relationships residuals and hedge ratios</w:t>
      </w:r>
    </w:p>
    <w:p>
      <w:r>
        <w:t>Two stocks rising together does not mean their price difference will revert. Correlation describes co-movement over a chosen sample. Cointegration tests a particular stable combination of price levels. Neither establishes that convergence will occur before an intraday exit or cover trading costs.</w:t>
      </w:r>
    </w:p>
    <w:p>
      <w:pPr>
        <w:pStyle w:val="Heading2"/>
      </w:pPr>
      <w:r>
        <w:t>A price level model</w:t>
      </w:r>
    </w:p>
    <w:p>
      <w:pPr>
        <w:pStyle w:val="Caption"/>
        <w:keepNext/>
      </w:pPr>
      <w:r>
        <w:t>Model the price of A using the price of B</w:t>
      </w:r>
    </w:p>
    <w:p>
      <w:pPr>
        <w:spacing w:after="140"/>
      </w:pPr>
      <m:oMath>
        <m:sSub>
          <m:e>
            <m:r>
              <m:t>P</m:t>
            </m:r>
          </m:e>
          <m:sub>
            <m:r>
              <m:t>A,t</m:t>
            </m:r>
          </m:sub>
        </m:sSub>
        <m:r>
          <m:t> = α + β </m:t>
        </m:r>
        <m:sSub>
          <m:e>
            <m:r>
              <m:t>P</m:t>
            </m:r>
          </m:e>
          <m:sub>
            <m:r>
              <m:t>B,t</m:t>
            </m:r>
          </m:sub>
        </m:sSub>
        <m:r>
          <m:t> + </m:t>
        </m:r>
        <m:sSub>
          <m:e>
            <m:r>
              <m:t>s</m:t>
            </m:r>
          </m:e>
          <m:sub>
            <m:r>
              <m:t>t</m:t>
            </m:r>
          </m:sub>
        </m:sSub>
      </m:oMath>
    </w:p>
    <w:p>
      <w:r>
        <w:t>P is price in dollars per share. Alpha is an intercept, beta is the regression slope and s is the residual in dollars per share of A. Fit the relationship using earlier observations. If beta is positive, a long spread buys q shares of A and shorts approximately beta times q shares of B. A short spread reverses both sides. Restrict the teaching example to positive beta.</w:t>
      </w:r>
    </w:p>
    <w:p>
      <w:r>
        <w:t>The implementation currently computes price1 minus hedgeRatio times price2 and sizes the second leg in shares using that ratio. If your research model includes an intercept, logs or return betas, document the mapping rather than substituting the coefficient directly.</w:t>
      </w:r>
    </w:p>
    <w:p>
      <w:pPr>
        <w:pStyle w:val="Heading2"/>
      </w:pPr>
      <w:r>
        <w:t>A return model has different hedge units</w:t>
      </w:r>
    </w:p>
    <w:p>
      <w:pPr>
        <w:pStyle w:val="Caption"/>
        <w:keepNext/>
      </w:pPr>
      <w:r>
        <w:t>Model returns rather than price levels</w:t>
      </w:r>
    </w:p>
    <w:p>
      <w:pPr>
        <w:spacing w:after="140"/>
      </w:pPr>
      <m:oMath>
        <m:sSub>
          <m:e>
            <m:r>
              <m:t>r</m:t>
            </m:r>
          </m:e>
          <m:sub>
            <m:r>
              <m:t>A,t</m:t>
            </m:r>
          </m:sub>
        </m:sSub>
        <m:r>
          <m:t> = α + β </m:t>
        </m:r>
        <m:sSub>
          <m:e>
            <m:r>
              <m:t>r</m:t>
            </m:r>
          </m:e>
          <m:sub>
            <m:r>
              <m:t>B,t</m:t>
            </m:r>
          </m:sub>
        </m:sSub>
        <m:r>
          <m:t> + </m:t>
        </m:r>
        <m:sSub>
          <m:e>
            <m:r>
              <m:t>ε</m:t>
            </m:r>
          </m:e>
          <m:sub>
            <m:r>
              <m:t>t</m:t>
            </m:r>
          </m:sub>
        </m:sSub>
      </m:oMath>
    </w:p>
    <w:p>
      <w:r>
        <w:t>Here beta maps percentage returns. A beta hedge for a $1,000 long position in A shorts approximately beta times $1,000 of B, before rounding. A price-level coefficient and a return coefficient are not interchangeable. For a log-price model, hedge sizing also depends on the price ratio.</w:t>
      </w:r>
    </w:p>
    <w:p>
      <w:pPr>
        <w:pStyle w:val="Heading2"/>
      </w:pPr>
      <w:r>
        <w:t>Measure how unusual the residual is</w:t>
      </w:r>
    </w:p>
    <w:p>
      <w:pPr>
        <w:pStyle w:val="Caption"/>
        <w:keepNext/>
      </w:pPr>
      <w:r>
        <w:t>Standardized residual</w:t>
      </w:r>
    </w:p>
    <w:p>
      <w:pPr>
        <w:spacing w:after="140"/>
      </w:pPr>
      <m:oMath>
        <m:sSub>
          <m:e>
            <m:r>
              <m:t>z</m:t>
            </m:r>
          </m:e>
          <m:sub>
            <m:r>
              <m:t>t</m:t>
            </m:r>
          </m:sub>
        </m:sSub>
        <m:r>
          <m:t> = </m:t>
        </m:r>
        <m:f>
          <m:num>
            <m:sSub>
              <m:e>
                <m:r>
                  <m:t>s</m:t>
                </m:r>
              </m:e>
              <m:sub>
                <m:r>
                  <m:t>t</m:t>
                </m:r>
              </m:sub>
            </m:sSub>
            <m:r>
              <m:t> − </m:t>
            </m:r>
            <m:sSub>
              <m:e>
                <m:r>
                  <m:t>μ</m:t>
                </m:r>
              </m:e>
              <m:sub>
                <m:r>
                  <m:t>past</m:t>
                </m:r>
              </m:sub>
            </m:sSub>
          </m:num>
          <m:den>
            <m:sSub>
              <m:e>
                <m:r>
                  <m:t>σ</m:t>
                </m:r>
              </m:e>
              <m:sub>
                <m:r>
                  <m:t>past</m:t>
                </m:r>
              </m:sub>
            </m:sSub>
          </m:den>
        </m:f>
      </m:oMath>
    </w:p>
    <w:p>
      <w:r>
        <w:t>Mu and sigma are the residual mean and standard deviation calculated from a trailing window available before the current decision. If sigma is zero or too small, skip the trade. A value of +2 means two estimated standard deviations above the reference, not a known probability of reversal.</w:t>
      </w:r>
    </w:p>
    <w:p>
      <w:r>
        <w:t>For a first experiment, estimate beta on training data and keep it fixed through the next evaluation block. Rolling refits are a later variant. Changing the relationship during an open trade can mechanically change the signal without generating an economic gain.</w:t>
      </w:r>
    </w:p>
    <w:p>
      <w:pPr>
        <w:pStyle w:val="Heading1"/>
        <w:pageBreakBefore/>
      </w:pPr>
      <w:r>
        <w:t>4  Indicators and diagnostics worth learning</w:t>
      </w:r>
    </w:p>
    <w:p>
      <w:r>
        <w:t>Prioritize measures that explain the relationship and the costs. Conventional technical indicators on an individual stock can be useful comparisons, but they do not establish relative mispricing.</w:t>
      </w:r>
    </w:p>
    <w:tbl>
      <w:tblPr>
        <w:tblW w:type="auto" w:w="0"/>
        <w:jc w:val="center"/>
        <w:tblLayout w:type="fixed"/>
        <w:tblLook w:firstColumn="1" w:firstRow="1" w:lastColumn="0" w:lastRow="0" w:noHBand="0" w:noVBand="1" w:val="04A0"/>
      </w:tblPr>
      <w:tblGrid>
        <w:gridCol w:w="1800"/>
        <w:gridCol w:w="4464"/>
        <w:gridCol w:w="3960"/>
      </w:tblGrid>
      <w:tr>
        <w:trPr>
          <w:cantSplit/>
          <w:tblHeader/>
        </w:trPr>
        <w:tc>
          <w:tcPr>
            <w:tcW w:type="dxa" w:w="180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Measure</w:t>
            </w:r>
          </w:p>
        </w:tc>
        <w:tc>
          <w:tcPr>
            <w:tcW w:type="dxa" w:w="446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How to calculate or inspect it</w:t>
            </w:r>
          </w:p>
        </w:tc>
        <w:tc>
          <w:tcPr>
            <w:tcW w:type="dxa" w:w="396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Why it matters</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Residual z-score</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Subtract trailing residual mean and divide by trailing residual standard deviation.</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Defines deviation size and entry or exit bands.</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Rolling correlation</w:t>
            </w:r>
          </w:p>
        </w:tc>
        <w:tc>
          <w:tcPr>
            <w:tcW w:type="dxa" w:w="446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Correlation of aligned returns over a predefined past window.</w:t>
            </w:r>
          </w:p>
        </w:tc>
        <w:tc>
          <w:tcPr>
            <w:tcW w:type="dxa" w:w="396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Checks co-movement; does not prove mean reversion.</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OLS hedge ratio</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Ordinary least squares fits A on B by minimizing squared errors, with an explicit intercept.</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Defines the relationship and hedge units.</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Cointegration test</w:t>
            </w:r>
          </w:p>
        </w:tc>
        <w:tc>
          <w:tcPr>
            <w:tcW w:type="dxa" w:w="446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Use a residual-based test with appropriate critical values and lag choice.</w:t>
            </w:r>
          </w:p>
        </w:tc>
        <w:tc>
          <w:tcPr>
            <w:tcW w:type="dxa" w:w="396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Tests a particular stationary combination; short samples have weak evidence.</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Reversion speed</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Fit an AR model to the residual, then check stability and forecast errors.</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Estimates whether convergence may fit your holding horizon.</w:t>
            </w:r>
          </w:p>
        </w:tc>
      </w:tr>
      <w:tr>
        <w:trPr>
          <w:cantSplit/>
        </w:trPr>
        <w:tc>
          <w:tcPr>
            <w:tcW w:type="dxa" w:w="18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Residual volatility</w:t>
            </w:r>
          </w:p>
        </w:tc>
        <w:tc>
          <w:tcPr>
            <w:tcW w:type="dxa" w:w="446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Standard deviation or EWMA of residual changes.</w:t>
            </w:r>
          </w:p>
        </w:tc>
        <w:tc>
          <w:tcPr>
            <w:tcW w:type="dxa" w:w="396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Supports risk estimates and changing-relationship diagnostics.</w:t>
            </w:r>
          </w:p>
        </w:tc>
      </w:tr>
      <w:tr>
        <w:trPr>
          <w:cantSplit/>
        </w:trP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Costs and data age</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Both legs’ spreads, executable prices, freshness and timestamp mismatch.</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Prevents an apparent opportunity caused by stale data or ignored costs.</w:t>
            </w:r>
          </w:p>
        </w:tc>
      </w:tr>
    </w:tbl>
    <w:p>
      <w:pPr>
        <w:spacing w:after="20"/>
      </w:pPr>
    </w:p>
    <w:p>
      <w:pPr>
        <w:pStyle w:val="Heading2"/>
      </w:pPr>
      <w:r>
        <w:t>Understand half life before using it</w:t>
      </w:r>
    </w:p>
    <w:p>
      <w:r>
        <w:t>AR means autoregression: the current residual is modeled using earlier residuals. The coefficient phi measures persistence in this simple model.</w:t>
      </w:r>
    </w:p>
    <w:p>
      <w:pPr>
        <w:pStyle w:val="Caption"/>
        <w:keepNext/>
      </w:pPr>
      <w:r>
        <w:t>A simple residual model</w:t>
      </w:r>
    </w:p>
    <w:p>
      <w:pPr>
        <w:spacing w:after="140"/>
      </w:pPr>
      <m:oMath>
        <m:sSub>
          <m:e>
            <m:r>
              <m:t>s</m:t>
            </m:r>
          </m:e>
          <m:sub>
            <m:r>
              <m:t>t</m:t>
            </m:r>
          </m:sub>
        </m:sSub>
        <m:r>
          <m:t> = c + φ </m:t>
        </m:r>
        <m:sSub>
          <m:e>
            <m:r>
              <m:t>s</m:t>
            </m:r>
          </m:e>
          <m:sub>
            <m:r>
              <m:t>t−1</m:t>
            </m:r>
          </m:sub>
        </m:sSub>
        <m:r>
          <m:t> + </m:t>
        </m:r>
        <m:sSub>
          <m:e>
            <m:r>
              <m:t>u</m:t>
            </m:r>
          </m:e>
          <m:sub>
            <m:r>
              <m:t>t</m:t>
            </m:r>
          </m:sub>
        </m:sSub>
      </m:oMath>
    </w:p>
    <w:p>
      <w:pPr>
        <w:pStyle w:val="Caption"/>
        <w:keepNext/>
      </w:pPr>
      <w:r>
        <w:t>Half life for zero less than phi less than one</w:t>
      </w:r>
    </w:p>
    <w:p>
      <w:pPr>
        <w:spacing w:after="140"/>
      </w:pPr>
      <m:oMath>
        <m:r>
          <m:t>H = </m:t>
        </m:r>
        <m:f>
          <m:num>
            <m:r>
              <m:t>ln(0.5)</m:t>
            </m:r>
          </m:num>
          <m:den>
            <m:r>
              <m:t>ln(φ)</m:t>
            </m:r>
          </m:den>
        </m:f>
      </m:oMath>
    </w:p>
    <w:p>
      <w:r>
        <w:t>H is measured in observation intervals. With one-minute sampling, H is in minutes. This interpretation requires a stable model with 0 &lt; phi &lt; 1. An estimate near one is highly uncertain; a negative or unstable estimate requires a different interpretation. Do not force every pair into this model.</w:t>
      </w:r>
    </w:p>
    <w:p>
      <w:r>
        <w:t>Bollinger Bands are moving-average bands around a series; applied to the residual, they resemble a z-score rule. RSI summarizes recent gains and losses. Neither should be added merely because it is popular. Compare each additional feature against the same baseline.</w:t>
      </w:r>
    </w:p>
    <w:p>
      <w:pPr>
        <w:pStyle w:val="Heading1"/>
        <w:pageBreakBefore/>
      </w:pPr>
      <w:r>
        <w:t>5  Basic algorithm one pairs convergence</w:t>
      </w:r>
    </w:p>
    <w:p>
      <w:r>
        <w:t>Teaching specification: use one predefined pair, aligned completed one-minute observations, a positive fixed price-level hedge ratio, and a trailing residual window. The example uses 60 observations, entry at absolute z-score 2, exit at absolute z-score 0.5, stop at absolute z-score 4, and maximum holding time 30 minutes. These values are unvalidated.</w:t>
      </w:r>
    </w:p>
    <w:p>
      <w:pPr>
        <w:ind w:left="288" w:hanging="288"/>
      </w:pPr>
      <w:r>
        <w:rPr>
          <w:b/>
        </w:rPr>
        <w:t xml:space="preserve">1. </w:t>
      </w:r>
      <w:r>
        <w:t>Before the evaluation period, estimate the relationship on training observations or choose a documented fixed hedge for the exercise. Confirm positive prices, adequate history and both legs’ shortability.</w:t>
      </w:r>
    </w:p>
    <w:p>
      <w:pPr>
        <w:ind w:left="288" w:hanging="288"/>
      </w:pPr>
      <w:r>
        <w:rPr>
          <w:b/>
        </w:rPr>
        <w:t xml:space="preserve">2. </w:t>
      </w:r>
      <w:r>
        <w:t>After a new completed bar is available for both symbols, construct one aligned observation. Reject excessive age or timestamp mismatch. Compute the residual and compare it with statistics from earlier observations.</w:t>
      </w:r>
    </w:p>
    <w:p>
      <w:pPr>
        <w:ind w:left="288" w:hanging="288"/>
      </w:pPr>
      <w:r>
        <w:rPr>
          <w:b/>
        </w:rPr>
        <w:t xml:space="preserve">3. </w:t>
      </w:r>
      <w:r>
        <w:t>When flat and −4 &lt; z &lt; −2, request a long spread: buy A and short the beta-sized B leg. When 2 &lt; z &lt; 4, request a short spread. Do not enter beyond the stop band.</w:t>
      </w:r>
    </w:p>
    <w:p>
      <w:pPr>
        <w:ind w:left="288" w:hanging="288"/>
      </w:pPr>
      <w:r>
        <w:rPr>
          <w:b/>
        </w:rPr>
        <w:t xml:space="preserve">4. </w:t>
      </w:r>
      <w:r>
        <w:t>Keep an entry pending until fills are known. If only one leg fills, follow a predefined cancellation and exposure-reduction procedure. Risk and buying-power checks apply to both legs.</w:t>
      </w:r>
    </w:p>
    <w:p>
      <w:pPr>
        <w:ind w:left="288" w:hanging="288"/>
      </w:pPr>
      <w:r>
        <w:rPr>
          <w:b/>
        </w:rPr>
        <w:t xml:space="preserve">5. </w:t>
      </w:r>
      <w:r>
        <w:t>Close the actual filled quantities when absolute z falls below 0.5, absolute z is at least 4, holding time is at least 30 minutes, the risk budget is breached, or the session exit cutoff arrives.</w:t>
      </w:r>
    </w:p>
    <w:p>
      <w:pPr>
        <w:ind w:left="288" w:hanging="288"/>
      </w:pPr>
      <w:r>
        <w:rPr>
          <w:b/>
        </w:rPr>
        <w:t xml:space="preserve">6. </w:t>
      </w:r>
      <w:r>
        <w:t>After the decision, update the rolling reference window. Apply a cooldown and prevent duplicate entries or repeated exits while orders are pending.</w:t>
      </w:r>
    </w:p>
    <w:p>
      <w:pPr>
        <w:pStyle w:val="Heading2"/>
      </w:pPr>
      <w:r>
        <w:t>A trade worked by hand</w:t>
      </w:r>
    </w:p>
    <w:p>
      <w:r>
        <w:t>Suppose beta is 1.5, A is $100 and B is $50. The spread is $25. If its earlier mean is $27.20 and standard deviation is $1, z equals −2.2. The candidate long spread buys 10 A shares and shorts 15 B shares. Its gross exposure is $1,750 and net dollar exposure is +$250; it is not dollar neutral.</w:t>
      </w:r>
    </w:p>
    <w:p>
      <w:r>
        <w:t>If A later rises to $101 while B remains $50, the spread rises by $1. The position earns $10 before four executions’ costs. Equal share counts, equal dollars and beta hedging are different portfolio choices. Use actual fill quantities and prices to calculate P&amp;L.</w:t>
      </w:r>
    </w:p>
    <w:p>
      <w:pPr>
        <w:pStyle w:val="Heading2"/>
      </w:pPr>
      <w:r>
        <w:t>What this example does not establish</w:t>
      </w:r>
    </w:p>
    <w:p>
      <w:r>
        <w:t>A residual can remain extreme or move farther away. A training relationship can break. Stops constrain an intended response but do not guarantee an execution price. No part of the example establishes that this pair or threshold has a tradable edge.</w:t>
      </w:r>
    </w:p>
    <w:p>
      <w:pPr>
        <w:pStyle w:val="Heading1"/>
        <w:pageBreakBefore/>
      </w:pPr>
      <w:r>
        <w:t>6  Two other basic algorithms to compare</w:t>
      </w:r>
    </w:p>
    <w:p>
      <w:pPr>
        <w:pStyle w:val="Heading2"/>
      </w:pPr>
      <w:r>
        <w:t>Algorithm two stock versus sector residual</w:t>
      </w:r>
    </w:p>
    <w:p>
      <w:r>
        <w:t>Choose a stock and a sector ETF for an explicitly justified relationship. Fit a return beta on earlier data. Over a fixed recent interval, calculate the stock return minus beta times the ETF return. Treat this cumulative residual return as the candidate deviation and normalize it using past comparable observations.</w:t>
      </w:r>
    </w:p>
    <w:p>
      <w:pPr>
        <w:ind w:left="288" w:hanging="288"/>
      </w:pPr>
      <w:r>
        <w:rPr>
          <w:b/>
        </w:rPr>
        <w:t xml:space="preserve">1. </w:t>
      </w:r>
      <w:r>
        <w:t>If the residual return is unusually negative, test buying the stock and shorting beta dollars of the ETF for each dollar invested in the stock.</w:t>
      </w:r>
    </w:p>
    <w:p>
      <w:pPr>
        <w:ind w:left="288" w:hanging="288"/>
      </w:pPr>
      <w:r>
        <w:rPr>
          <w:b/>
        </w:rPr>
        <w:t xml:space="preserve">2. </w:t>
      </w:r>
      <w:r>
        <w:t>Exit after a fixed short holding interval or when the deviation normalizes, with the same risk limits and session exit policy as the baseline.</w:t>
      </w:r>
    </w:p>
    <w:p>
      <w:pPr>
        <w:ind w:left="288" w:hanging="288"/>
      </w:pPr>
      <w:r>
        <w:rPr>
          <w:b/>
        </w:rPr>
        <w:t xml:space="preserve">3. </w:t>
      </w:r>
      <w:r>
        <w:t>Compare with the price-level pairs benchmark using identical dates and a documented capital basis. Do not claim the two residual definitions are interchangeable.</w:t>
      </w:r>
    </w:p>
    <w:p>
      <w:r>
        <w:t>This is a basic intraday adaptation inspired by factor-residual research. Avellaneda and Lee study daily signals; their results do not validate this intraday version. [S1]</w:t>
      </w:r>
    </w:p>
    <w:p>
      <w:pPr>
        <w:pStyle w:val="Heading2"/>
      </w:pPr>
      <w:r>
        <w:t>Algorithm three related security lead lag</w:t>
      </w:r>
    </w:p>
    <w:p>
      <w:r>
        <w:t>Test whether a sector ETF’s past return improves a stock’s future return forecast. This is a continuation or information-diffusion hypothesis, distinct from convergence to a stable spread.</w:t>
      </w:r>
    </w:p>
    <w:p>
      <w:pPr>
        <w:ind w:left="288" w:hanging="288"/>
      </w:pPr>
      <w:r>
        <w:rPr>
          <w:b/>
        </w:rPr>
        <w:t xml:space="preserve">1. </w:t>
      </w:r>
      <w:r>
        <w:t>At each completed minute, save features from the prior one and five minutes for the stock and ETF. Define the target as the stock’s return over the next five minutes.</w:t>
      </w:r>
    </w:p>
    <w:p>
      <w:pPr>
        <w:ind w:left="288" w:hanging="288"/>
      </w:pPr>
      <w:r>
        <w:rPr>
          <w:b/>
        </w:rPr>
        <w:t xml:space="preserve">2. </w:t>
      </w:r>
      <w:r>
        <w:t>Fit a small regularized linear model using training data only. Compare a stock-only model with an otherwise identical model that adds past ETF returns.</w:t>
      </w:r>
    </w:p>
    <w:p>
      <w:pPr>
        <w:ind w:left="288" w:hanging="288"/>
      </w:pPr>
      <w:r>
        <w:rPr>
          <w:b/>
        </w:rPr>
        <w:t xml:space="preserve">3. </w:t>
      </w:r>
      <w:r>
        <w:t>Trade only if the estimated move exceeds a conservatively modeled round-trip cost and risk buffer. Use a fixed exit horizon, position cap and no overlapping orders.</w:t>
      </w:r>
    </w:p>
    <w:p>
      <w:r>
        <w:t>A predictive improvement must survive timestamp alignment and staleness checks. A stale stock print can look like delayed information. Cross-asset order-flow research finds rapidly decaying effects, but its richer data and sampling differ from this bar-based experiment. [S2]</w:t>
      </w:r>
    </w:p>
    <w:p>
      <w:pPr>
        <w:pStyle w:val="Heading2"/>
      </w:pPr>
      <w:r>
        <w:t>Choose one initial question</w:t>
      </w:r>
    </w:p>
    <w:p>
      <w:r>
        <w:t>Start with the existing pairs implementation when its assumptions match your specification. Keep the sector and lead–lag examples as separate experiments. Combining all three immediately makes it difficult to attribute any improvement.</w:t>
      </w:r>
    </w:p>
    <w:p>
      <w:pPr>
        <w:pStyle w:val="Heading1"/>
        <w:pageBreakBefore/>
      </w:pPr>
      <w:r>
        <w:t>7  Volatility regimes and longer term research</w:t>
      </w:r>
    </w:p>
    <w:p>
      <w:pPr>
        <w:pStyle w:val="Heading2"/>
      </w:pPr>
      <w:r>
        <w:t>Forecast risk in the relationship</w:t>
      </w:r>
    </w:p>
    <w:p>
      <w:r>
        <w:t>Realized volatility summarizes movements that already occurred. A volatility forecast estimates a future interval using past information. Begin with a rolling estimate of residual changes, then compare an exponentially weighted estimate that gives recent observations more weight.</w:t>
      </w:r>
    </w:p>
    <w:p>
      <w:pPr>
        <w:pStyle w:val="Caption"/>
        <w:keepNext/>
      </w:pPr>
      <w:r>
        <w:t>An EWMA variance update</w:t>
      </w:r>
    </w:p>
    <w:p>
      <w:pPr>
        <w:spacing w:after="140"/>
      </w:pPr>
      <m:oMath>
        <m:sSub>
          <m:e>
            <m:r>
              <m:t>v</m:t>
            </m:r>
          </m:e>
          <m:sub>
            <m:r>
              <m:t>t</m:t>
            </m:r>
          </m:sub>
        </m:sSub>
        <m:r>
          <m:t> = λ </m:t>
        </m:r>
        <m:sSub>
          <m:e>
            <m:r>
              <m:t>v</m:t>
            </m:r>
          </m:e>
          <m:sub>
            <m:r>
              <m:t>t−1</m:t>
            </m:r>
          </m:sub>
        </m:sSub>
        <m:r>
          <m:t> + (1 − λ) </m:t>
        </m:r>
        <m:sSup>
          <m:e>
            <m:sSub>
              <m:e>
                <m:r>
                  <m:t>Δs</m:t>
                </m:r>
              </m:e>
              <m:sub>
                <m:r>
                  <m:t>t−1</m:t>
                </m:r>
              </m:sub>
            </m:sSub>
          </m:e>
          <m:sup>
            <m:r>
              <m:t>2</m:t>
            </m:r>
          </m:sup>
        </m:sSup>
      </m:oMath>
    </w:p>
    <w:p>
      <w:r>
        <w:t>Variance v is in squared residual-price units per sampling interval. Lambda is between zero and one. Define initialization, window spacing and the forecast horizon. A return-volatility forecast has different units and must not be substituted into a dollar-risk calculation without conversion.</w:t>
      </w:r>
    </w:p>
    <w:p>
      <w:r>
        <w:t>A candidate sizing rule reduces exposure when predicted spread volatility rises, with a minimum denominator and hard gross-exposure cap. Evaluate it against fixed sizing. Forecast accuracy alone does not establish better net returns. Research on intraday volatility commonality is useful inspiration, but its stock-return forecasts are not already forecasts of your pair residual. [VOL]</w:t>
      </w:r>
    </w:p>
    <w:p>
      <w:pPr>
        <w:pStyle w:val="Heading2"/>
      </w:pPr>
      <w:r>
        <w:t>Detect relationship instability</w:t>
      </w:r>
    </w:p>
    <w:p>
      <w:pPr>
        <w:pStyle w:val="ListBullet"/>
      </w:pPr>
      <w:r>
        <w:t>Track changes in beta, residual variance, forecast error and cointegration diagnostics using past observations.</w:t>
      </w:r>
    </w:p>
    <w:p>
      <w:pPr>
        <w:pStyle w:val="ListBullet"/>
      </w:pPr>
      <w:r>
        <w:t>Define an entry pause when a relationship fails a predefined stability rule. Keep emergency exits active even when entries are blocked.</w:t>
      </w:r>
    </w:p>
    <w:p>
      <w:pPr>
        <w:pStyle w:val="ListBullet"/>
      </w:pPr>
      <w:r>
        <w:t>Fit regime models on training data. Use filtered probabilities available at the time rather than states smoothed with future observations.</w:t>
      </w:r>
    </w:p>
    <w:p>
      <w:pPr>
        <w:pStyle w:val="ListBullet"/>
      </w:pPr>
      <w:r>
        <w:t>Compare the original strategy with the gated version. Count the lost profitable trades as well as the avoided losses.</w:t>
      </w:r>
    </w:p>
    <w:p>
      <w:pPr>
        <w:pStyle w:val="Heading2"/>
      </w:pPr>
      <w:r>
        <w:t>A year of research</w:t>
      </w:r>
    </w:p>
    <w:p>
      <w:r>
        <w:t>After the baseline, investigate sector factors and principal components analysis, which extracts shared patterns across many return series. Estimate every factor using only the training or permitted trailing data. Consider dynamic hedge ratios, then nonlinear residual forecasts only when simpler models leave a documented gap.</w:t>
      </w:r>
    </w:p>
    <w:p>
      <w:r>
        <w:t>Deep learning statistical arbitrage offers a research path combining factor residual portfolios, learned signals and a trading policy. Its empirical study uses daily equities; replicating that result and adapting it to intraday observations are different projects. [S3]</w:t>
      </w:r>
    </w:p>
    <w:p>
      <w:r>
        <w:t>Use one change at a time: baseline, baseline plus volatility sizing, baseline plus a stability gate, then a justified combination. Register the trials before looking at the final test.</w:t>
      </w:r>
    </w:p>
    <w:p>
      <w:pPr>
        <w:pStyle w:val="Heading1"/>
        <w:pageBreakBefore/>
      </w:pPr>
      <w:r>
        <w:t>8  Backtesting and research evaluation</w:t>
      </w:r>
    </w:p>
    <w:p>
      <w:r>
        <w:t>Write the hypothesis, information available at decision time, entry rule, exit rule and failure condition before looking for favorable parameters. The first goal is a reproducible experiment whose outcome you can explain.</w:t>
      </w:r>
    </w:p>
    <w:p>
      <w:pPr>
        <w:pStyle w:val="Heading2"/>
      </w:pPr>
      <w:r>
        <w:t>Use time ordered evaluation</w:t>
      </w:r>
    </w:p>
    <w:p>
      <w:pPr>
        <w:ind w:left="288" w:hanging="288"/>
      </w:pPr>
      <w:r>
        <w:rPr>
          <w:b/>
        </w:rPr>
        <w:t xml:space="preserve">1. </w:t>
      </w:r>
      <w:r>
        <w:t>Reserve an earlier training period to estimate relationships, scaling and model coefficients. Use a later validation period to choose a small number of predefined alternatives.</w:t>
      </w:r>
    </w:p>
    <w:p>
      <w:pPr>
        <w:ind w:left="288" w:hanging="288"/>
      </w:pPr>
      <w:r>
        <w:rPr>
          <w:b/>
        </w:rPr>
        <w:t xml:space="preserve">2. </w:t>
      </w:r>
      <w:r>
        <w:t>Lock the strategy and evaluate it once on a later untouched test period. Use rolling or expanding walk-forward evaluation when sufficient history exists.</w:t>
      </w:r>
    </w:p>
    <w:p>
      <w:pPr>
        <w:ind w:left="288" w:hanging="288"/>
      </w:pPr>
      <w:r>
        <w:rPr>
          <w:b/>
        </w:rPr>
        <w:t xml:space="preserve">3. </w:t>
      </w:r>
      <w:r>
        <w:t>If labels use future returns, remove training observations whose outcome intervals cross a validation or test boundary. Keep all stocks from the same time period in the same time fold.</w:t>
      </w:r>
    </w:p>
    <w:p>
      <w:pPr>
        <w:ind w:left="288" w:hanging="288"/>
      </w:pPr>
      <w:r>
        <w:rPr>
          <w:b/>
        </w:rPr>
        <w:t xml:space="preserve">4. </w:t>
      </w:r>
      <w:r>
        <w:t>Record every attempted variant, including failed experiments. Repeatedly viewing the test period turns it into development data. Backtest selection can produce false discoveries. [RISK]</w:t>
      </w:r>
    </w:p>
    <w:p>
      <w:pPr>
        <w:pStyle w:val="Heading2"/>
      </w:pPr>
      <w:r>
        <w:t>Simulate what could actually be traded</w:t>
      </w:r>
    </w:p>
    <w:p>
      <w:r>
        <w:t>For a marketable long, buy near the available ask and sell near the available bid, plus separately justified fees and slippage. Reverse the sides for a short. If bid and ask fills already account for the spread, do not add the spread again. Bar-only tests require explicit cost assumptions and cannot validate second-by-second execution.</w:t>
      </w:r>
    </w:p>
    <w:p>
      <w:r>
        <w:t>Never assume a limit order fills because a bar touches its price. Account for order submission time, waiting, cancellation, partial fills and missed trades. If a stop and target both fall within one bar, their order is unknown; use a conservative documented policy or finer observations.</w:t>
      </w:r>
    </w:p>
    <w:p>
      <w:pPr>
        <w:pStyle w:val="Heading2"/>
      </w:pPr>
      <w:r>
        <w:t>Report performance and uncertainty</w:t>
      </w:r>
    </w:p>
    <w:p>
      <w:r>
        <w:t>Drawdown is the decline from a prior equity peak. Turnover measures how much you trade relative to capital. Sharpe compares average excess return with return variability; it is sensitive to sampling and dependence. Win rate alone ignores the size of gains and losses.</w:t>
      </w:r>
    </w:p>
    <w:p>
      <w:pPr>
        <w:pStyle w:val="ListBullet"/>
      </w:pPr>
      <w:r>
        <w:t>Report net P&amp;L, return on allocated capital, maximum drawdown, gross exposure, turnover, completed round trips, holding time and cost per trade. Include unrealized exposure at the end.</w:t>
      </w:r>
    </w:p>
    <w:p>
      <w:pPr>
        <w:pStyle w:val="ListBullet"/>
      </w:pPr>
      <w:r>
        <w:t>Calculate comparable daily returns from the full equity ledger. Use the same trading-session sampling and capital denominator across teams. A high annualized Sharpe from a short sample is unstable.</w:t>
      </w:r>
    </w:p>
    <w:p>
      <w:pPr>
        <w:pStyle w:val="ListBullet"/>
      </w:pPr>
      <w:r>
        <w:t>Show results by day, symbol and time of day. Include losing periods, rejected signals, missing data and parameter sensitivity.</w:t>
      </w:r>
    </w:p>
    <w:p>
      <w:pPr>
        <w:pStyle w:val="ListBullet"/>
      </w:pPr>
      <w:r>
        <w:t>Stress costs and execution delays using measurements or clearly labeled scenarios. Report the point at which the apparent advantage disappears.</w:t>
      </w:r>
    </w:p>
    <w:p>
      <w:r>
        <w:t>Team-specific checks: report each leg’s P&amp;L, hedge mismatch, residual behavior after entry, time to convergence, percentage of trades ending at the time limit and periods when the relationship fails. Compare with no-trade and the original fixed-hedge baseline. A market index is contextual information; a hedged strategy needs exposure-aware comparisons.</w:t>
      </w:r>
    </w:p>
    <w:p>
      <w:pPr>
        <w:pStyle w:val="Heading1"/>
        <w:pageBreakBefore/>
      </w:pPr>
      <w:r>
        <w:t>9  Risk controls and tests that matter</w:t>
      </w:r>
    </w:p>
    <w:p>
      <w:pPr>
        <w:pStyle w:val="Heading2"/>
      </w:pPr>
      <w:r>
        <w:t>Risk rules to specify</w:t>
      </w:r>
    </w:p>
    <w:p>
      <w:pPr>
        <w:pStyle w:val="ListBullet"/>
      </w:pPr>
      <w:r>
        <w:t>Cap gross exposure using the sum of absolute dollar positions across both legs. Track net dollar exposure and estimated factor exposure separately.</w:t>
      </w:r>
    </w:p>
    <w:p>
      <w:pPr>
        <w:pStyle w:val="ListBullet"/>
      </w:pPr>
      <w:r>
        <w:t>Confirm shortability and buying power before entry. Model short-related costs where applicable and log rejected trades.</w:t>
      </w:r>
    </w:p>
    <w:p>
      <w:pPr>
        <w:pStyle w:val="ListBullet"/>
      </w:pPr>
      <w:r>
        <w:t>Define an unhedged-exposure limit and response to one-leg fills, rejects and cancellation races. Paired signals do not imply atomic execution.</w:t>
      </w:r>
    </w:p>
    <w:p>
      <w:pPr>
        <w:pStyle w:val="ListBullet"/>
      </w:pPr>
      <w:r>
        <w:t>Use actual filled quantities for exits. Partial fills and share rounding change the intended hedge.</w:t>
      </w:r>
    </w:p>
    <w:p>
      <w:pPr>
        <w:pStyle w:val="ListBullet"/>
      </w:pPr>
      <w:r>
        <w:t>Specify maximum holding time, maximum loss, entry cutoff and flattening before the exchange’s actual session close. Handle early closes.</w:t>
      </w:r>
    </w:p>
    <w:p>
      <w:pPr>
        <w:pStyle w:val="ListBullet"/>
      </w:pPr>
      <w:r>
        <w:t>Reconcile broker positions and outstanding orders after reconnects and restarts. A data outage should block new entries while preserving an exit procedure.</w:t>
      </w:r>
    </w:p>
    <w:p>
      <w:pPr>
        <w:pStyle w:val="Heading2"/>
      </w:pPr>
      <w:r>
        <w:t>Small deterministic tests</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Scenario</w:t>
            </w:r>
          </w:p>
        </w:tc>
        <w:tc>
          <w:tcPr>
            <w:tcW w:type="dxa" w:w="734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Expected behavior</w:t>
            </w:r>
          </w:p>
        </w:tc>
      </w:tr>
      <w:tr>
        <w:trPr>
          <w:cantSplit/>
        </w:trP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Positive z beyond the entry band</w:t>
            </w:r>
          </w:p>
        </w:tc>
        <w:tc>
          <w:tcPr>
            <w:tcW w:type="dxa" w:w="73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For a positive hedge ratio, request short A and long B.</w:t>
            </w:r>
          </w:p>
        </w:tc>
      </w:tr>
      <w:tr>
        <w:trPr>
          <w:cantSplit/>
        </w:trPr>
        <w:tc>
          <w:tcPr>
            <w:tcW w:type="dxa" w:w="288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Negative z beyond the entry band</w:t>
            </w:r>
          </w:p>
        </w:tc>
        <w:tc>
          <w:tcPr>
            <w:tcW w:type="dxa" w:w="73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For a positive hedge ratio, request long A and short B.</w:t>
            </w:r>
          </w:p>
        </w:tc>
      </w:tr>
      <w:tr>
        <w:trPr>
          <w:cantSplit/>
        </w:trP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Zero residual variance</w:t>
            </w:r>
          </w:p>
        </w:tc>
        <w:tc>
          <w:tcPr>
            <w:tcW w:type="dxa" w:w="73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No division by zero, invalid signal or new entry.</w:t>
            </w:r>
          </w:p>
        </w:tc>
      </w:tr>
      <w:tr>
        <w:trPr>
          <w:cantSplit/>
        </w:trPr>
        <w:tc>
          <w:tcPr>
            <w:tcW w:type="dxa" w:w="288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 is stale or missing</w:t>
            </w:r>
          </w:p>
        </w:tc>
        <w:tc>
          <w:tcPr>
            <w:tcW w:type="dxa" w:w="73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Skip the paired observation and report the reason.</w:t>
            </w:r>
          </w:p>
        </w:tc>
      </w:tr>
      <w:tr>
        <w:trPr>
          <w:cantSplit/>
        </w:trP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Only one entry leg fills</w:t>
            </w:r>
          </w:p>
        </w:tc>
        <w:tc>
          <w:tcPr>
            <w:tcW w:type="dxa" w:w="73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No fictitious hedged position; apply the specified response.</w:t>
            </w:r>
          </w:p>
        </w:tc>
      </w:tr>
      <w:tr>
        <w:trPr>
          <w:cantSplit/>
        </w:trPr>
        <w:tc>
          <w:tcPr>
            <w:tcW w:type="dxa" w:w="288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Repeated evaluation</w:t>
            </w:r>
          </w:p>
        </w:tc>
        <w:tc>
          <w:tcPr>
            <w:tcW w:type="dxa" w:w="73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One observation and one intended action for the same decision.</w:t>
            </w:r>
          </w:p>
        </w:tc>
      </w:tr>
      <w:tr>
        <w:trPr>
          <w:cantSplit/>
        </w:trP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Time or session exit</w:t>
            </w:r>
          </w:p>
        </w:tc>
        <w:tc>
          <w:tcPr>
            <w:tcW w:type="dxa" w:w="73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Close actual exposure and verify no working orders remain.</w:t>
            </w:r>
          </w:p>
        </w:tc>
      </w:tr>
      <w:tr>
        <w:trPr>
          <w:cantSplit/>
        </w:trPr>
        <w:tc>
          <w:tcPr>
            <w:tcW w:type="dxa" w:w="288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Restart with open orders</w:t>
            </w:r>
          </w:p>
        </w:tc>
        <w:tc>
          <w:tcPr>
            <w:tcW w:type="dxa" w:w="73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Recover and reconcile before emitting a new entry.</w:t>
            </w:r>
          </w:p>
        </w:tc>
      </w:tr>
    </w:tbl>
    <w:p>
      <w:pPr>
        <w:spacing w:after="20"/>
      </w:pPr>
    </w:p>
    <w:p>
      <w:pPr>
        <w:pStyle w:val="Heading2"/>
      </w:pPr>
      <w:r>
        <w:t>Check a complete trade by hand</w:t>
      </w:r>
    </w:p>
    <w:p>
      <w:r>
        <w:t>Construct a tiny synthetic sequence where the spread expands, triggers entry, then converges. Calculate both legs, fees and equity changes manually. Repeat with divergence, partial fills and delayed execution. These tests validate behavior; they do not validate a market edge.</w:t>
      </w:r>
    </w:p>
    <w:p>
      <w:r>
        <w:t>When changing beta or the residual reference, test what happens to an existing trade. Ensure a model reset cannot erase an economic loss or invent a profit. Persist enough entry information to explain the original hedge.</w:t>
      </w:r>
    </w:p>
    <w:p>
      <w:pPr>
        <w:pStyle w:val="Heading1"/>
        <w:pageBreakBefore/>
      </w:pPr>
      <w:r>
        <w:t>10  Building on the trading platform</w:t>
      </w:r>
    </w:p>
    <w:p>
      <w:r>
        <w:t>Repository snapshot checked on October 13 2026. Recheck these files when implementing because registrations and interfaces can change. Current application code takes precedence over historical documentation.</w:t>
      </w:r>
    </w:p>
    <w:p>
      <w:pPr>
        <w:pStyle w:val="Heading2"/>
      </w:pPr>
      <w:r>
        <w:t>Start with the shared local environment</w:t>
      </w:r>
    </w:p>
    <w:p>
      <w:r>
        <w:t>Install Node.js 22 or newer and Docker Desktop. From the repository root, use the following sequence. Keep Docker running. Consult docs/guides/local-development.md for credentials, cached data and troubleshooting.</w:t>
      </w:r>
    </w:p>
    <w:p>
      <w:pPr>
        <w:pStyle w:val="Code"/>
        <w:keepLines/>
      </w:pPr>
      <w:r>
        <w:t>npm install</w:t>
        <w:br/>
        <w:t>npm run setup</w:t>
        <w:br/>
        <w:t>npm run dev:stack</w:t>
        <w:br/>
        <w:t>npm run doctor</w:t>
      </w:r>
    </w:p>
    <w:p>
      <w:r>
        <w:t>The local runner defaults to EXECUTION_TARGET=sim. This is local simulation, not orders sent to Alpaca paper. Cached bars still have to be available; setup alone does not provide historical datasets. The platform team should distribute a small, versioned teaching dataset before the first workshop.</w:t>
      </w:r>
    </w:p>
    <w:p>
      <w:r>
        <w:t>Live data and Alpaca paper testing use each developer's own keys through the documented setup. LOCAL_STREAM_DATA=1 enables the local IEX stream. EXECUTION_TARGET=alpaca-paper uses a personal paper account when configured. Keep secrets out of Git and preserve the protected club-account checks.</w:t>
      </w:r>
    </w:p>
    <w:p>
      <w:pPr>
        <w:pStyle w:val="Heading2"/>
      </w:pPr>
      <w:r>
        <w:t>Use the strategy contract</w:t>
      </w:r>
    </w:p>
    <w:p>
      <w:r>
        <w:t>backend/src/strategies/base/strategy.ts defines IStrategy and BaseStrategy. evaluate(context) is synchronous and returns StrategySignal or null. It reads symbolState, portfolioState and orderState; it must be fast and must not call external APIs, open WebSockets, or write directly to the database.</w:t>
      </w:r>
    </w:p>
    <w:p>
      <w:r>
        <w:t>Keep indicator windows and strategy memory in the strategy or reusable indicator services. Emit a signal and let the orchestrator, risk layer and execution layer handle orders. A signal is an intention; order acknowledgment and actual fills determine exposure.</w:t>
      </w:r>
    </w:p>
    <w:p>
      <w:r>
        <w:t>evaluate can run on quotes, trades and bars. Process each new observation only once. Bar strategies need an explicit new-completed-bar guard. A quote model must not count the same latest quote again when a trade triggers evaluation.</w:t>
      </w:r>
    </w:p>
    <w:p>
      <w:r>
        <w:t>Existing helpers are in backend/src/services/indicators, including SMA, EMA, RSI, volatility, z-score, OLS and cointegration modules. Read their formulas, units and edge-case behavior before reusing them. A helper's presence does not establish that it matches your research definition.</w:t>
      </w:r>
    </w:p>
    <w:p>
      <w:r>
        <w:t>Start with backend/src/strategies/pairs/pairsStrategy.ts and pairsConfig.ts. Defaults use a fixed hedge, entry and exit bands of 2 and 0.5, and a 24-hour holding limit. Override that limit and verify session flattening. The backtest factory enables pairs_trading. The teaching example uses earlier observations for reference statistics; inspect the implementation’s inclusion of the current observation and document any difference.</w:t>
      </w:r>
    </w:p>
    <w:p>
      <w:pPr>
        <w:pStyle w:val="Heading1"/>
        <w:pageBreakBefore/>
      </w:pPr>
      <w:r>
        <w:t>11  Implementation sequence and team deliverables</w:t>
      </w:r>
    </w:p>
    <w:p>
      <w:pPr>
        <w:pStyle w:val="Heading2"/>
      </w:pPr>
      <w:r>
        <w:t>Before the first implementation</w:t>
      </w:r>
    </w:p>
    <w:p>
      <w:pPr>
        <w:ind w:left="288" w:hanging="288"/>
      </w:pPr>
      <w:r>
        <w:rPr>
          <w:b/>
        </w:rPr>
        <w:t xml:space="preserve">1. </w:t>
      </w:r>
      <w:r>
        <w:t>Explain one proposed trade by hand using a short example dataset. Every member should identify the decision time, expected price behavior, exit and maximum permitted loss.</w:t>
      </w:r>
    </w:p>
    <w:p>
      <w:pPr>
        <w:ind w:left="288" w:hanging="288"/>
      </w:pPr>
      <w:r>
        <w:rPr>
          <w:b/>
        </w:rPr>
        <w:t xml:space="preserve">2. </w:t>
      </w:r>
      <w:r>
        <w:t>Create a one-page specification: hypothesis, cited evidence, universe, feed, decision frequency, features, entry, exit, costs, size limits and test periods. Label educational thresholds as unvalidated.</w:t>
      </w:r>
    </w:p>
    <w:p>
      <w:pPr>
        <w:ind w:left="288" w:hanging="288"/>
      </w:pPr>
      <w:r>
        <w:rPr>
          <w:b/>
        </w:rPr>
        <w:t xml:space="preserve">3. </w:t>
      </w:r>
      <w:r>
        <w:t>Assign a research owner, implementation owner and evaluation owner. In a three-person team, rotate the evaluation role so someone other than the author checks the results.</w:t>
      </w:r>
    </w:p>
    <w:p>
      <w:pPr>
        <w:ind w:left="288" w:hanging="288"/>
      </w:pPr>
      <w:r>
        <w:rPr>
          <w:b/>
        </w:rPr>
        <w:t xml:space="preserve">4. </w:t>
      </w:r>
      <w:r>
        <w:t>Ask the platform team to confirm the dataset and any missing registration or execution support before building a complex model.</w:t>
      </w:r>
    </w:p>
    <w:p>
      <w:pPr>
        <w:pStyle w:val="Heading2"/>
      </w:pPr>
      <w:r>
        <w:t>Build a small vertical slice</w:t>
      </w:r>
    </w:p>
    <w:p>
      <w:r>
        <w:t>Implement one pair end to end: load aligned observations, warm the residual window, generate entry and exit intentions, verify two-leg execution metadata, calculate P&amp;L, and replay a synthetic convergence and divergence. Preserve the existing counterpart-symbol and hedge-sizing conventions unless a reviewed change deliberately replaces them.</w:t>
      </w:r>
    </w:p>
    <w:p>
      <w:r>
        <w:t>Use a state machine such as WARMING, FLAT, ENTRY_PENDING, OPEN, EXIT_PENDING and HALTED. Reconcile positions and working orders after restarts. Never infer that an order filled simply because a signal was emitted. Implement closing logic before enabling entries.</w:t>
      </w:r>
    </w:p>
    <w:p>
      <w:pPr>
        <w:pStyle w:val="Heading2"/>
      </w:pPr>
      <w:r>
        <w:t>Keep research runs reproducible</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Record</w:t>
            </w:r>
          </w:p>
        </w:tc>
        <w:tc>
          <w:tcPr>
            <w:tcW w:type="dxa" w:w="8496"/>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Minimum contents</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Run identity</w:t>
            </w:r>
          </w:p>
        </w:tc>
        <w:tc>
          <w:tcPr>
            <w:tcW w:type="dxa" w:w="84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Code commit, algorithm version, configuration and model version if used.</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Data identity</w:t>
            </w:r>
          </w:p>
        </w:tc>
        <w:tc>
          <w:tcPr>
            <w:tcW w:type="dxa" w:w="849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Symbols, feed, dates, file checksum, cleaning rules and timestamp policy.</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Decisions</w:t>
            </w:r>
          </w:p>
        </w:tc>
        <w:tc>
          <w:tcPr>
            <w:tcW w:type="dxa" w:w="84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Observation identifiers, feature values, signal reason and skip reason.</w:t>
            </w:r>
          </w:p>
        </w:tc>
      </w:tr>
      <w:tr>
        <w:trPr>
          <w:cantSplit/>
        </w:trPr>
        <w:tc>
          <w:tcPr>
            <w:tcW w:type="dxa" w:w="172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Execution</w:t>
            </w:r>
          </w:p>
        </w:tc>
        <w:tc>
          <w:tcPr>
            <w:tcW w:type="dxa" w:w="849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Order and fill identifiers, side, quantity, prices, costs and timing.</w:t>
            </w:r>
          </w:p>
        </w:tc>
      </w:tr>
      <w:tr>
        <w:trPr>
          <w:cantSplit/>
        </w:trPr>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Findings</w:t>
            </w:r>
          </w:p>
        </w:tc>
        <w:tc>
          <w:tcPr>
            <w:tcW w:type="dxa" w:w="84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Baseline comparison, unsuccessful trials, sensitivity and remaining uncertainty.</w:t>
            </w:r>
          </w:p>
        </w:tc>
      </w:tr>
    </w:tbl>
    <w:p>
      <w:pPr>
        <w:spacing w:after="20"/>
      </w:pPr>
    </w:p>
    <w:p>
      <w:pPr>
        <w:pStyle w:val="Heading2"/>
      </w:pPr>
      <w:r>
        <w:t>Before paper deployment</w:t>
      </w:r>
    </w:p>
    <w:p>
      <w:r>
        <w:t>Run the relevant backend Jest tests and typecheck, then the project's required checks. Use a focused pull request with the specification and experiment evidence. Coordinate shared infrastructure with the platform team. Follow docs/guides/member-instructions.md and the current strategy-version workflow.</w:t>
      </w:r>
    </w:p>
    <w:p>
      <w:r>
        <w:t>Paper monitoring should include data age, process health, order rejections, pending orders, position reconciliation, exposure and end-of-session flattening. Assign a monitoring owner and a documented stop procedure. Keep strategy versions separate in the results.</w:t>
      </w:r>
    </w:p>
    <w:p>
      <w:r>
        <w:t>For the final presentation, explain the hypothesis and papers, exact algorithm, backtest assumptions and performance, paper results, failure cases and next experiments. Three weeks of paper trading can demonstrate operational reliability and describe observed performance; it cannot establish durable profitability across market conditions.</w:t>
      </w:r>
    </w:p>
    <w:p>
      <w:pPr>
        <w:pStyle w:val="Heading1"/>
        <w:pageBreakBefore/>
      </w:pPr>
      <w:r>
        <w:t>12  Research papers and reference material</w:t>
      </w:r>
    </w:p>
    <w:p>
      <w:r>
        <w:t>Read the first paper’s introduction and model before studying its detailed results. For each source, record its dataset, sampling interval, economic explanation, cost model and the difference between the published experiment and your proposed implementation.</w:t>
      </w:r>
    </w:p>
    <w:p>
      <w:pPr>
        <w:keepNext/>
        <w:spacing w:after="40"/>
      </w:pPr>
      <w:r>
        <w:rPr>
          <w:b/>
        </w:rPr>
        <w:t xml:space="preserve">[S1] </w:t>
      </w:r>
      <w:hyperlink r:id="rId11">
        <w:r>
          <w:rPr>
            <w:color w:val="004D73"/>
            <w:u w:val="single"/>
          </w:rPr>
          <w:t>Avellaneda and Lee 2010 Statistical Arbitrage in the US Equities Market</w:t>
        </w:r>
      </w:hyperlink>
    </w:p>
    <w:p>
      <w:pPr>
        <w:spacing w:after="120"/>
      </w:pPr>
      <w:r>
        <w:rPr>
          <w:sz w:val="20"/>
        </w:rPr>
        <w:t>Core reading. Factor and sector residuals with mean-reversion trading. Daily-data study; the linked author manuscript predates publication. Intraday adaptation needs new evidence.</w:t>
      </w:r>
    </w:p>
    <w:p>
      <w:pPr>
        <w:keepNext/>
        <w:spacing w:after="40"/>
      </w:pPr>
      <w:r>
        <w:rPr>
          <w:b/>
        </w:rPr>
        <w:t xml:space="preserve">[S2] </w:t>
      </w:r>
      <w:hyperlink r:id="rId12">
        <w:r>
          <w:rPr>
            <w:color w:val="004D73"/>
            <w:u w:val="single"/>
          </w:rPr>
          <w:t>Cont Cucuringu and Zhang 2023 Cross Impact of Order Flow Imbalance</w:t>
        </w:r>
      </w:hyperlink>
    </w:p>
    <w:p>
      <w:pPr>
        <w:spacing w:after="120"/>
      </w:pPr>
      <w:r>
        <w:rPr>
          <w:sz w:val="20"/>
        </w:rPr>
        <w:t>Extension. Lagged cross-asset order flow improves short-horizon forecasts in the study. Multilevel book features are richer than your current feed.</w:t>
      </w:r>
    </w:p>
    <w:p>
      <w:pPr>
        <w:keepNext/>
        <w:spacing w:after="40"/>
      </w:pPr>
      <w:r>
        <w:rPr>
          <w:b/>
        </w:rPr>
        <w:t xml:space="preserve">[S3] </w:t>
      </w:r>
      <w:hyperlink r:id="rId13">
        <w:r>
          <w:rPr>
            <w:color w:val="004D73"/>
            <w:u w:val="single"/>
          </w:rPr>
          <w:t>Guijarro Ordonez Pelger and Zanotti Deep Learning Statistical Arbitrage</w:t>
        </w:r>
      </w:hyperlink>
    </w:p>
    <w:p>
      <w:pPr>
        <w:spacing w:after="120"/>
      </w:pPr>
      <w:r>
        <w:rPr>
          <w:sz w:val="20"/>
        </w:rPr>
        <w:t>Advanced reading. Residual portfolios, learned temporal signals and trading policies. The linked working paper studies daily US equities.</w:t>
      </w:r>
    </w:p>
    <w:p>
      <w:pPr>
        <w:keepNext/>
        <w:spacing w:after="40"/>
      </w:pPr>
      <w:r>
        <w:rPr>
          <w:b/>
        </w:rPr>
        <w:t xml:space="preserve">[VOL] </w:t>
      </w:r>
      <w:hyperlink r:id="rId14">
        <w:r>
          <w:rPr>
            <w:color w:val="004D73"/>
            <w:u w:val="single"/>
          </w:rPr>
          <w:t>Zhang and coauthors 2024 Volatility Forecasting with Machine Learning and Intraday Commonality</w:t>
        </w:r>
      </w:hyperlink>
    </w:p>
    <w:p>
      <w:pPr>
        <w:spacing w:after="120"/>
      </w:pPr>
      <w:r>
        <w:rPr>
          <w:sz w:val="20"/>
        </w:rPr>
        <w:t>Extension. Intraday volatility forecasts and pooled cross-stock information. Forecasting risk and producing trading profits are separate evaluations.</w:t>
      </w:r>
    </w:p>
    <w:p>
      <w:pPr>
        <w:keepNext/>
        <w:spacing w:after="40"/>
      </w:pPr>
      <w:r>
        <w:rPr>
          <w:b/>
        </w:rPr>
        <w:t xml:space="preserve">[D1] </w:t>
      </w:r>
      <w:hyperlink r:id="rId15">
        <w:r>
          <w:rPr>
            <w:color w:val="004D73"/>
            <w:u w:val="single"/>
          </w:rPr>
          <w:t>Alpaca Market Data FAQ</w:t>
        </w:r>
      </w:hyperlink>
    </w:p>
    <w:p>
      <w:pPr>
        <w:spacing w:after="120"/>
      </w:pPr>
      <w:r>
        <w:rPr>
          <w:sz w:val="20"/>
        </w:rPr>
        <w:t>Official reference for IEX, SIP and feed selection.</w:t>
      </w:r>
    </w:p>
    <w:p>
      <w:pPr>
        <w:keepNext/>
        <w:spacing w:after="40"/>
      </w:pPr>
      <w:r>
        <w:rPr>
          <w:b/>
        </w:rPr>
        <w:t xml:space="preserve">[D2] </w:t>
      </w:r>
      <w:hyperlink r:id="rId16">
        <w:r>
          <w:rPr>
            <w:color w:val="004D73"/>
            <w:u w:val="single"/>
          </w:rPr>
          <w:t>Alpaca Real Time Stock Data</w:t>
        </w:r>
      </w:hyperlink>
    </w:p>
    <w:p>
      <w:pPr>
        <w:spacing w:after="120"/>
      </w:pPr>
      <w:r>
        <w:rPr>
          <w:sz w:val="20"/>
        </w:rPr>
        <w:t>Official message schemas, timestamps, size units and bar updates.</w:t>
      </w:r>
    </w:p>
    <w:p>
      <w:pPr>
        <w:keepNext/>
        <w:spacing w:after="40"/>
      </w:pPr>
      <w:r>
        <w:rPr>
          <w:b/>
        </w:rPr>
        <w:t xml:space="preserve">[D3] </w:t>
      </w:r>
      <w:hyperlink r:id="rId17">
        <w:r>
          <w:rPr>
            <w:color w:val="004D73"/>
            <w:u w:val="single"/>
          </w:rPr>
          <w:t>Alpaca Paper Trading</w:t>
        </w:r>
      </w:hyperlink>
    </w:p>
    <w:p>
      <w:pPr>
        <w:spacing w:after="120"/>
      </w:pPr>
      <w:r>
        <w:rPr>
          <w:sz w:val="20"/>
        </w:rPr>
        <w:t>Official reference for simulated execution and its limitations.</w:t>
      </w:r>
    </w:p>
    <w:p>
      <w:pPr>
        <w:keepNext/>
        <w:spacing w:after="40"/>
      </w:pPr>
      <w:r>
        <w:rPr>
          <w:b/>
        </w:rPr>
        <w:t xml:space="preserve">[RISK] </w:t>
      </w:r>
      <w:hyperlink r:id="rId18">
        <w:r>
          <w:rPr>
            <w:color w:val="004D73"/>
            <w:u w:val="single"/>
          </w:rPr>
          <w:t>Bailey and coauthors The Probability of Backtest Overfitting</w:t>
        </w:r>
      </w:hyperlink>
    </w:p>
    <w:p>
      <w:pPr>
        <w:spacing w:after="120"/>
      </w:pPr>
      <w:r>
        <w:rPr>
          <w:sz w:val="20"/>
        </w:rPr>
        <w:t>Explains why selecting the best historical result from many trials can mislead. Use an experiment register and untouched evaluation data.</w:t>
      </w:r>
    </w:p>
    <w:p>
      <w:r>
        <w:t>Platform reading order: docs/guides/local-development.md; backend/src/strategies/base/strategy.ts; backend/src/strategies/pairs/pairsStrategy.ts; backend/src/strategies/pairs/pairsConfig.ts; backend/src/core/backtest/strategyFactory.ts; docs/guides/LATENCY_BENCHMARK_AGENT_GUIDE.md. Paths are relative to the project root.</w:t>
      </w:r>
    </w:p>
    <w:sectPr w:rsidR="00FC693F" w:rsidRPr="0006063C" w:rsidSect="00034616">
      <w:headerReference w:type="default" r:id="rId9"/>
      <w:footerReference w:type="default" r:id="rId10"/>
      <w:pgSz w:w="12240" w:h="15840"/>
      <w:pgMar w:top="936"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SHPE Capital   Algorithm research team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4" w:lineRule="auto" w:after="10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4" w:lineRule="auto" w:after="10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line="252"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th.nyu.edu/~avellane/AvellanedaLeeStatArb20090616.pdf" TargetMode="External"/><Relationship Id="rId12" Type="http://schemas.openxmlformats.org/officeDocument/2006/relationships/hyperlink" Target="https://arxiv.org/abs/2112.13213" TargetMode="External"/><Relationship Id="rId13" Type="http://schemas.openxmlformats.org/officeDocument/2006/relationships/hyperlink" Target="https://arxiv.org/abs/2106.04028" TargetMode="External"/><Relationship Id="rId14" Type="http://schemas.openxmlformats.org/officeDocument/2006/relationships/hyperlink" Target="https://academic.oup.com/jfec/article/22/2/492/7081291" TargetMode="External"/><Relationship Id="rId15" Type="http://schemas.openxmlformats.org/officeDocument/2006/relationships/hyperlink" Target="https://docs.alpaca.markets/us/docs/market-data-faq" TargetMode="External"/><Relationship Id="rId16" Type="http://schemas.openxmlformats.org/officeDocument/2006/relationships/hyperlink" Target="https://docs.alpaca.markets/us/docs/real-time-stock-pricing-data" TargetMode="External"/><Relationship Id="rId17" Type="http://schemas.openxmlformats.org/officeDocument/2006/relationships/hyperlink" Target="https://docs.alpaca.markets/us/docs/paper-trading" TargetMode="External"/><Relationship Id="rId18" Type="http://schemas.openxmlformats.org/officeDocument/2006/relationships/hyperlink" Target="https://www.davidhbailey.com/dhbpapers/backtest-pro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Arbitrage and Relative Value</dc:title>
  <dc:subject>Team 1   Beginner foundations and implementation guide</dc:subject>
  <dc:creator>SHPE Capital</dc:creator>
  <cp:keywords>intraday trading, research, beginner guide, Alpaca IEX</cp:keywords>
  <dc:description>generated by python-docx</dc:description>
  <cp:lastModifiedBy/>
  <cp:revision>1</cp:revision>
  <dcterms:created xsi:type="dcterms:W3CDTF">2013-12-23T23:15:00Z</dcterms:created>
  <dcterms:modified xsi:type="dcterms:W3CDTF">2013-12-23T23:15:00Z</dcterms:modified>
  <cp:category/>
</cp:coreProperties>
</file>