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Intraday Momentum and Market Regimes</w:t>
      </w:r>
    </w:p>
    <w:p>
      <w:pPr>
        <w:pStyle w:val="Subtitle"/>
      </w:pPr>
      <w:r>
        <w:t>Team 2   Beginner foundations and implementation guide</w:t>
      </w:r>
    </w:p>
    <w:p>
      <w:pPr>
        <w:pStyle w:val="Heading1"/>
      </w:pPr>
      <w:r>
        <w:t>1  Your team and the research question</w:t>
      </w:r>
    </w:p>
    <w:p>
      <w:r>
        <w:t>Develop and test intraday strategies that expect an existing price movement to continue. Your main question is when past movement predicts subsequent movement strongly enough to cover costs, and when the same pattern is likely to fail.</w:t>
      </w:r>
    </w:p>
    <w:p>
      <w:r>
        <w:t>A breakout is one possible momentum signal: price crosses an earlier boundary. Momentum can also use returns over a fixed interval, time-of-day patterns or a market’s early-session direction. A breakout does not guarantee continuation; it can immediately reverse.</w:t>
      </w:r>
    </w:p>
    <w:p>
      <w:pPr>
        <w:pStyle w:val="Heading2"/>
      </w:pPr>
      <w:r>
        <w:t>What you should understand first</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Term</w:t>
            </w:r>
          </w:p>
        </w:tc>
        <w:tc>
          <w:tcPr>
            <w:tcW w:type="dxa" w:w="842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Plain meaning</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Return</w:t>
            </w:r>
          </w:p>
        </w:tc>
        <w:tc>
          <w:tcPr>
            <w:tcW w:type="dxa" w:w="84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Price change expressed relative to the starting price.</w:t>
            </w:r>
          </w:p>
        </w:tc>
      </w:tr>
      <w:tr>
        <w:trPr>
          <w:cantSplit/>
        </w:trPr>
        <w:tc>
          <w:tcPr>
            <w:tcW w:type="dxa" w:w="18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Momentum</w:t>
            </w:r>
          </w:p>
        </w:tc>
        <w:tc>
          <w:tcPr>
            <w:tcW w:type="dxa" w:w="84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The hypothesis that an observed movement will continue over a specified horizon.</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Breakout</w:t>
            </w:r>
          </w:p>
        </w:tc>
        <w:tc>
          <w:tcPr>
            <w:tcW w:type="dxa" w:w="84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move beyond a previously defined price level or range.</w:t>
            </w:r>
          </w:p>
        </w:tc>
      </w:tr>
      <w:tr>
        <w:trPr>
          <w:cantSplit/>
        </w:trPr>
        <w:tc>
          <w:tcPr>
            <w:tcW w:type="dxa" w:w="18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False breakout</w:t>
            </w:r>
          </w:p>
        </w:tc>
        <w:tc>
          <w:tcPr>
            <w:tcW w:type="dxa" w:w="84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boundary crossing followed by a reversal that defeats the trading rule.</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Volatility</w:t>
            </w:r>
          </w:p>
        </w:tc>
        <w:tc>
          <w:tcPr>
            <w:tcW w:type="dxa" w:w="84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The scale of price fluctuations, separate from their direction.</w:t>
            </w:r>
          </w:p>
        </w:tc>
      </w:tr>
      <w:tr>
        <w:trPr>
          <w:cantSplit/>
        </w:trPr>
        <w:tc>
          <w:tcPr>
            <w:tcW w:type="dxa" w:w="18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Regime</w:t>
            </w:r>
          </w:p>
        </w:tc>
        <w:tc>
          <w:tcPr>
            <w:tcW w:type="dxa" w:w="84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measurable market condition under which a strategy may behave differently.</w:t>
            </w:r>
          </w:p>
        </w:tc>
      </w:tr>
    </w:tbl>
    <w:p>
      <w:pPr>
        <w:spacing w:after="20"/>
      </w:pPr>
    </w:p>
    <w:p>
      <w:pPr>
        <w:pStyle w:val="Heading2"/>
      </w:pPr>
      <w:r>
        <w:t>Your first research outcome</w:t>
      </w:r>
    </w:p>
    <w:p>
      <w:r>
        <w:t>Choose one precise momentum baseline. Document its information, decision times, order assumptions and exits. Keep that baseline throughout the year while comparing volatility forecasts, time-of-day effects and regime rules.</w:t>
      </w:r>
    </w:p>
    <w:p>
      <w:r>
        <w:t>The examples in this guide are deliberately basic. Their windows and thresholds are teaching choices, not validated parameter recommendations. Every member should be able to explain why an example enters, why it exits and how it can lose.</w:t>
      </w:r>
    </w:p>
    <w:p>
      <w:r>
        <w:t>First deliverable: an intraday momentum strategy with a reproducible cost-aware backtest and an explicit test of one economic hypothesis. Frequent trading is optional; clear evidence matters more than trade count.</w:t>
      </w:r>
    </w:p>
    <w:p>
      <w:pPr>
        <w:pStyle w:val="Heading1"/>
        <w:pageBreakBefore/>
      </w:pPr>
      <w:r>
        <w:t>2  Market observations and data discipline</w:t>
      </w:r>
    </w:p>
    <w:p>
      <w:r>
        <w:t>Your experiments use US stocks and ETFs, with positions intended to open and close within the same trading session. Begin with a small, predefined universe. A familiar company or a liquid market-wide security is an example to investigate, not evidence that it is suitable or profitable.</w:t>
      </w:r>
    </w:p>
    <w:p>
      <w:pPr>
        <w:pStyle w:val="Heading2"/>
      </w:pPr>
      <w:r>
        <w:t>Orders positions and trading costs</w:t>
      </w:r>
    </w:p>
    <w:p>
      <w:r>
        <w:t>A market order seeks prompt execution without guaranteeing price. A limit order sets a worst acceptable price without guaranteeing a fill. A short position sells borrowed shares and later buys them back. Notional is shares times price; P&amp;L is profit or loss. Commissions, spread, slippage and applicable short-related costs all matter.</w:t>
      </w:r>
    </w:p>
    <w:p>
      <w:pPr>
        <w:pStyle w:val="Heading2"/>
      </w:pPr>
      <w:r>
        <w:t>Bars quotes and trades</w:t>
      </w:r>
    </w:p>
    <w:tbl>
      <w:tblPr>
        <w:tblW w:type="auto" w:w="0"/>
        <w:jc w:val="center"/>
        <w:tblLayout w:type="fixed"/>
        <w:tblLook w:firstColumn="1" w:firstRow="1" w:lastColumn="0" w:lastRow="0" w:noHBand="0" w:noVBand="1" w:val="04A0"/>
      </w:tblPr>
      <w:tblGrid>
        <w:gridCol w:w="1584"/>
        <w:gridCol w:w="3600"/>
        <w:gridCol w:w="5040"/>
      </w:tblGrid>
      <w:tr>
        <w:trPr>
          <w:cantSplit/>
          <w:tblHeader/>
        </w:trPr>
        <w:tc>
          <w:tcPr>
            <w:tcW w:type="dxa" w:w="158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Observation</w:t>
            </w:r>
          </w:p>
        </w:tc>
        <w:tc>
          <w:tcPr>
            <w:tcW w:type="dxa" w:w="360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What it contains</w:t>
            </w:r>
          </w:p>
        </w:tc>
        <w:tc>
          <w:tcPr>
            <w:tcW w:type="dxa" w:w="504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What it cannot establish</w:t>
            </w:r>
          </w:p>
        </w:tc>
      </w:tr>
      <w:tr>
        <w:trPr>
          <w:cantSplit/>
        </w:trP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One minute bar</w:t>
            </w:r>
          </w:p>
        </w:tc>
        <w:tc>
          <w:tcPr>
            <w:tcW w:type="dxa" w:w="36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Open, high, low, close and traded volume for an interval.</w:t>
            </w:r>
          </w:p>
        </w:tc>
        <w:tc>
          <w:tcPr>
            <w:tcW w:type="dxa" w:w="50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The order of intraminute prices, executable bid and ask, or your fill.</w:t>
            </w:r>
          </w:p>
        </w:tc>
      </w:tr>
      <w:tr>
        <w:trPr>
          <w:cantSplit/>
        </w:trPr>
        <w:tc>
          <w:tcPr>
            <w:tcW w:type="dxa" w:w="158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Quote</w:t>
            </w:r>
          </w:p>
        </w:tc>
        <w:tc>
          <w:tcPr>
            <w:tcW w:type="dxa" w:w="36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Displayed bid and ask prices and sizes at a timestamp.</w:t>
            </w:r>
          </w:p>
        </w:tc>
        <w:tc>
          <w:tcPr>
            <w:tcW w:type="dxa" w:w="504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promise that your order will fill, hidden liquidity, or your queue position.</w:t>
            </w:r>
          </w:p>
        </w:tc>
      </w:tr>
      <w:tr>
        <w:trPr>
          <w:cantSplit/>
        </w:trP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Trade</w:t>
            </w:r>
          </w:p>
        </w:tc>
        <w:tc>
          <w:tcPr>
            <w:tcW w:type="dxa" w:w="36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An execution price, size, timestamp and available identifiers.</w:t>
            </w:r>
          </w:p>
        </w:tc>
        <w:tc>
          <w:tcPr>
            <w:tcW w:type="dxa" w:w="50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directly observed buyer or seller aggressor label in the current payload.</w:t>
            </w:r>
          </w:p>
        </w:tc>
      </w:tr>
    </w:tbl>
    <w:p>
      <w:pPr>
        <w:spacing w:after="20"/>
      </w:pPr>
    </w:p>
    <w:p>
      <w:r>
        <w:t>Alpaca free live data covers IEX, one exchange. Treat its volume and liquidity measures as venue-specific. Record the explicit feed setting for every dataset and run. [D1]</w:t>
      </w:r>
    </w:p>
    <w:p>
      <w:pPr>
        <w:pStyle w:val="Heading2"/>
      </w:pPr>
      <w:r>
        <w:t>When information becomes available</w:t>
      </w:r>
    </w:p>
    <w:p>
      <w:r>
        <w:t>A bar timestamp marks the interval start. The 10:00 bar completes at 10:01; decide after receipt and simulate orders afterward. Document a policy for late updates. [D2]</w:t>
      </w:r>
    </w:p>
    <w:p>
      <w:pPr>
        <w:pStyle w:val="ListBullet"/>
      </w:pPr>
      <w:r>
        <w:t>Store provider event time and your local receipt time separately. Keep the original timestamp string; do not invent precision lost in conversion.</w:t>
      </w:r>
    </w:p>
    <w:p>
      <w:pPr>
        <w:pStyle w:val="ListBullet"/>
      </w:pPr>
      <w:r>
        <w:t>Use the exchange calendar and America/New_York for session rules. Store UTC timestamps. Handle holidays, early closes and daylight-saving changes.</w:t>
      </w:r>
    </w:p>
    <w:p>
      <w:pPr>
        <w:pStyle w:val="ListBullet"/>
      </w:pPr>
      <w:r>
        <w:t>Measure missing observations, duplicates, stale quotes, invalid prices and cross-symbol time differences. Missing activity is not a measured zero return.</w:t>
      </w:r>
    </w:p>
    <w:p>
      <w:pPr>
        <w:pStyle w:val="ListBullet"/>
      </w:pPr>
      <w:r>
        <w:t>Keep raw data immutable. Version cleaning rules, adjustments and derived datasets. Split adjustments must be consistent across prices and share quantities.</w:t>
      </w:r>
    </w:p>
    <w:p>
      <w:r>
        <w:t>Paper trading evaluates behavior through simulated fills. Alpaca omits effects including latency slippage, queue position and market impact. Its NBBO-based fills can differ from an IEX-only replay. NBBO means the national best bid and offer. [D3]</w:t>
      </w:r>
    </w:p>
    <w:p>
      <w:pPr>
        <w:pStyle w:val="Heading1"/>
        <w:pageBreakBefore/>
      </w:pPr>
      <w:r>
        <w:t>3  Returns trends and volatility units</w:t>
      </w:r>
    </w:p>
    <w:p>
      <w:pPr>
        <w:pStyle w:val="Heading2"/>
      </w:pPr>
      <w:r>
        <w:t>Measure movement consistently</w:t>
      </w:r>
    </w:p>
    <w:p>
      <w:pPr>
        <w:pStyle w:val="Caption"/>
        <w:keepNext/>
      </w:pPr>
      <w:r>
        <w:t>Simple return over k observations</w:t>
      </w:r>
    </w:p>
    <w:p>
      <w:pPr>
        <w:spacing w:after="140"/>
      </w:pPr>
      <m:oMath>
        <m:sSub>
          <m:e>
            <m:r>
              <m:t>R</m:t>
            </m:r>
          </m:e>
          <m:sub>
            <m:r>
              <m:t>t,k</m:t>
            </m:r>
          </m:sub>
        </m:sSub>
        <m:r>
          <m:t> = </m:t>
        </m:r>
        <m:f>
          <m:num>
            <m:sSub>
              <m:e>
                <m:r>
                  <m:t>P</m:t>
                </m:r>
              </m:e>
              <m:sub>
                <m:r>
                  <m:t>t</m:t>
                </m:r>
              </m:sub>
            </m:sSub>
          </m:num>
          <m:den>
            <m:sSub>
              <m:e>
                <m:r>
                  <m:t>P</m:t>
                </m:r>
              </m:e>
              <m:sub>
                <m:r>
                  <m:t>t−k</m:t>
                </m:r>
              </m:sub>
            </m:sSub>
          </m:den>
        </m:f>
        <m:r>
          <m:t> − 1</m:t>
        </m:r>
      </m:oMath>
    </w:p>
    <w:p>
      <w:pPr>
        <w:pStyle w:val="Caption"/>
        <w:keepNext/>
      </w:pPr>
      <w:r>
        <w:t>One interval log return</w:t>
      </w:r>
    </w:p>
    <w:p>
      <w:pPr>
        <w:spacing w:after="140"/>
      </w:pPr>
      <m:oMath>
        <m:sSub>
          <m:e>
            <m:r>
              <m:t>r</m:t>
            </m:r>
          </m:e>
          <m:sub>
            <m:r>
              <m:t>t</m:t>
            </m:r>
          </m:sub>
        </m:sSub>
        <m:r>
          <m:t> = ln(</m:t>
        </m:r>
        <m:f>
          <m:num>
            <m:sSub>
              <m:e>
                <m:r>
                  <m:t>P</m:t>
                </m:r>
              </m:e>
              <m:sub>
                <m:r>
                  <m:t>t</m:t>
                </m:r>
              </m:sub>
            </m:sSub>
          </m:num>
          <m:den>
            <m:sSub>
              <m:e>
                <m:r>
                  <m:t>P</m:t>
                </m:r>
              </m:e>
              <m:sub>
                <m:r>
                  <m:t>t−1</m:t>
                </m:r>
              </m:sub>
            </m:sSub>
          </m:den>
        </m:f>
        <m:r>
          <m:t>)</m:t>
        </m:r>
      </m:oMath>
    </w:p>
    <w:p>
      <w:r>
        <w:t>A move from $100 to $100.20 is a simple return of 0.002, or 0.2%, or 20 basis points. One basis point is 0.01 percentage points. Choose simple or log returns deliberately; keep thresholds and forecasts in consistent units.</w:t>
      </w:r>
    </w:p>
    <w:p>
      <w:pPr>
        <w:pStyle w:val="Heading2"/>
      </w:pPr>
      <w:r>
        <w:t>Scale movement by recent risk</w:t>
      </w:r>
    </w:p>
    <w:p>
      <w:pPr>
        <w:pStyle w:val="Caption"/>
        <w:keepNext/>
      </w:pPr>
      <w:r>
        <w:t>A simple normalized movement</w:t>
      </w:r>
    </w:p>
    <w:p>
      <w:pPr>
        <w:spacing w:after="140"/>
      </w:pPr>
      <m:oMath>
        <m:sSub>
          <m:e>
            <m:r>
              <m:t>M</m:t>
            </m:r>
          </m:e>
          <m:sub>
            <m:r>
              <m:t>t,k</m:t>
            </m:r>
          </m:sub>
        </m:sSub>
        <m:r>
          <m:t> = </m:t>
        </m:r>
        <m:f>
          <m:num>
            <m:sSub>
              <m:e>
                <m:r>
                  <m:t>R</m:t>
                </m:r>
              </m:e>
              <m:sub>
                <m:r>
                  <m:t>t,k</m:t>
                </m:r>
              </m:sub>
            </m:sSub>
          </m:num>
          <m:den>
            <m:sSub>
              <m:e>
                <m:r>
                  <m:t>σ</m:t>
                </m:r>
              </m:e>
              <m:sub>
                <m:r>
                  <m:t>t</m:t>
                </m:r>
              </m:sub>
            </m:sSub>
            <m:r>
              <m:t> √k</m:t>
            </m:r>
          </m:den>
        </m:f>
      </m:oMath>
    </w:p>
    <w:p>
      <w:r>
        <w:t>Sigma is an estimated one-observation return standard deviation from past data. Multiplying by the square root of k is only an approximation under restrictive assumptions about serial dependence and stable variance. Compare this with directly estimating volatility over matching k-minute intervals. Skip when the denominator is zero or unreliable.</w:t>
      </w:r>
    </w:p>
    <w:p>
      <w:pPr>
        <w:pStyle w:val="Heading2"/>
      </w:pPr>
      <w:r>
        <w:t>Separate observation and holding windows</w:t>
      </w:r>
    </w:p>
    <w:p>
      <w:r>
        <w:t>A 15-minute feature does not require a 15-minute position. State the lookback used to form the signal, the decision frequency and the maximum holding period separately. Overlapping observations and positions make returns statistically dependent.</w:t>
      </w:r>
    </w:p>
    <w:p>
      <w:pPr>
        <w:pStyle w:val="Heading2"/>
      </w:pPr>
      <w:r>
        <w:t>An early session return can include overnight information</w:t>
      </w:r>
    </w:p>
    <w:p>
      <w:r>
        <w:t>Gao and coauthors measure the first-half-hour predictor from the previous session’s close to the end of the first half hour. It includes the overnight gap. A return measured only from today’s open to 10:00 is a different experiment. Their study finds prediction of the last half-hour return, not an instruction to hold all day. [M1]</w:t>
      </w:r>
    </w:p>
    <w:p>
      <w:r>
        <w:t>Use the last eligible completed observation available by each decision time. Do not use an unfinished 10:00 bar to represent the price at 10:00. Make closing benchmarks and order cutoffs explicit, especially on early-close days.</w:t>
      </w:r>
    </w:p>
    <w:p>
      <w:r>
        <w:t>Your hypothesis should explain continuation: information may be incorporated gradually or buying and selling needs may persist. An indicator is a measurement of that hypothesis; its name is not evidence of an advantage.</w:t>
      </w:r>
    </w:p>
    <w:p>
      <w:pPr>
        <w:pStyle w:val="Heading1"/>
        <w:pageBreakBefore/>
      </w:pPr>
      <w:r>
        <w:t>4  Indicators and technical features</w:t>
      </w:r>
    </w:p>
    <w:tbl>
      <w:tblPr>
        <w:tblW w:type="auto" w:w="0"/>
        <w:jc w:val="center"/>
        <w:tblLayout w:type="fixed"/>
        <w:tblLook w:firstColumn="1" w:firstRow="1" w:lastColumn="0" w:lastRow="0" w:noHBand="0" w:noVBand="1" w:val="04A0"/>
      </w:tblPr>
      <w:tblGrid>
        <w:gridCol w:w="1728"/>
        <w:gridCol w:w="4392"/>
        <w:gridCol w:w="4104"/>
      </w:tblGrid>
      <w:tr>
        <w:trPr>
          <w:cantSplit/>
          <w:tblHeader/>
        </w:trPr>
        <w:tc>
          <w:tcPr>
            <w:tcW w:type="dxa" w:w="1728"/>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Measure</w:t>
            </w:r>
          </w:p>
        </w:tc>
        <w:tc>
          <w:tcPr>
            <w:tcW w:type="dxa" w:w="4392"/>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Definition or interpretation</w:t>
            </w:r>
          </w:p>
        </w:tc>
        <w:tc>
          <w:tcPr>
            <w:tcW w:type="dxa" w:w="410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Useful question</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Trailing return</w:t>
            </w:r>
          </w:p>
        </w:tc>
        <w:tc>
          <w:tcPr>
            <w:tcW w:type="dxa" w:w="439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Price change over a fixed past interval.</w:t>
            </w:r>
          </w:p>
        </w:tc>
        <w:tc>
          <w:tcPr>
            <w:tcW w:type="dxa" w:w="41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Does recent direction predict the next interval?</w:t>
            </w:r>
          </w:p>
        </w:tc>
      </w:tr>
      <w:tr>
        <w:trPr>
          <w:cantSplit/>
        </w:trPr>
        <w:tc>
          <w:tcPr>
            <w:tcW w:type="dxa" w:w="172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SMA and EMA</w:t>
            </w:r>
          </w:p>
        </w:tc>
        <w:tc>
          <w:tcPr>
            <w:tcW w:type="dxa" w:w="439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An average of past prices; EMA weights recent prices more.</w:t>
            </w:r>
          </w:p>
        </w:tc>
        <w:tc>
          <w:tcPr>
            <w:tcW w:type="dxa" w:w="410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Does direction agree across horizons?</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Opening range</w:t>
            </w:r>
          </w:p>
        </w:tc>
        <w:tc>
          <w:tcPr>
            <w:tcW w:type="dxa" w:w="439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Highest high and lowest low during a completed opening interval.</w:t>
            </w:r>
          </w:p>
        </w:tc>
        <w:tc>
          <w:tcPr>
            <w:tcW w:type="dxa" w:w="41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Do later boundary crossings continue?</w:t>
            </w:r>
          </w:p>
        </w:tc>
      </w:tr>
      <w:tr>
        <w:trPr>
          <w:cantSplit/>
        </w:trPr>
        <w:tc>
          <w:tcPr>
            <w:tcW w:type="dxa" w:w="172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ATR</w:t>
            </w:r>
          </w:p>
        </w:tc>
        <w:tc>
          <w:tcPr>
            <w:tcW w:type="dxa" w:w="439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Average true range, based on high-low and gaps to the prior close.</w:t>
            </w:r>
          </w:p>
        </w:tc>
        <w:tc>
          <w:tcPr>
            <w:tcW w:type="dxa" w:w="410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How large is a move in dollar-price units?</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Realized volatility</w:t>
            </w:r>
          </w:p>
        </w:tc>
        <w:tc>
          <w:tcPr>
            <w:tcW w:type="dxa" w:w="439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Square root of summed squared returns over a stated interval.</w:t>
            </w:r>
          </w:p>
        </w:tc>
        <w:tc>
          <w:tcPr>
            <w:tcW w:type="dxa" w:w="41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How turbulent was the market?</w:t>
            </w:r>
          </w:p>
        </w:tc>
      </w:tr>
      <w:tr>
        <w:trPr>
          <w:cantSplit/>
        </w:trPr>
        <w:tc>
          <w:tcPr>
            <w:tcW w:type="dxa" w:w="172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Relative volume</w:t>
            </w:r>
          </w:p>
        </w:tc>
        <w:tc>
          <w:tcPr>
            <w:tcW w:type="dxa" w:w="439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Current interval volume divided by historical volume for comparable times.</w:t>
            </w:r>
          </w:p>
        </w:tc>
        <w:tc>
          <w:tcPr>
            <w:tcW w:type="dxa" w:w="410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Is observed activity unusual for this time of day?</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Session VWAP</w:t>
            </w:r>
          </w:p>
        </w:tc>
        <w:tc>
          <w:tcPr>
            <w:tcW w:type="dxa" w:w="439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Volume-weighted execution price over the session to date.</w:t>
            </w:r>
          </w:p>
        </w:tc>
        <w:tc>
          <w:tcPr>
            <w:tcW w:type="dxa" w:w="41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Where is price relative to observed trading?</w:t>
            </w:r>
          </w:p>
        </w:tc>
      </w:tr>
      <w:tr>
        <w:trPr>
          <w:cantSplit/>
        </w:trPr>
        <w:tc>
          <w:tcPr>
            <w:tcW w:type="dxa" w:w="172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Spread and quote age</w:t>
            </w:r>
          </w:p>
        </w:tc>
        <w:tc>
          <w:tcPr>
            <w:tcW w:type="dxa" w:w="439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Bid-ask gap and time since the latest usable quote.</w:t>
            </w:r>
          </w:p>
        </w:tc>
        <w:tc>
          <w:tcPr>
            <w:tcW w:type="dxa" w:w="410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Is entry currently costly or based on stale information?</w:t>
            </w:r>
          </w:p>
        </w:tc>
      </w:tr>
    </w:tbl>
    <w:p>
      <w:pPr>
        <w:spacing w:after="20"/>
      </w:pPr>
    </w:p>
    <w:p>
      <w:pPr>
        <w:pStyle w:val="Heading2"/>
      </w:pPr>
      <w:r>
        <w:t>Definitions that prevent accidental changes</w:t>
      </w:r>
    </w:p>
    <w:p>
      <w:r>
        <w:t>True range is the largest of high minus low, absolute high minus prior close, and absolute low minus prior close. State whether ATR uses a simple average or Wilder smoothing. The first bar may include the overnight gap; decide whether that matches the intended risk measure.</w:t>
      </w:r>
    </w:p>
    <w:p>
      <w:r>
        <w:t>Session VWAP is the sum of eligible trade price times size divided by total size. When aggregating bars, weight a bar’s provided VWAP by its volume; averaging bar VWAPs equally gives a different quantity. A close-times-volume estimate is an approximation. IEX VWAP represents IEX activity.</w:t>
      </w:r>
    </w:p>
    <w:p>
      <w:r>
        <w:t>For relative volume, compare like-for-like clock intervals from earlier days. Using today’s full-day volume at 10:00 leaks future information. Intraday activity has predictable clock-time variation, so an unusual noon observation should not be compared naively with the opening minute.</w:t>
      </w:r>
    </w:p>
    <w:p>
      <w:r>
        <w:t>RSI and ADX are optional descriptive features, not required components. If added, define the exact calculation and ask whether each improves performance beyond the existing price and volatility features.</w:t>
      </w:r>
    </w:p>
    <w:p>
      <w:pPr>
        <w:pStyle w:val="Heading1"/>
        <w:pageBreakBefore/>
      </w:pPr>
      <w:r>
        <w:t>5  Basic algorithm one early to late momentum</w:t>
      </w:r>
    </w:p>
    <w:p>
      <w:r>
        <w:t>This is a simple research adaptation of the early-to-late-session pattern in Gao and coauthors. It intentionally separates measuring an early signal from trading near the close. It is a useful permanent benchmark, even if a more active breakout model is developed later. [M1]</w:t>
      </w:r>
    </w:p>
    <w:p>
      <w:pPr>
        <w:ind w:left="288" w:hanging="288"/>
      </w:pPr>
      <w:r>
        <w:rPr>
          <w:b/>
        </w:rPr>
        <w:t xml:space="preserve">1. </w:t>
      </w:r>
      <w:r>
        <w:t>Select one liquid ETF for the first experiment and define eligible previous-close and intraday observations. At 10:00 on a standard session, measure the return from the previous session’s close to the last completed observation available by 10:00.</w:t>
      </w:r>
    </w:p>
    <w:p>
      <w:pPr>
        <w:ind w:left="288" w:hanging="288"/>
      </w:pPr>
      <w:r>
        <w:rPr>
          <w:b/>
        </w:rPr>
        <w:t xml:space="preserve">2. </w:t>
      </w:r>
      <w:r>
        <w:t>Store the sign of that return. For the teaching baseline, a positive value produces a candidate long and a negative value a candidate short. An exactly zero value produces no trade.</w:t>
      </w:r>
    </w:p>
    <w:p>
      <w:pPr>
        <w:ind w:left="288" w:hanging="288"/>
      </w:pPr>
      <w:r>
        <w:rPr>
          <w:b/>
        </w:rPr>
        <w:t xml:space="preserve">3. </w:t>
      </w:r>
      <w:r>
        <w:t>At 30 minutes before the scheduled close, verify current data, shortability, buying power and risk limits. Enter a fixed small position in the stored direction. Do not re-enter repeatedly.</w:t>
      </w:r>
    </w:p>
    <w:p>
      <w:pPr>
        <w:ind w:left="288" w:hanging="288"/>
      </w:pPr>
      <w:r>
        <w:rPr>
          <w:b/>
        </w:rPr>
        <w:t xml:space="preserve">4. </w:t>
      </w:r>
      <w:r>
        <w:t>Close before the session ends using a documented operational buffer, such as five minutes. This shorter holding interval differs from an exact last-half-hour paper replication and must be labeled.</w:t>
      </w:r>
    </w:p>
    <w:p>
      <w:pPr>
        <w:ind w:left="288" w:hanging="288"/>
      </w:pPr>
      <w:r>
        <w:rPr>
          <w:b/>
        </w:rPr>
        <w:t xml:space="preserve">5. </w:t>
      </w:r>
      <w:r>
        <w:t>Apply the predefined loss limit and handling of rejected or partially filled orders. On early-close sessions, use the calendar-defined close or exclude those sessions in advance.</w:t>
      </w:r>
    </w:p>
    <w:p>
      <w:pPr>
        <w:pStyle w:val="Heading2"/>
      </w:pPr>
      <w:r>
        <w:t>A trade worked by hand</w:t>
      </w:r>
    </w:p>
    <w:p>
      <w:r>
        <w:t>The prior close is $100 and the observation available at 10:00 is $100.40, so the early return is +0.4%. The baseline requests a long near the close. Buying 10 shares at $100.82 and selling at $101.02 earns $2 before separately modeled fees. These executable prices already include the spread effect; do not subtract the same spread twice.</w:t>
      </w:r>
    </w:p>
    <w:p>
      <w:r>
        <w:t>If prices instead fall after entry, the strategy loses even though the morning signal was positive. Report all eligible sessions, including days without trades and days with operational skips.</w:t>
      </w:r>
    </w:p>
    <w:p>
      <w:pPr>
        <w:pStyle w:val="Heading2"/>
      </w:pPr>
      <w:r>
        <w:t>Controlled comparisons</w:t>
      </w:r>
    </w:p>
    <w:p>
      <w:pPr>
        <w:pStyle w:val="ListBullet"/>
      </w:pPr>
      <w:r>
        <w:t>Compare the predictor that includes overnight movement with an open-to-10:00 predictor. Keep everything else fixed.</w:t>
      </w:r>
    </w:p>
    <w:p>
      <w:pPr>
        <w:pStyle w:val="ListBullet"/>
      </w:pPr>
      <w:r>
        <w:t>Compare fixed exposure with volatility-scaled exposure.</w:t>
      </w:r>
    </w:p>
    <w:p>
      <w:pPr>
        <w:pStyle w:val="ListBullet"/>
      </w:pPr>
      <w:r>
        <w:t>Compare the momentum direction with an otherwise identical unconditional long benchmark and no-trade. Keep capital and trading windows consistent.</w:t>
      </w:r>
    </w:p>
    <w:p>
      <w:r>
        <w:t>A study of a long historical period does not guarantee that the pattern persists in your dates, feed or shorter operational exit window. Those differences are part of the research question.</w:t>
      </w:r>
    </w:p>
    <w:p>
      <w:pPr>
        <w:pStyle w:val="Heading1"/>
        <w:pageBreakBefore/>
      </w:pPr>
      <w:r>
        <w:t>6  Two other basic algorithms to compare</w:t>
      </w:r>
    </w:p>
    <w:p>
      <w:pPr>
        <w:pStyle w:val="Heading2"/>
      </w:pPr>
      <w:r>
        <w:t>Algorithm two opening range breakout</w:t>
      </w:r>
    </w:p>
    <w:p>
      <w:r>
        <w:t>During the completed 9:30 to 9:45 interval, record the range high and low. After 9:45, a completed bar closing above the range high plus a predefined buffer produces a candidate long; a close below the range low minus the buffer produces a candidate short.</w:t>
      </w:r>
    </w:p>
    <w:p>
      <w:pPr>
        <w:ind w:left="288" w:hanging="288"/>
      </w:pPr>
      <w:r>
        <w:rPr>
          <w:b/>
        </w:rPr>
        <w:t xml:space="preserve">1. </w:t>
      </w:r>
      <w:r>
        <w:t>Use one entry per symbol per day for the first version. Enter only after the breakout observation is available. Do not fill retrospectively at the earlier range boundary.</w:t>
      </w:r>
    </w:p>
    <w:p>
      <w:pPr>
        <w:ind w:left="288" w:hanging="288"/>
      </w:pPr>
      <w:r>
        <w:rPr>
          <w:b/>
        </w:rPr>
        <w:t xml:space="preserve">2. </w:t>
      </w:r>
      <w:r>
        <w:t>For an educational configuration, choose a fixed maximum holding period such as 30 minutes and a stop based on a predefined price distance. Keep position size small and capped.</w:t>
      </w:r>
    </w:p>
    <w:p>
      <w:pPr>
        <w:ind w:left="288" w:hanging="288"/>
      </w:pPr>
      <w:r>
        <w:rPr>
          <w:b/>
        </w:rPr>
        <w:t xml:space="preserve">3. </w:t>
      </w:r>
      <w:r>
        <w:t>Flatten before close and stop new entries early enough to honor the holding rule. Report false breakouts, trade costs and skipped signals.</w:t>
      </w:r>
    </w:p>
    <w:p>
      <w:r>
        <w:t>Example: the opening high is $50.20, low $49.80 and buffer $0.02. A later close at $50.23 qualifies for a candidate long. A closing price at $50.21 does not. Actual entry depends on the next available executable price, not the high itself.</w:t>
      </w:r>
    </w:p>
    <w:p>
      <w:pPr>
        <w:pStyle w:val="Heading2"/>
      </w:pPr>
      <w:r>
        <w:t>Algorithm three rolling return continuation</w:t>
      </w:r>
    </w:p>
    <w:p>
      <w:r>
        <w:t>At each completed minute, calculate the prior 15-minute return. A basic rule tests long entries above a positive predefined threshold and short entries below its negative counterpart. Hold for five minutes, then exit. Prevent overlapping positions in the same symbol.</w:t>
      </w:r>
    </w:p>
    <w:p>
      <w:r>
        <w:t>Compare a fixed-return threshold with a threshold normalized by past matching-horizon volatility. This isolates whether a large movement relative to typical risk is more informative than a large raw movement.</w:t>
      </w:r>
    </w:p>
    <w:p>
      <w:pPr>
        <w:pStyle w:val="Heading2"/>
      </w:pPr>
      <w:r>
        <w:t>Keep the explanations distinct</w:t>
      </w:r>
    </w:p>
    <w:p>
      <w:r>
        <w:t>The early-to-late baseline studies a particular time-of-day relationship. Opening-range breakout studies crossing a boundary. Rolling momentum studies continuation after recent returns. They belong in the same program but should remain separately named experiments.</w:t>
      </w:r>
    </w:p>
    <w:p>
      <w:r>
        <w:t>Do not search hundreds of opening windows, buffers, stops and symbols and present only the winner. Predefine a small comparison set, retain unsuccessful results, and evaluate the selected specification on later untouched dates.</w:t>
      </w:r>
    </w:p>
    <w:p>
      <w:pPr>
        <w:pStyle w:val="Heading1"/>
        <w:pageBreakBefore/>
      </w:pPr>
      <w:r>
        <w:t>7  Volatility forecasting and market regimes</w:t>
      </w:r>
    </w:p>
    <w:p>
      <w:pPr>
        <w:pStyle w:val="Heading2"/>
      </w:pPr>
      <w:r>
        <w:t>Forecast future turbulence</w:t>
      </w:r>
    </w:p>
    <w:p>
      <w:pPr>
        <w:pStyle w:val="Caption"/>
        <w:keepNext/>
      </w:pPr>
      <w:r>
        <w:t>Realized variance over an interval</w:t>
      </w:r>
    </w:p>
    <w:p>
      <w:pPr>
        <w:spacing w:after="140"/>
      </w:pPr>
      <m:oMath>
        <m:sSub>
          <m:e>
            <m:r>
              <m:t>RV</m:t>
            </m:r>
          </m:e>
          <m:sub>
            <m:r>
              <m:t>t</m:t>
            </m:r>
          </m:sub>
        </m:sSub>
        <m:r>
          <m:t> = </m:t>
        </m:r>
        <m:r>
          <m:t>Σ </m:t>
        </m:r>
        <m:sSup>
          <m:e>
            <m:sSub>
              <m:e>
                <m:r>
                  <m:t>r</m:t>
                </m:r>
              </m:e>
              <m:sub>
                <m:r>
                  <m:t>i</m:t>
                </m:r>
              </m:sub>
            </m:sSub>
          </m:e>
          <m:sup>
            <m:r>
              <m:t>2</m:t>
            </m:r>
          </m:sup>
        </m:sSup>
      </m:oMath>
    </w:p>
    <w:p>
      <w:r>
        <w:t>The square root of realized variance is realized volatility for that interval. Estimate the next interval using only earlier returns. Start with a rolling average or EWMA, then test a model that includes time of day and market-wide volatility. Intraday volatility research studies pooled information and nonlinear models. [VOL]</w:t>
      </w:r>
    </w:p>
    <w:p>
      <w:r>
        <w:t>Use a forecast in one clearly defined way: scale position size, normalize an entry threshold, or adjust a holding rule. Comparing several changes together obscures which one mattered. Put hard caps and a minimum volatility denominator around any inverse-volatility sizing.</w:t>
      </w:r>
    </w:p>
    <w:p>
      <w:pPr>
        <w:pStyle w:val="Heading2"/>
      </w:pPr>
      <w:r>
        <w:t>A basic regime experiment</w:t>
      </w:r>
    </w:p>
    <w:p>
      <w:pPr>
        <w:ind w:left="288" w:hanging="288"/>
      </w:pPr>
      <w:r>
        <w:rPr>
          <w:b/>
        </w:rPr>
        <w:t xml:space="preserve">1. </w:t>
      </w:r>
      <w:r>
        <w:t>From training observations, define a trailing volatility measure and a measure of directional persistence, such as the absolute net return divided by the sum of absolute one-minute returns over the same window.</w:t>
      </w:r>
    </w:p>
    <w:p>
      <w:pPr>
        <w:ind w:left="288" w:hanging="288"/>
      </w:pPr>
      <w:r>
        <w:rPr>
          <w:b/>
        </w:rPr>
        <w:t xml:space="preserve">2. </w:t>
      </w:r>
      <w:r>
        <w:t>Choose a small number of thresholds on training or validation data. Before each decision, classify the currently observed conditions using only the completed trailing window.</w:t>
      </w:r>
    </w:p>
    <w:p>
      <w:pPr>
        <w:ind w:left="288" w:hanging="288"/>
      </w:pPr>
      <w:r>
        <w:rPr>
          <w:b/>
        </w:rPr>
        <w:t xml:space="preserve">3. </w:t>
      </w:r>
      <w:r>
        <w:t>Compare the baseline with one rule that blocks or reduces entries in a predefined unfavorable condition. Count both avoided losses and missed gains.</w:t>
      </w:r>
    </w:p>
    <w:p>
      <w:r>
        <w:t>The persistence ratio is near one when movement is mostly in one direction and near zero when it cancels out. It describes the past; whether it predicts future continuation must be tested. Handle a zero denominator explicitly.</w:t>
      </w:r>
    </w:p>
    <w:p>
      <w:pPr>
        <w:pStyle w:val="Heading2"/>
      </w:pPr>
      <w:r>
        <w:t>Advanced extensions after the baseline</w:t>
      </w:r>
    </w:p>
    <w:p>
      <w:pPr>
        <w:pStyle w:val="ListBullet"/>
      </w:pPr>
      <w:r>
        <w:t>Use change-point detection or hidden-state models to estimate changing conditions. In evaluation, use online or filtered states; full-sample smoothing uses future observations.</w:t>
      </w:r>
    </w:p>
    <w:p>
      <w:pPr>
        <w:pStyle w:val="ListBullet"/>
      </w:pPr>
      <w:r>
        <w:t>Study whether a sector or index’s past movement adds predictive information beyond the traded security’s own history.</w:t>
      </w:r>
    </w:p>
    <w:p>
      <w:pPr>
        <w:pStyle w:val="ListBullet"/>
      </w:pPr>
      <w:r>
        <w:t>Investigate clock-time patterns, overnight gaps and different opening conditions with predefined comparisons. Intraday seasonality has an established research literature. [M2]</w:t>
      </w:r>
    </w:p>
    <w:p>
      <w:pPr>
        <w:pStyle w:val="ListBullet"/>
      </w:pPr>
      <w:r>
        <w:t>Compare simple regression or logistic models with trees or neural networks under the same data splits and cost model.</w:t>
      </w:r>
    </w:p>
    <w:p>
      <w:r>
        <w:t>A regime label should produce an observable, testable decision. Calling a losing day a bad regime after seeing the loss is a description, not a tradable forecasting method.</w:t>
      </w:r>
    </w:p>
    <w:p>
      <w:pPr>
        <w:pStyle w:val="Heading1"/>
        <w:pageBreakBefore/>
      </w:pPr>
      <w:r>
        <w:t>8  Backtesting and research evaluation</w:t>
      </w:r>
    </w:p>
    <w:p>
      <w:r>
        <w:t>Write the hypothesis, information available at decision time, entry rule, exit rule and failure condition before looking for favorable parameters. The first goal is a reproducible experiment whose outcome you can explain.</w:t>
      </w:r>
    </w:p>
    <w:p>
      <w:pPr>
        <w:pStyle w:val="Heading2"/>
      </w:pPr>
      <w:r>
        <w:t>Use time ordered evaluation</w:t>
      </w:r>
    </w:p>
    <w:p>
      <w:pPr>
        <w:ind w:left="288" w:hanging="288"/>
      </w:pPr>
      <w:r>
        <w:rPr>
          <w:b/>
        </w:rPr>
        <w:t xml:space="preserve">1. </w:t>
      </w:r>
      <w:r>
        <w:t>Reserve an earlier training period to estimate relationships, scaling and model coefficients. Use a later validation period to choose a small number of predefined alternatives.</w:t>
      </w:r>
    </w:p>
    <w:p>
      <w:pPr>
        <w:ind w:left="288" w:hanging="288"/>
      </w:pPr>
      <w:r>
        <w:rPr>
          <w:b/>
        </w:rPr>
        <w:t xml:space="preserve">2. </w:t>
      </w:r>
      <w:r>
        <w:t>Lock the strategy and evaluate it once on a later untouched test period. Use rolling or expanding walk-forward evaluation when sufficient history exists.</w:t>
      </w:r>
    </w:p>
    <w:p>
      <w:pPr>
        <w:ind w:left="288" w:hanging="288"/>
      </w:pPr>
      <w:r>
        <w:rPr>
          <w:b/>
        </w:rPr>
        <w:t xml:space="preserve">3. </w:t>
      </w:r>
      <w:r>
        <w:t>If labels use future returns, remove training observations whose outcome intervals cross a validation or test boundary. Keep all stocks from the same time period in the same time fold.</w:t>
      </w:r>
    </w:p>
    <w:p>
      <w:pPr>
        <w:ind w:left="288" w:hanging="288"/>
      </w:pPr>
      <w:r>
        <w:rPr>
          <w:b/>
        </w:rPr>
        <w:t xml:space="preserve">4. </w:t>
      </w:r>
      <w:r>
        <w:t>Record every attempted variant, including failed experiments. Repeatedly viewing the test period turns it into development data. Backtest selection can produce false discoveries. [RISK]</w:t>
      </w:r>
    </w:p>
    <w:p>
      <w:pPr>
        <w:pStyle w:val="Heading2"/>
      </w:pPr>
      <w:r>
        <w:t>Simulate what could actually be traded</w:t>
      </w:r>
    </w:p>
    <w:p>
      <w:r>
        <w:t>For a marketable long, buy near the available ask and sell near the available bid, plus separately justified fees and slippage. Reverse the sides for a short. If bid and ask fills already account for the spread, do not add the spread again. Bar-only tests require explicit cost assumptions and cannot validate second-by-second execution.</w:t>
      </w:r>
    </w:p>
    <w:p>
      <w:r>
        <w:t>Never assume a limit order fills because a bar touches its price. Account for order submission time, waiting, cancellation, partial fills and missed trades. If a stop and target both fall within one bar, their order is unknown; use a conservative documented policy or finer observations.</w:t>
      </w:r>
    </w:p>
    <w:p>
      <w:pPr>
        <w:pStyle w:val="Heading2"/>
      </w:pPr>
      <w:r>
        <w:t>Report performance and uncertainty</w:t>
      </w:r>
    </w:p>
    <w:p>
      <w:r>
        <w:t>Drawdown is the decline from a prior equity peak. Turnover measures how much you trade relative to capital. Sharpe compares average excess return with return variability; it is sensitive to sampling and dependence. Win rate alone ignores the size of gains and losses.</w:t>
      </w:r>
    </w:p>
    <w:p>
      <w:pPr>
        <w:pStyle w:val="ListBullet"/>
      </w:pPr>
      <w:r>
        <w:t>Report net P&amp;L, return on allocated capital, maximum drawdown, gross exposure, turnover, completed round trips, holding time and cost per trade. Include unrealized exposure at the end.</w:t>
      </w:r>
    </w:p>
    <w:p>
      <w:pPr>
        <w:pStyle w:val="ListBullet"/>
      </w:pPr>
      <w:r>
        <w:t>Calculate comparable daily returns from the full equity ledger. Use the same trading-session sampling and capital denominator across teams. A high annualized Sharpe from a short sample is unstable.</w:t>
      </w:r>
    </w:p>
    <w:p>
      <w:pPr>
        <w:pStyle w:val="ListBullet"/>
      </w:pPr>
      <w:r>
        <w:t>Show results by day, symbol and time of day. Include losing periods, rejected signals, missing data and parameter sensitivity.</w:t>
      </w:r>
    </w:p>
    <w:p>
      <w:pPr>
        <w:pStyle w:val="ListBullet"/>
      </w:pPr>
      <w:r>
        <w:t>Stress costs and execution delays using measurements or clearly labeled scenarios. Report the point at which the apparent advantage disappears.</w:t>
      </w:r>
    </w:p>
    <w:p>
      <w:r>
        <w:t>Team-specific checks: show continuation after the signal at several predefined horizons, false-breakout frequency, stop and time-exit frequency, and performance by opening conditions and clock time. Compare direction prediction with net P&amp;L; a small correct move can still lose after costs. Include an unconditional exposure-matched baseline.</w:t>
      </w:r>
    </w:p>
    <w:p>
      <w:pPr>
        <w:pStyle w:val="Heading1"/>
        <w:pageBreakBefore/>
      </w:pPr>
      <w:r>
        <w:t>9  Risk controls and tests that matter</w:t>
      </w:r>
    </w:p>
    <w:p>
      <w:pPr>
        <w:pStyle w:val="Heading2"/>
      </w:pPr>
      <w:r>
        <w:t>Risk rules to specify</w:t>
      </w:r>
    </w:p>
    <w:p>
      <w:pPr>
        <w:pStyle w:val="ListBullet"/>
      </w:pPr>
      <w:r>
        <w:t>Cap per-symbol and total gross exposure. Several technology stocks and an index ETF can create concentrated directional exposure even when there are many positions.</w:t>
      </w:r>
    </w:p>
    <w:p>
      <w:pPr>
        <w:pStyle w:val="ListBullet"/>
      </w:pPr>
      <w:r>
        <w:t>Size entries using the permitted dollar budget and predefined risk distance, with a hard maximum. A stop is not a guarantee of maximum realized loss.</w:t>
      </w:r>
    </w:p>
    <w:p>
      <w:pPr>
        <w:pStyle w:val="ListBullet"/>
      </w:pPr>
      <w:r>
        <w:t>Set maximum holding time, maximum entries per day, loss limits and a cooldown after exits. Avoid uncontrolled averaging down or adding to winners.</w:t>
      </w:r>
    </w:p>
    <w:p>
      <w:pPr>
        <w:pStyle w:val="ListBullet"/>
      </w:pPr>
      <w:r>
        <w:t>Specify behavior around scheduled events, stale data, price gaps and trading halts. A stop can execute substantially beyond its trigger.</w:t>
      </w:r>
    </w:p>
    <w:p>
      <w:pPr>
        <w:pStyle w:val="ListBullet"/>
      </w:pPr>
      <w:r>
        <w:t>Use a session calendar, an entry cutoff, cancellation of working orders and verified flattening before close. Test early-close days.</w:t>
      </w:r>
    </w:p>
    <w:p>
      <w:pPr>
        <w:pStyle w:val="ListBullet"/>
      </w:pPr>
      <w:r>
        <w:t>Track actual orders and fills. A long exit must reduce the filled long quantity rather than create an unintended short.</w:t>
      </w:r>
    </w:p>
    <w:p>
      <w:pPr>
        <w:pStyle w:val="Heading2"/>
      </w:pPr>
      <w:r>
        <w:t>Small deterministic tests</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Scenario</w:t>
            </w:r>
          </w:p>
        </w:tc>
        <w:tc>
          <w:tcPr>
            <w:tcW w:type="dxa" w:w="720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Expected behavior</w:t>
            </w:r>
          </w:p>
        </w:tc>
      </w:tr>
      <w:tr>
        <w:trPr>
          <w:cantSplit/>
        </w:trP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Opening range still forming</w:t>
            </w:r>
          </w:p>
        </w:tc>
        <w:tc>
          <w:tcPr>
            <w:tcW w:type="dxa" w:w="72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No breakout decision uses a final range that does not exist yet.</w:t>
            </w:r>
          </w:p>
        </w:tc>
      </w:tr>
      <w:tr>
        <w:trPr>
          <w:cantSplit/>
        </w:trPr>
        <w:tc>
          <w:tcPr>
            <w:tcW w:type="dxa" w:w="30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Boundary equality</w:t>
            </w:r>
          </w:p>
        </w:tc>
        <w:tc>
          <w:tcPr>
            <w:tcW w:type="dxa" w:w="72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Strict versus inclusive threshold behavior matches the specification.</w:t>
            </w:r>
          </w:p>
        </w:tc>
      </w:tr>
      <w:tr>
        <w:trPr>
          <w:cantSplit/>
        </w:trP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Repeated quote or trade event</w:t>
            </w:r>
          </w:p>
        </w:tc>
        <w:tc>
          <w:tcPr>
            <w:tcW w:type="dxa" w:w="72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bar strategy does not process the same completed bar twice.</w:t>
            </w:r>
          </w:p>
        </w:tc>
      </w:tr>
      <w:tr>
        <w:trPr>
          <w:cantSplit/>
        </w:trPr>
        <w:tc>
          <w:tcPr>
            <w:tcW w:type="dxa" w:w="30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Missing prior close</w:t>
            </w:r>
          </w:p>
        </w:tc>
        <w:tc>
          <w:tcPr>
            <w:tcW w:type="dxa" w:w="72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Skip the early-return signal and log the missing input.</w:t>
            </w:r>
          </w:p>
        </w:tc>
      </w:tr>
      <w:tr>
        <w:trPr>
          <w:cantSplit/>
        </w:trP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Gap through stop</w:t>
            </w:r>
          </w:p>
        </w:tc>
        <w:tc>
          <w:tcPr>
            <w:tcW w:type="dxa" w:w="72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Use a reachable subsequent fill price, not a guaranteed stop price.</w:t>
            </w:r>
          </w:p>
        </w:tc>
      </w:tr>
      <w:tr>
        <w:trPr>
          <w:cantSplit/>
        </w:trPr>
        <w:tc>
          <w:tcPr>
            <w:tcW w:type="dxa" w:w="30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Stop and target in one bar</w:t>
            </w:r>
          </w:p>
        </w:tc>
        <w:tc>
          <w:tcPr>
            <w:tcW w:type="dxa" w:w="72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Apply the stated conservative ordering policy or finer data.</w:t>
            </w:r>
          </w:p>
        </w:tc>
      </w:tr>
      <w:tr>
        <w:trPr>
          <w:cantSplit/>
        </w:trP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Zero estimated volatility</w:t>
            </w:r>
          </w:p>
        </w:tc>
        <w:tc>
          <w:tcPr>
            <w:tcW w:type="dxa" w:w="72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No infinite position size or invalid normalized signal.</w:t>
            </w:r>
          </w:p>
        </w:tc>
      </w:tr>
      <w:tr>
        <w:trPr>
          <w:cantSplit/>
        </w:trPr>
        <w:tc>
          <w:tcPr>
            <w:tcW w:type="dxa" w:w="30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Early close or restart</w:t>
            </w:r>
          </w:p>
        </w:tc>
        <w:tc>
          <w:tcPr>
            <w:tcW w:type="dxa" w:w="72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Respect the session and reconcile before placing new orders.</w:t>
            </w:r>
          </w:p>
        </w:tc>
      </w:tr>
    </w:tbl>
    <w:p>
      <w:pPr>
        <w:spacing w:after="20"/>
      </w:pPr>
    </w:p>
    <w:p>
      <w:pPr>
        <w:pStyle w:val="Heading2"/>
      </w:pPr>
      <w:r>
        <w:t>Check a complete trade by hand</w:t>
      </w:r>
    </w:p>
    <w:p>
      <w:r>
        <w:t>Use a small synthetic dataset containing one valid breakout, one false breakout and one gap through a stop. Calculate decision times, entries, exits and costs manually. A correct implementation should reproduce each expected action and skip.</w:t>
      </w:r>
    </w:p>
    <w:p>
      <w:r>
        <w:t>Portfolio evaluation must include simultaneous signals and open orders. A strategy that looks acceptable one symbol at a time may breach its risk budget when many correlated symbols trigger together.</w:t>
      </w:r>
    </w:p>
    <w:p>
      <w:pPr>
        <w:pStyle w:val="Heading1"/>
        <w:pageBreakBefore/>
      </w:pPr>
      <w:r>
        <w:t>10  Building on the trading platform</w:t>
      </w:r>
    </w:p>
    <w:p>
      <w:r>
        <w:t>Repository snapshot checked on October 13 2026. Recheck these files when implementing because registrations and interfaces can change. Current application code takes precedence over historical documentation.</w:t>
      </w:r>
    </w:p>
    <w:p>
      <w:pPr>
        <w:pStyle w:val="Heading2"/>
      </w:pPr>
      <w:r>
        <w:t>Start with the shared local environment</w:t>
      </w:r>
    </w:p>
    <w:p>
      <w:r>
        <w:t>Install Node.js 22 or newer and Docker Desktop. From the repository root, use the following sequence. Keep Docker running. Consult docs/guides/local-development.md for credentials, cached data and troubleshooting.</w:t>
      </w:r>
    </w:p>
    <w:p>
      <w:pPr>
        <w:pStyle w:val="Code"/>
        <w:keepLines/>
      </w:pPr>
      <w:r>
        <w:t>npm install</w:t>
        <w:br/>
        <w:t>npm run setup</w:t>
        <w:br/>
        <w:t>npm run dev:stack</w:t>
        <w:br/>
        <w:t>npm run doctor</w:t>
      </w:r>
    </w:p>
    <w:p>
      <w:r>
        <w:t>The local runner defaults to EXECUTION_TARGET=sim. This is local simulation, not orders sent to Alpaca paper. Cached bars still have to be available; setup alone does not provide historical datasets. The platform team should distribute a small, versioned teaching dataset before the first workshop.</w:t>
      </w:r>
    </w:p>
    <w:p>
      <w:r>
        <w:t>Live data and Alpaca paper testing use each developer's own keys through the documented setup. LOCAL_STREAM_DATA=1 enables the local IEX stream. EXECUTION_TARGET=alpaca-paper uses a personal paper account when configured. Keep secrets out of Git and preserve the protected club-account checks.</w:t>
      </w:r>
    </w:p>
    <w:p>
      <w:pPr>
        <w:pStyle w:val="Heading2"/>
      </w:pPr>
      <w:r>
        <w:t>Use the strategy contract</w:t>
      </w:r>
    </w:p>
    <w:p>
      <w:r>
        <w:t>backend/src/strategies/base/strategy.ts defines IStrategy and BaseStrategy. evaluate(context) is synchronous and returns StrategySignal or null. It reads symbolState, portfolioState and orderState; it must be fast and must not call external APIs, open WebSockets, or write directly to the database.</w:t>
      </w:r>
    </w:p>
    <w:p>
      <w:r>
        <w:t>Keep indicator windows and strategy memory in the strategy or reusable indicator services. Emit a signal and let the orchestrator, risk layer and execution layer handle orders. A signal is an intention; order acknowledgment and actual fills determine exposure.</w:t>
      </w:r>
    </w:p>
    <w:p>
      <w:r>
        <w:t>evaluate can run on quotes, trades and bars. Process each new observation only once. Bar strategies need an explicit new-completed-bar guard. A quote model must not count the same latest quote again when a trade triggers evaluation.</w:t>
      </w:r>
    </w:p>
    <w:p>
      <w:r>
        <w:t>Existing helpers are in backend/src/services/indicators, including SMA, EMA, RSI, volatility, z-score, OLS and cointegration modules. Read their formulas, units and edge-case behavior before reusing them. A helper's presence does not establish that it matches your research definition.</w:t>
      </w:r>
    </w:p>
    <w:p>
      <w:r>
        <w:t>The momentum type exists in backend/src/types/strategy.ts, but the inspected runtime STRATEGY_FACTORY has no momentum constructor, and the current backtest factory only enables pairs_trading. A momentum strategy needs an implementation, validated defaults, runtime and backtest registration, and any necessary UI/configuration support. A type name alone does not make a runnable strategy.</w:t>
      </w:r>
    </w:p>
    <w:p>
      <w:pPr>
        <w:pStyle w:val="Heading1"/>
        <w:pageBreakBefore/>
      </w:pPr>
      <w:r>
        <w:t>11  Implementation sequence and team deliverables</w:t>
      </w:r>
    </w:p>
    <w:p>
      <w:pPr>
        <w:pStyle w:val="Heading2"/>
      </w:pPr>
      <w:r>
        <w:t>Before the first implementation</w:t>
      </w:r>
    </w:p>
    <w:p>
      <w:pPr>
        <w:ind w:left="288" w:hanging="288"/>
      </w:pPr>
      <w:r>
        <w:rPr>
          <w:b/>
        </w:rPr>
        <w:t xml:space="preserve">1. </w:t>
      </w:r>
      <w:r>
        <w:t>Explain one proposed trade by hand using a short example dataset. Every member should identify the decision time, expected price behavior, exit and maximum permitted loss.</w:t>
      </w:r>
    </w:p>
    <w:p>
      <w:pPr>
        <w:ind w:left="288" w:hanging="288"/>
      </w:pPr>
      <w:r>
        <w:rPr>
          <w:b/>
        </w:rPr>
        <w:t xml:space="preserve">2. </w:t>
      </w:r>
      <w:r>
        <w:t>Create a one-page specification: hypothesis, cited evidence, universe, feed, decision frequency, features, entry, exit, costs, size limits and test periods. Label educational thresholds as unvalidated.</w:t>
      </w:r>
    </w:p>
    <w:p>
      <w:pPr>
        <w:ind w:left="288" w:hanging="288"/>
      </w:pPr>
      <w:r>
        <w:rPr>
          <w:b/>
        </w:rPr>
        <w:t xml:space="preserve">3. </w:t>
      </w:r>
      <w:r>
        <w:t>Assign a research owner, implementation owner and evaluation owner. In a three-person team, rotate the evaluation role so someone other than the author checks the results.</w:t>
      </w:r>
    </w:p>
    <w:p>
      <w:pPr>
        <w:ind w:left="288" w:hanging="288"/>
      </w:pPr>
      <w:r>
        <w:rPr>
          <w:b/>
        </w:rPr>
        <w:t xml:space="preserve">4. </w:t>
      </w:r>
      <w:r>
        <w:t>Ask the platform team to confirm the dataset and any missing registration or execution support before building a complex model.</w:t>
      </w:r>
    </w:p>
    <w:p>
      <w:pPr>
        <w:pStyle w:val="Heading2"/>
      </w:pPr>
      <w:r>
        <w:t>Build a small vertical slice</w:t>
      </w:r>
    </w:p>
    <w:p>
      <w:r>
        <w:t>Implement one symbol and one momentum rule. First prove session timing and indicator state on a tiny dataset, then entry, pending orders, filled position, exit and a complete P&amp;L record. Coordinate the new strategy registration with the platform team before scaling to more symbols.</w:t>
      </w:r>
    </w:p>
    <w:p>
      <w:r>
        <w:t>Use a state machine such as WARMING, FLAT, ENTRY_PENDING, OPEN, EXIT_PENDING and HALTED. Reconcile positions and working orders after restarts. Never infer that an order filled simply because a signal was emitted. Implement closing logic before enabling entries.</w:t>
      </w:r>
    </w:p>
    <w:p>
      <w:pPr>
        <w:pStyle w:val="Heading2"/>
      </w:pPr>
      <w:r>
        <w:t>Keep research runs reproducible</w:t>
      </w:r>
    </w:p>
    <w:tbl>
      <w:tblPr>
        <w:tblW w:type="auto" w:w="0"/>
        <w:jc w:val="center"/>
        <w:tblLayout w:type="fixed"/>
        <w:tblLook w:firstColumn="1" w:firstRow="1" w:lastColumn="0" w:lastRow="0" w:noHBand="0" w:noVBand="1" w:val="04A0"/>
      </w:tblPr>
      <w:tblGrid>
        <w:gridCol w:w="1728"/>
        <w:gridCol w:w="8496"/>
      </w:tblGrid>
      <w:tr>
        <w:trPr>
          <w:cantSplit/>
          <w:tblHeader/>
        </w:trPr>
        <w:tc>
          <w:tcPr>
            <w:tcW w:type="dxa" w:w="1728"/>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Record</w:t>
            </w:r>
          </w:p>
        </w:tc>
        <w:tc>
          <w:tcPr>
            <w:tcW w:type="dxa" w:w="8496"/>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Minimum contents</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Run identity</w:t>
            </w:r>
          </w:p>
        </w:tc>
        <w:tc>
          <w:tcPr>
            <w:tcW w:type="dxa" w:w="84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Code commit, algorithm version, configuration and model version if used.</w:t>
            </w:r>
          </w:p>
        </w:tc>
      </w:tr>
      <w:tr>
        <w:trPr>
          <w:cantSplit/>
        </w:trPr>
        <w:tc>
          <w:tcPr>
            <w:tcW w:type="dxa" w:w="172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Data identity</w:t>
            </w:r>
          </w:p>
        </w:tc>
        <w:tc>
          <w:tcPr>
            <w:tcW w:type="dxa" w:w="849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Symbols, feed, dates, file checksum, cleaning rules and timestamp policy.</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Decisions</w:t>
            </w:r>
          </w:p>
        </w:tc>
        <w:tc>
          <w:tcPr>
            <w:tcW w:type="dxa" w:w="84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Observation identifiers, feature values, signal reason and skip reason.</w:t>
            </w:r>
          </w:p>
        </w:tc>
      </w:tr>
      <w:tr>
        <w:trPr>
          <w:cantSplit/>
        </w:trPr>
        <w:tc>
          <w:tcPr>
            <w:tcW w:type="dxa" w:w="172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Execution</w:t>
            </w:r>
          </w:p>
        </w:tc>
        <w:tc>
          <w:tcPr>
            <w:tcW w:type="dxa" w:w="849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Order and fill identifiers, side, quantity, prices, costs and timing.</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Findings</w:t>
            </w:r>
          </w:p>
        </w:tc>
        <w:tc>
          <w:tcPr>
            <w:tcW w:type="dxa" w:w="84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Baseline comparison, unsuccessful trials, sensitivity and remaining uncertainty.</w:t>
            </w:r>
          </w:p>
        </w:tc>
      </w:tr>
    </w:tbl>
    <w:p>
      <w:pPr>
        <w:spacing w:after="20"/>
      </w:pPr>
    </w:p>
    <w:p>
      <w:pPr>
        <w:pStyle w:val="Heading2"/>
      </w:pPr>
      <w:r>
        <w:t>Before paper deployment</w:t>
      </w:r>
    </w:p>
    <w:p>
      <w:r>
        <w:t>Run the relevant backend Jest tests and typecheck, then the project's required checks. Use a focused pull request with the specification and experiment evidence. Coordinate shared infrastructure with the platform team. Follow docs/guides/member-instructions.md and the current strategy-version workflow.</w:t>
      </w:r>
    </w:p>
    <w:p>
      <w:r>
        <w:t>Paper monitoring should include data age, process health, order rejections, pending orders, position reconciliation, exposure and end-of-session flattening. Assign a monitoring owner and a documented stop procedure. Keep strategy versions separate in the results.</w:t>
      </w:r>
    </w:p>
    <w:p>
      <w:r>
        <w:t>For the final presentation, explain the hypothesis and papers, exact algorithm, backtest assumptions and performance, paper results, failure cases and next experiments. Three weeks of paper trading can demonstrate operational reliability and describe observed performance; it cannot establish durable profitability across market conditions.</w:t>
      </w:r>
    </w:p>
    <w:p>
      <w:pPr>
        <w:pStyle w:val="Heading1"/>
        <w:pageBreakBefore/>
      </w:pPr>
      <w:r>
        <w:t>12  Research papers and reference material</w:t>
      </w:r>
    </w:p>
    <w:p>
      <w:r>
        <w:t>Read the first paper’s signal definition carefully. For every source, record the original sampling interval, eligible securities, information available at the decision, holding period and costs. A changed signal or execution window is an adaptation.</w:t>
      </w:r>
    </w:p>
    <w:p>
      <w:pPr>
        <w:keepNext/>
        <w:spacing w:after="40"/>
      </w:pPr>
      <w:r>
        <w:rPr>
          <w:b/>
        </w:rPr>
        <w:t xml:space="preserve">[M1] </w:t>
      </w:r>
      <w:hyperlink r:id="rId11">
        <w:r>
          <w:rPr>
            <w:color w:val="004D73"/>
            <w:u w:val="single"/>
          </w:rPr>
          <w:t>Gao Han Li and Zhou 2018 Market Intraday Momentum</w:t>
        </w:r>
      </w:hyperlink>
    </w:p>
    <w:p>
      <w:pPr>
        <w:spacing w:after="120"/>
      </w:pPr>
      <w:r>
        <w:rPr>
          <w:sz w:val="20"/>
        </w:rPr>
        <w:t>Core reading. The previous-close-to-first-half-hour return predicts the final-half-hour return in the study. The predictor includes overnight information. It does not validate arbitrary breakout rules.</w:t>
      </w:r>
    </w:p>
    <w:p>
      <w:pPr>
        <w:keepNext/>
        <w:spacing w:after="40"/>
      </w:pPr>
      <w:r>
        <w:rPr>
          <w:b/>
        </w:rPr>
        <w:t xml:space="preserve">[M2] </w:t>
      </w:r>
      <w:hyperlink r:id="rId12">
        <w:r>
          <w:rPr>
            <w:color w:val="004D73"/>
            <w:u w:val="single"/>
          </w:rPr>
          <w:t>Heston Korajczyk and Sadka 2010 Intraday Patterns in the Cross Section of Stock Returns</w:t>
        </w:r>
      </w:hyperlink>
    </w:p>
    <w:p>
      <w:pPr>
        <w:spacing w:after="120"/>
      </w:pPr>
      <w:r>
        <w:rPr>
          <w:sz w:val="20"/>
        </w:rPr>
        <w:t>Extension. Documents recurring clock-time return patterns and short-term reversal associated with liquidity and bid-ask effects. Distinguish true price movement from transaction-price bounce.</w:t>
      </w:r>
    </w:p>
    <w:p>
      <w:pPr>
        <w:keepNext/>
        <w:spacing w:after="40"/>
      </w:pPr>
      <w:r>
        <w:rPr>
          <w:b/>
        </w:rPr>
        <w:t xml:space="preserve">[VOL] </w:t>
      </w:r>
      <w:hyperlink r:id="rId13">
        <w:r>
          <w:rPr>
            <w:color w:val="004D73"/>
            <w:u w:val="single"/>
          </w:rPr>
          <w:t>Zhang and coauthors 2024 Volatility Forecasting with Machine Learning and Intraday Commonality</w:t>
        </w:r>
      </w:hyperlink>
    </w:p>
    <w:p>
      <w:pPr>
        <w:spacing w:after="120"/>
      </w:pPr>
      <w:r>
        <w:rPr>
          <w:sz w:val="20"/>
        </w:rPr>
        <w:t>Extension. Intraday volatility forecasting and cross-stock information. A forecasting improvement needs a separate trading evaluation.</w:t>
      </w:r>
    </w:p>
    <w:p>
      <w:pPr>
        <w:keepNext/>
        <w:spacing w:after="40"/>
      </w:pPr>
      <w:r>
        <w:rPr>
          <w:b/>
        </w:rPr>
        <w:t xml:space="preserve">[REG] </w:t>
      </w:r>
      <w:hyperlink r:id="rId14">
        <w:r>
          <w:rPr>
            <w:color w:val="004D73"/>
            <w:u w:val="single"/>
          </w:rPr>
          <w:t>Hamilton Research on Time Series Subject to Changes in Regime</w:t>
        </w:r>
      </w:hyperlink>
    </w:p>
    <w:p>
      <w:pPr>
        <w:spacing w:after="120"/>
      </w:pPr>
      <w:r>
        <w:rPr>
          <w:sz w:val="20"/>
        </w:rPr>
        <w:t>Advanced methodology. Foundational regime-switching research includes the 1989 Econometrica paper. Its macroeconomic application is not evidence for your intraday strategy.</w:t>
      </w:r>
    </w:p>
    <w:p>
      <w:pPr>
        <w:keepNext/>
        <w:spacing w:after="40"/>
      </w:pPr>
      <w:r>
        <w:rPr>
          <w:b/>
        </w:rPr>
        <w:t xml:space="preserve">[D1] </w:t>
      </w:r>
      <w:hyperlink r:id="rId15">
        <w:r>
          <w:rPr>
            <w:color w:val="004D73"/>
            <w:u w:val="single"/>
          </w:rPr>
          <w:t>Alpaca Market Data FAQ</w:t>
        </w:r>
      </w:hyperlink>
    </w:p>
    <w:p>
      <w:pPr>
        <w:spacing w:after="120"/>
      </w:pPr>
      <w:r>
        <w:rPr>
          <w:sz w:val="20"/>
        </w:rPr>
        <w:t>Official reference for IEX, SIP and feed selection.</w:t>
      </w:r>
    </w:p>
    <w:p>
      <w:pPr>
        <w:keepNext/>
        <w:spacing w:after="40"/>
      </w:pPr>
      <w:r>
        <w:rPr>
          <w:b/>
        </w:rPr>
        <w:t xml:space="preserve">[D2] </w:t>
      </w:r>
      <w:hyperlink r:id="rId16">
        <w:r>
          <w:rPr>
            <w:color w:val="004D73"/>
            <w:u w:val="single"/>
          </w:rPr>
          <w:t>Alpaca Real Time Stock Data</w:t>
        </w:r>
      </w:hyperlink>
    </w:p>
    <w:p>
      <w:pPr>
        <w:spacing w:after="120"/>
      </w:pPr>
      <w:r>
        <w:rPr>
          <w:sz w:val="20"/>
        </w:rPr>
        <w:t>Official message schemas, timestamps, size units and bar updates.</w:t>
      </w:r>
    </w:p>
    <w:p>
      <w:pPr>
        <w:keepNext/>
        <w:spacing w:after="40"/>
      </w:pPr>
      <w:r>
        <w:rPr>
          <w:b/>
        </w:rPr>
        <w:t xml:space="preserve">[D3] </w:t>
      </w:r>
      <w:hyperlink r:id="rId17">
        <w:r>
          <w:rPr>
            <w:color w:val="004D73"/>
            <w:u w:val="single"/>
          </w:rPr>
          <w:t>Alpaca Paper Trading</w:t>
        </w:r>
      </w:hyperlink>
    </w:p>
    <w:p>
      <w:pPr>
        <w:spacing w:after="120"/>
      </w:pPr>
      <w:r>
        <w:rPr>
          <w:sz w:val="20"/>
        </w:rPr>
        <w:t>Official reference for simulated execution and its limitations.</w:t>
      </w:r>
    </w:p>
    <w:p>
      <w:pPr>
        <w:keepNext/>
        <w:spacing w:after="40"/>
      </w:pPr>
      <w:r>
        <w:rPr>
          <w:b/>
        </w:rPr>
        <w:t xml:space="preserve">[RISK] </w:t>
      </w:r>
      <w:hyperlink r:id="rId18">
        <w:r>
          <w:rPr>
            <w:color w:val="004D73"/>
            <w:u w:val="single"/>
          </w:rPr>
          <w:t>Bailey and coauthors The Probability of Backtest Overfitting</w:t>
        </w:r>
      </w:hyperlink>
    </w:p>
    <w:p>
      <w:pPr>
        <w:spacing w:after="120"/>
      </w:pPr>
      <w:r>
        <w:rPr>
          <w:sz w:val="20"/>
        </w:rPr>
        <w:t>Explains why selecting the best historical result from many trials can mislead. Use an experiment register and untouched evaluation data.</w:t>
      </w:r>
    </w:p>
    <w:p>
      <w:r>
        <w:t>Platform reading order: docs/guides/local-development.md; backend/src/strategies/base/strategy.ts; backend/src/config/strategyDefaults.ts; backend/src/services/indicators; backend/src/core/backtest/strategyFactory.ts; docs/guides/LATENCY_BENCHMARK_AGENT_GUIDE.md. Paths are relative to the project root.</w:t>
      </w:r>
    </w:p>
    <w:sectPr w:rsidR="00FC693F" w:rsidRPr="0006063C" w:rsidSect="00034616">
      <w:headerReference w:type="default" r:id="rId9"/>
      <w:footerReference w:type="default" r:id="rId10"/>
      <w:pgSz w:w="12240" w:h="15840"/>
      <w:pgMar w:top="936"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SHPE Capital   Algorithm research team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4" w:lineRule="auto" w:after="10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4" w:lineRule="auto" w:after="10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line="252"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files.wustl.edu/en/publications/market-intraday-momentum/" TargetMode="External"/><Relationship Id="rId12" Type="http://schemas.openxmlformats.org/officeDocument/2006/relationships/hyperlink" Target="https://arxiv.org/abs/1005.3535" TargetMode="External"/><Relationship Id="rId13" Type="http://schemas.openxmlformats.org/officeDocument/2006/relationships/hyperlink" Target="https://academic.oup.com/jfec/article/22/2/492/7081291" TargetMode="External"/><Relationship Id="rId14" Type="http://schemas.openxmlformats.org/officeDocument/2006/relationships/hyperlink" Target="https://econweb.ucsd.edu/~jhamilto/pub_metrics" TargetMode="External"/><Relationship Id="rId15" Type="http://schemas.openxmlformats.org/officeDocument/2006/relationships/hyperlink" Target="https://docs.alpaca.markets/us/docs/market-data-faq" TargetMode="External"/><Relationship Id="rId16" Type="http://schemas.openxmlformats.org/officeDocument/2006/relationships/hyperlink" Target="https://docs.alpaca.markets/us/docs/real-time-stock-pricing-data" TargetMode="External"/><Relationship Id="rId17" Type="http://schemas.openxmlformats.org/officeDocument/2006/relationships/hyperlink" Target="https://docs.alpaca.markets/us/docs/paper-trading" TargetMode="External"/><Relationship Id="rId18" Type="http://schemas.openxmlformats.org/officeDocument/2006/relationships/hyperlink" Target="https://www.davidhbailey.com/dhbpapers/backtest-pro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Intraday Momentum and Market Regimes</dc:title>
  <dc:subject>Team 2   Beginner foundations and implementation guide</dc:subject>
  <dc:creator>SHPE Capital</dc:creator>
  <cp:keywords>intraday trading, research, beginner guide, Alpaca IEX</cp:keywords>
  <dc:description>generated by python-docx</dc:description>
  <cp:lastModifiedBy/>
  <cp:revision>1</cp:revision>
  <dcterms:created xsi:type="dcterms:W3CDTF">2013-12-23T23:15:00Z</dcterms:created>
  <dcterms:modified xsi:type="dcterms:W3CDTF">2013-12-23T23:15:00Z</dcterms:modified>
  <cp:category/>
</cp:coreProperties>
</file>