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Market Microstructure and Short Horizon Signals</w:t>
      </w:r>
    </w:p>
    <w:p>
      <w:pPr>
        <w:pStyle w:val="Subtitle"/>
      </w:pPr>
      <w:r>
        <w:t>Team 3   Beginner foundations and implementation guide</w:t>
      </w:r>
    </w:p>
    <w:p>
      <w:pPr>
        <w:pStyle w:val="Heading1"/>
      </w:pPr>
      <w:r>
        <w:t>1  Your team and the research question</w:t>
      </w:r>
    </w:p>
    <w:p>
      <w:r>
        <w:t>Study whether observable buying and selling pressure and liquidity conditions predict the next price movement. Build short-horizon signals and test whether they remain useful after spreads, execution delays and missed fills. Market microstructure explains the process by which trading produces prices.</w:t>
      </w:r>
    </w:p>
    <w:p>
      <w:r>
        <w:t>Short-horizon forecasting describes a prediction task. Microstructure gives your team a focused set of mechanisms to study. Begin with one simple quote-based predictor. Market making, which posts both buying and selling offers, is an optional later branch with additional execution requirements.</w:t>
      </w:r>
    </w:p>
    <w:p>
      <w:pPr>
        <w:pStyle w:val="Heading2"/>
      </w:pPr>
      <w:r>
        <w:t>What you should understand first</w:t>
      </w:r>
    </w:p>
    <w:tbl>
      <w:tblPr>
        <w:tblW w:type="auto" w:w="0"/>
        <w:jc w:val="center"/>
        <w:tblLayout w:type="fixed"/>
        <w:tblLook w:firstColumn="1" w:firstRow="1" w:lastColumn="0" w:lastRow="0" w:noHBand="0" w:noVBand="1" w:val="04A0"/>
      </w:tblPr>
      <w:tblGrid>
        <w:gridCol w:w="1872"/>
        <w:gridCol w:w="8352"/>
      </w:tblGrid>
      <w:tr>
        <w:trPr>
          <w:cantSplit/>
          <w:tblHeader/>
        </w:trPr>
        <w:tc>
          <w:tcPr>
            <w:tcW w:type="dxa" w:w="1872"/>
            <w:vAlign w:val="center"/>
            <w:shd w:fill="004D73"/>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color w:val="FFFFFF"/>
                <w:sz w:val="20"/>
              </w:rPr>
              <w:t>Term</w:t>
            </w:r>
          </w:p>
        </w:tc>
        <w:tc>
          <w:tcPr>
            <w:tcW w:type="dxa" w:w="8352"/>
            <w:vAlign w:val="center"/>
            <w:shd w:fill="004D73"/>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color w:val="FFFFFF"/>
                <w:sz w:val="20"/>
              </w:rPr>
              <w:t>Plain meaning</w:t>
            </w:r>
          </w:p>
        </w:tc>
      </w:tr>
      <w:tr>
        <w:trPr>
          <w:cantSplit/>
        </w:trPr>
        <w:tc>
          <w:tcPr>
            <w:tcW w:type="dxa" w:w="1872"/>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Bid and ask</w:t>
            </w:r>
          </w:p>
        </w:tc>
        <w:tc>
          <w:tcPr>
            <w:tcW w:type="dxa" w:w="8352"/>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Displayed prices at which participants currently offer to buy and sell.</w:t>
            </w:r>
          </w:p>
        </w:tc>
      </w:tr>
      <w:tr>
        <w:trPr>
          <w:cantSplit/>
        </w:trPr>
        <w:tc>
          <w:tcPr>
            <w:tcW w:type="dxa" w:w="1872"/>
            <w:vAlign w:val="center"/>
            <w:shd w:fill="F0F5F8"/>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Spread and midpoint</w:t>
            </w:r>
          </w:p>
        </w:tc>
        <w:tc>
          <w:tcPr>
            <w:tcW w:type="dxa" w:w="8352"/>
            <w:vAlign w:val="center"/>
            <w:shd w:fill="F0F5F8"/>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Ask minus bid, and the average of bid and ask.</w:t>
            </w:r>
          </w:p>
        </w:tc>
      </w:tr>
      <w:tr>
        <w:trPr>
          <w:cantSplit/>
        </w:trPr>
        <w:tc>
          <w:tcPr>
            <w:tcW w:type="dxa" w:w="1872"/>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Displayed imbalance</w:t>
            </w:r>
          </w:p>
        </w:tc>
        <w:tc>
          <w:tcPr>
            <w:tcW w:type="dxa" w:w="8352"/>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Difference between displayed bid and ask size relative to their sum.</w:t>
            </w:r>
          </w:p>
        </w:tc>
      </w:tr>
      <w:tr>
        <w:trPr>
          <w:cantSplit/>
        </w:trPr>
        <w:tc>
          <w:tcPr>
            <w:tcW w:type="dxa" w:w="1872"/>
            <w:vAlign w:val="center"/>
            <w:shd w:fill="F0F5F8"/>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Order flow</w:t>
            </w:r>
          </w:p>
        </w:tc>
        <w:tc>
          <w:tcPr>
            <w:tcW w:type="dxa" w:w="8352"/>
            <w:vAlign w:val="center"/>
            <w:shd w:fill="F0F5F8"/>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Changes associated with trading and displayed liquidity over time.</w:t>
            </w:r>
          </w:p>
        </w:tc>
      </w:tr>
      <w:tr>
        <w:trPr>
          <w:cantSplit/>
        </w:trPr>
        <w:tc>
          <w:tcPr>
            <w:tcW w:type="dxa" w:w="1872"/>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Liquidity</w:t>
            </w:r>
          </w:p>
        </w:tc>
        <w:tc>
          <w:tcPr>
            <w:tcW w:type="dxa" w:w="8352"/>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The ability to trade a quantity promptly at an acceptable cost.</w:t>
            </w:r>
          </w:p>
        </w:tc>
      </w:tr>
      <w:tr>
        <w:trPr>
          <w:cantSplit/>
        </w:trPr>
        <w:tc>
          <w:tcPr>
            <w:tcW w:type="dxa" w:w="1872"/>
            <w:vAlign w:val="center"/>
            <w:shd w:fill="F0F5F8"/>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Adverse selection</w:t>
            </w:r>
          </w:p>
        </w:tc>
        <w:tc>
          <w:tcPr>
            <w:tcW w:type="dxa" w:w="8352"/>
            <w:vAlign w:val="center"/>
            <w:shd w:fill="F0F5F8"/>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A fill that occurs because the counterparty’s information or timing is favorable to them.</w:t>
            </w:r>
          </w:p>
        </w:tc>
      </w:tr>
    </w:tbl>
    <w:p>
      <w:pPr>
        <w:spacing w:after="20"/>
      </w:pPr>
    </w:p>
    <w:p>
      <w:pPr>
        <w:pStyle w:val="Heading2"/>
      </w:pPr>
      <w:r>
        <w:t>Your first research outcome</w:t>
      </w:r>
    </w:p>
    <w:p>
      <w:r>
        <w:t>Choose an explicit prediction horizon, a simple model and a cost-aware trading rule. Suggested experimental horizons are 10 seconds, 60 seconds and five minutes; these are comparison choices, not promises that an IEX signal lasts that long.</w:t>
      </w:r>
    </w:p>
    <w:p>
      <w:r>
        <w:t>Begin with a small symbol set and reliable recording. Keep prediction performance, tradable performance and operational performance as separate results. A model can predict the next midpoint change accurately while losing money crossing the spread.</w:t>
      </w:r>
    </w:p>
    <w:p>
      <w:r>
        <w:t>First deliverable: a reproducible quote/trade dataset, an interpretable baseline predictor, a causal evaluation, and evidence about costs and signal decay. Every member should be able to explain the observation that causes an entry.</w:t>
      </w:r>
    </w:p>
    <w:p>
      <w:pPr>
        <w:pStyle w:val="Heading1"/>
        <w:pageBreakBefore/>
      </w:pPr>
      <w:r>
        <w:t>2  Market observations and data discipline</w:t>
      </w:r>
    </w:p>
    <w:p>
      <w:r>
        <w:t>Your experiments use US stocks and ETFs, with positions intended to open and close within the same trading session. Begin with a small, predefined universe. A familiar company or a liquid market-wide security is an example to investigate, not evidence that it is suitable or profitable.</w:t>
      </w:r>
    </w:p>
    <w:p>
      <w:pPr>
        <w:pStyle w:val="Heading2"/>
      </w:pPr>
      <w:r>
        <w:t>Orders positions and trading costs</w:t>
      </w:r>
    </w:p>
    <w:p>
      <w:r>
        <w:t>A market order seeks prompt execution without guaranteeing price. A limit order sets a worst acceptable price without guaranteeing a fill. A short position sells borrowed shares and later buys them back. Notional is shares times price; P&amp;L is profit or loss. Commissions, spread, slippage and applicable short-related costs all matter.</w:t>
      </w:r>
    </w:p>
    <w:p>
      <w:pPr>
        <w:pStyle w:val="Heading2"/>
      </w:pPr>
      <w:r>
        <w:t>Bars quotes and trades</w:t>
      </w:r>
    </w:p>
    <w:tbl>
      <w:tblPr>
        <w:tblW w:type="auto" w:w="0"/>
        <w:jc w:val="center"/>
        <w:tblLayout w:type="fixed"/>
        <w:tblLook w:firstColumn="1" w:firstRow="1" w:lastColumn="0" w:lastRow="0" w:noHBand="0" w:noVBand="1" w:val="04A0"/>
      </w:tblPr>
      <w:tblGrid>
        <w:gridCol w:w="1584"/>
        <w:gridCol w:w="3600"/>
        <w:gridCol w:w="5040"/>
      </w:tblGrid>
      <w:tr>
        <w:trPr>
          <w:cantSplit/>
          <w:tblHeader/>
        </w:trPr>
        <w:tc>
          <w:tcPr>
            <w:tcW w:type="dxa" w:w="1584"/>
            <w:vAlign w:val="center"/>
            <w:shd w:fill="004D73"/>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color w:val="FFFFFF"/>
                <w:sz w:val="20"/>
              </w:rPr>
              <w:t>Observation</w:t>
            </w:r>
          </w:p>
        </w:tc>
        <w:tc>
          <w:tcPr>
            <w:tcW w:type="dxa" w:w="3600"/>
            <w:vAlign w:val="center"/>
            <w:shd w:fill="004D73"/>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color w:val="FFFFFF"/>
                <w:sz w:val="20"/>
              </w:rPr>
              <w:t>What it contains</w:t>
            </w:r>
          </w:p>
        </w:tc>
        <w:tc>
          <w:tcPr>
            <w:tcW w:type="dxa" w:w="5040"/>
            <w:vAlign w:val="center"/>
            <w:shd w:fill="004D73"/>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color w:val="FFFFFF"/>
                <w:sz w:val="20"/>
              </w:rPr>
              <w:t>What it cannot establish</w:t>
            </w:r>
          </w:p>
        </w:tc>
      </w:tr>
      <w:tr>
        <w:trPr>
          <w:cantSplit/>
        </w:trPr>
        <w:tc>
          <w:tcPr>
            <w:tcW w:type="dxa" w:w="158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One minute bar</w:t>
            </w:r>
          </w:p>
        </w:tc>
        <w:tc>
          <w:tcPr>
            <w:tcW w:type="dxa" w:w="3600"/>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Open, high, low, close and traded volume for an interval.</w:t>
            </w:r>
          </w:p>
        </w:tc>
        <w:tc>
          <w:tcPr>
            <w:tcW w:type="dxa" w:w="5040"/>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The order of intraminute prices, executable bid and ask, or your fill.</w:t>
            </w:r>
          </w:p>
        </w:tc>
      </w:tr>
      <w:tr>
        <w:trPr>
          <w:cantSplit/>
        </w:trPr>
        <w:tc>
          <w:tcPr>
            <w:tcW w:type="dxa" w:w="1584"/>
            <w:vAlign w:val="center"/>
            <w:shd w:fill="F0F5F8"/>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Quote</w:t>
            </w:r>
          </w:p>
        </w:tc>
        <w:tc>
          <w:tcPr>
            <w:tcW w:type="dxa" w:w="3600"/>
            <w:vAlign w:val="center"/>
            <w:shd w:fill="F0F5F8"/>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Displayed bid and ask prices and sizes at a timestamp.</w:t>
            </w:r>
          </w:p>
        </w:tc>
        <w:tc>
          <w:tcPr>
            <w:tcW w:type="dxa" w:w="5040"/>
            <w:vAlign w:val="center"/>
            <w:shd w:fill="F0F5F8"/>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A promise that your order will fill, hidden liquidity, or your queue position.</w:t>
            </w:r>
          </w:p>
        </w:tc>
      </w:tr>
      <w:tr>
        <w:trPr>
          <w:cantSplit/>
        </w:trPr>
        <w:tc>
          <w:tcPr>
            <w:tcW w:type="dxa" w:w="158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Trade</w:t>
            </w:r>
          </w:p>
        </w:tc>
        <w:tc>
          <w:tcPr>
            <w:tcW w:type="dxa" w:w="3600"/>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An execution price, size, timestamp and available identifiers.</w:t>
            </w:r>
          </w:p>
        </w:tc>
        <w:tc>
          <w:tcPr>
            <w:tcW w:type="dxa" w:w="5040"/>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A directly observed buyer or seller aggressor label in the current payload.</w:t>
            </w:r>
          </w:p>
        </w:tc>
      </w:tr>
    </w:tbl>
    <w:p>
      <w:pPr>
        <w:spacing w:after="20"/>
      </w:pPr>
    </w:p>
    <w:p>
      <w:r>
        <w:t>Alpaca free live data covers IEX, one exchange. Treat its volume and liquidity measures as venue-specific. Record the explicit feed setting for every dataset and run. [D1]</w:t>
      </w:r>
    </w:p>
    <w:p>
      <w:pPr>
        <w:pStyle w:val="Heading2"/>
      </w:pPr>
      <w:r>
        <w:t>When information becomes available</w:t>
      </w:r>
    </w:p>
    <w:p>
      <w:r>
        <w:t>A bar timestamp marks the interval start. The 10:00 bar completes at 10:01; decide after receipt and simulate orders afterward. Document a policy for late updates. [D2]</w:t>
      </w:r>
    </w:p>
    <w:p>
      <w:pPr>
        <w:pStyle w:val="ListBullet"/>
      </w:pPr>
      <w:r>
        <w:t>Store provider event time and your local receipt time separately. Keep the original timestamp string; do not invent precision lost in conversion.</w:t>
      </w:r>
    </w:p>
    <w:p>
      <w:pPr>
        <w:pStyle w:val="ListBullet"/>
      </w:pPr>
      <w:r>
        <w:t>Use the exchange calendar and America/New_York for session rules. Store UTC timestamps. Handle holidays, early closes and daylight-saving changes.</w:t>
      </w:r>
    </w:p>
    <w:p>
      <w:pPr>
        <w:pStyle w:val="ListBullet"/>
      </w:pPr>
      <w:r>
        <w:t>Measure missing observations, duplicates, stale quotes, invalid prices and cross-symbol time differences. Missing activity is not a measured zero return.</w:t>
      </w:r>
    </w:p>
    <w:p>
      <w:pPr>
        <w:pStyle w:val="ListBullet"/>
      </w:pPr>
      <w:r>
        <w:t>Keep raw data immutable. Version cleaning rules, adjustments and derived datasets. Split adjustments must be consistent across prices and share quantities.</w:t>
      </w:r>
    </w:p>
    <w:p>
      <w:r>
        <w:t>Paper trading evaluates behavior through simulated fills. Alpaca omits effects including latency slippage, queue position and market impact. Its NBBO-based fills can differ from an IEX-only replay. NBBO means the national best bid and offer. [D3]</w:t>
      </w:r>
    </w:p>
    <w:p>
      <w:pPr>
        <w:pStyle w:val="Heading1"/>
        <w:pageBreakBefore/>
      </w:pPr>
      <w:r>
        <w:t>3  Quotes imbalance and microprice</w:t>
      </w:r>
    </w:p>
    <w:p>
      <w:pPr>
        <w:pStyle w:val="Heading2"/>
      </w:pPr>
      <w:r>
        <w:t>Understand the current quote</w:t>
      </w:r>
    </w:p>
    <w:p>
      <w:pPr>
        <w:pStyle w:val="Caption"/>
        <w:keepNext/>
      </w:pPr>
      <w:r>
        <w:t>Midpoint and spread</w:t>
      </w:r>
    </w:p>
    <w:p>
      <w:pPr>
        <w:spacing w:after="140"/>
      </w:pPr>
      <m:oMath>
        <m:r>
          <m:t>m = </m:t>
        </m:r>
        <m:f>
          <m:num>
            <m:r>
              <m:t>b + a</m:t>
            </m:r>
          </m:num>
          <m:den>
            <m:r>
              <m:t>2</m:t>
            </m:r>
          </m:den>
        </m:f>
        <m:r>
          <m:t>     s = a − b</m:t>
        </m:r>
      </m:oMath>
    </w:p>
    <w:p>
      <w:r>
        <w:t>b and a are bid and ask prices. A quote of $100.00 bid and $100.02 ask has midpoint $100.01 and spread $0.02, about two basis points. An immediate buy then sell at unchanged quotes loses approximately that spread per share before other costs.</w:t>
      </w:r>
    </w:p>
    <w:p>
      <w:pPr>
        <w:pStyle w:val="Heading2"/>
      </w:pPr>
      <w:r>
        <w:t>Displayed size imbalance</w:t>
      </w:r>
    </w:p>
    <w:p>
      <w:pPr>
        <w:pStyle w:val="Caption"/>
        <w:keepNext/>
      </w:pPr>
      <w:r>
        <w:t>Imbalance between the two displayed sizes</w:t>
      </w:r>
    </w:p>
    <w:p>
      <w:pPr>
        <w:spacing w:after="140"/>
      </w:pPr>
      <m:oMath>
        <m:r>
          <m:t>I = </m:t>
        </m:r>
        <m:f>
          <m:num>
            <m:sSub>
              <m:e>
                <m:r>
                  <m:t>Q</m:t>
                </m:r>
              </m:e>
              <m:sub>
                <m:r>
                  <m:t>b</m:t>
                </m:r>
              </m:sub>
            </m:sSub>
            <m:r>
              <m:t> − </m:t>
            </m:r>
            <m:sSub>
              <m:e>
                <m:r>
                  <m:t>Q</m:t>
                </m:r>
              </m:e>
              <m:sub>
                <m:r>
                  <m:t>a</m:t>
                </m:r>
              </m:sub>
            </m:sSub>
          </m:num>
          <m:den>
            <m:sSub>
              <m:e>
                <m:r>
                  <m:t>Q</m:t>
                </m:r>
              </m:e>
              <m:sub>
                <m:r>
                  <m:t>b</m:t>
                </m:r>
              </m:sub>
            </m:sSub>
            <m:r>
              <m:t> + </m:t>
            </m:r>
            <m:sSub>
              <m:e>
                <m:r>
                  <m:t>Q</m:t>
                </m:r>
              </m:e>
              <m:sub>
                <m:r>
                  <m:t>a</m:t>
                </m:r>
              </m:sub>
            </m:sSub>
          </m:den>
        </m:f>
      </m:oMath>
    </w:p>
    <w:p>
      <w:r>
        <w:t>Qb and Qa are displayed bid and ask sizes in the same units. I is between −1 and +1 when sizes are nonnegative and their sum is positive. A positive value means more displayed size at the bid; it is a candidate predictor, not proof that buyers will move the price upward.</w:t>
      </w:r>
    </w:p>
    <w:p>
      <w:pPr>
        <w:pStyle w:val="Heading2"/>
      </w:pPr>
      <w:r>
        <w:t>A simple size weighted midpoint</w:t>
      </w:r>
    </w:p>
    <w:p>
      <w:pPr>
        <w:pStyle w:val="Caption"/>
        <w:keepNext/>
      </w:pPr>
      <w:r>
        <w:t>Weighted midpoint used by the platform</w:t>
      </w:r>
    </w:p>
    <w:p>
      <w:pPr>
        <w:spacing w:after="140"/>
      </w:pPr>
      <m:oMath>
        <m:r>
          <m:t>w = </m:t>
        </m:r>
        <m:f>
          <m:num>
            <m:sSub>
              <m:e>
                <m:r>
                  <m:t>Q</m:t>
                </m:r>
              </m:e>
              <m:sub>
                <m:r>
                  <m:t>b</m:t>
                </m:r>
              </m:sub>
            </m:sSub>
            <m:r>
              <m:t> a + </m:t>
            </m:r>
            <m:sSub>
              <m:e>
                <m:r>
                  <m:t>Q</m:t>
                </m:r>
              </m:e>
              <m:sub>
                <m:r>
                  <m:t>a</m:t>
                </m:r>
              </m:sub>
            </m:sSub>
            <m:r>
              <m:t> b</m:t>
            </m:r>
          </m:num>
          <m:den>
            <m:sSub>
              <m:e>
                <m:r>
                  <m:t>Q</m:t>
                </m:r>
              </m:e>
              <m:sub>
                <m:r>
                  <m:t>b</m:t>
                </m:r>
              </m:sub>
            </m:sSub>
            <m:r>
              <m:t> + </m:t>
            </m:r>
            <m:sSub>
              <m:e>
                <m:r>
                  <m:t>Q</m:t>
                </m:r>
              </m:e>
              <m:sub>
                <m:r>
                  <m:t>a</m:t>
                </m:r>
              </m:sub>
            </m:sSub>
          </m:den>
        </m:f>
      </m:oMath>
    </w:p>
    <w:p>
      <w:r>
        <w:t>The repository calls this quantity microPrice. It moves toward the ask when bid size is larger. Treat it as a simple weighted-midpoint feature, not a fully calibrated estimate of future fair value. With sizes 300 and 100 at the example quote, I is 0.5 and w is $100.015, only half a cent above the midpoint.</w:t>
      </w:r>
    </w:p>
    <w:p>
      <w:r>
        <w:t>That half-cent displacement is smaller than the two-cent round-trip spread in the example. Comparing a feature with the midpoint does not mean you can buy at the midpoint or capture its predicted movement.</w:t>
      </w:r>
    </w:p>
    <w:p>
      <w:pPr>
        <w:pStyle w:val="Heading2"/>
      </w:pPr>
      <w:r>
        <w:t>What the feed does not reveal</w:t>
      </w:r>
    </w:p>
    <w:p>
      <w:r>
        <w:t>Top-of-book updates do not expose individual orders, complete depth or your queue position. Size reductions can reflect executions, cancellations or repricing; do not assign a unique cause without supporting messages. IEX is one venue, so these are venue-local features. Confirm current quote-size units before combining them with trade share sizes. [D1, D2]</w:t>
      </w:r>
    </w:p>
    <w:p>
      <w:pPr>
        <w:pStyle w:val="Heading1"/>
        <w:pageBreakBefore/>
      </w:pPr>
      <w:r>
        <w:t>4  Features and technical diagnostics</w:t>
      </w:r>
    </w:p>
    <w:tbl>
      <w:tblPr>
        <w:tblW w:type="auto" w:w="0"/>
        <w:jc w:val="center"/>
        <w:tblLayout w:type="fixed"/>
        <w:tblLook w:firstColumn="1" w:firstRow="1" w:lastColumn="0" w:lastRow="0" w:noHBand="0" w:noVBand="1" w:val="04A0"/>
      </w:tblPr>
      <w:tblGrid>
        <w:gridCol w:w="1944"/>
        <w:gridCol w:w="4176"/>
        <w:gridCol w:w="4104"/>
      </w:tblGrid>
      <w:tr>
        <w:trPr>
          <w:cantSplit/>
          <w:tblHeader/>
        </w:trPr>
        <w:tc>
          <w:tcPr>
            <w:tcW w:type="dxa" w:w="1944"/>
            <w:vAlign w:val="center"/>
            <w:shd w:fill="004D73"/>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color w:val="FFFFFF"/>
                <w:sz w:val="20"/>
              </w:rPr>
              <w:t>Feature</w:t>
            </w:r>
          </w:p>
        </w:tc>
        <w:tc>
          <w:tcPr>
            <w:tcW w:type="dxa" w:w="4176"/>
            <w:vAlign w:val="center"/>
            <w:shd w:fill="004D73"/>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color w:val="FFFFFF"/>
                <w:sz w:val="20"/>
              </w:rPr>
              <w:t>Definition or interpretation</w:t>
            </w:r>
          </w:p>
        </w:tc>
        <w:tc>
          <w:tcPr>
            <w:tcW w:type="dxa" w:w="4104"/>
            <w:vAlign w:val="center"/>
            <w:shd w:fill="004D73"/>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color w:val="FFFFFF"/>
                <w:sz w:val="20"/>
              </w:rPr>
              <w:t>Important limitation</w:t>
            </w:r>
          </w:p>
        </w:tc>
      </w:tr>
      <w:tr>
        <w:trPr>
          <w:cantSplit/>
        </w:trPr>
        <w:tc>
          <w:tcPr>
            <w:tcW w:type="dxa" w:w="194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Spread in basis points</w:t>
            </w:r>
          </w:p>
        </w:tc>
        <w:tc>
          <w:tcPr>
            <w:tcW w:type="dxa" w:w="4176"/>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10,000 times spread divided by midpoint.</w:t>
            </w:r>
          </w:p>
        </w:tc>
        <w:tc>
          <w:tcPr>
            <w:tcW w:type="dxa" w:w="410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Local displayed spread is not a guaranteed routed execution cost.</w:t>
            </w:r>
          </w:p>
        </w:tc>
      </w:tr>
      <w:tr>
        <w:trPr>
          <w:cantSplit/>
        </w:trPr>
        <w:tc>
          <w:tcPr>
            <w:tcW w:type="dxa" w:w="1944"/>
            <w:vAlign w:val="center"/>
            <w:shd w:fill="F0F5F8"/>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Displayed imbalance</w:t>
            </w:r>
          </w:p>
        </w:tc>
        <w:tc>
          <w:tcPr>
            <w:tcW w:type="dxa" w:w="4176"/>
            <w:vAlign w:val="center"/>
            <w:shd w:fill="F0F5F8"/>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Bid size minus ask size, divided by their sum.</w:t>
            </w:r>
          </w:p>
        </w:tc>
        <w:tc>
          <w:tcPr>
            <w:tcW w:type="dxa" w:w="4104"/>
            <w:vAlign w:val="center"/>
            <w:shd w:fill="F0F5F8"/>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Displayed size can change or cancel before an order arrives.</w:t>
            </w:r>
          </w:p>
        </w:tc>
      </w:tr>
      <w:tr>
        <w:trPr>
          <w:cantSplit/>
        </w:trPr>
        <w:tc>
          <w:tcPr>
            <w:tcW w:type="dxa" w:w="194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Weighted midpoint offset</w:t>
            </w:r>
          </w:p>
        </w:tc>
        <w:tc>
          <w:tcPr>
            <w:tcW w:type="dxa" w:w="4176"/>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Weighted midpoint minus midpoint, optionally in basis points.</w:t>
            </w:r>
          </w:p>
        </w:tc>
        <w:tc>
          <w:tcPr>
            <w:tcW w:type="dxa" w:w="410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A feature, not a directly executable price.</w:t>
            </w:r>
          </w:p>
        </w:tc>
      </w:tr>
      <w:tr>
        <w:trPr>
          <w:cantSplit/>
        </w:trPr>
        <w:tc>
          <w:tcPr>
            <w:tcW w:type="dxa" w:w="1944"/>
            <w:vAlign w:val="center"/>
            <w:shd w:fill="F0F5F8"/>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Order flow imbalance</w:t>
            </w:r>
          </w:p>
        </w:tc>
        <w:tc>
          <w:tcPr>
            <w:tcW w:type="dxa" w:w="4176"/>
            <w:vAlign w:val="center"/>
            <w:shd w:fill="F0F5F8"/>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Signed contributions from changes in best prices and sizes.</w:t>
            </w:r>
          </w:p>
        </w:tc>
        <w:tc>
          <w:tcPr>
            <w:tcW w:type="dxa" w:w="4104"/>
            <w:vAlign w:val="center"/>
            <w:shd w:fill="F0F5F8"/>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Requires clean consecutive quotes and a consistent definition.</w:t>
            </w:r>
          </w:p>
        </w:tc>
      </w:tr>
      <w:tr>
        <w:trPr>
          <w:cantSplit/>
        </w:trPr>
        <w:tc>
          <w:tcPr>
            <w:tcW w:type="dxa" w:w="194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Signed trade pressure</w:t>
            </w:r>
          </w:p>
        </w:tc>
        <w:tc>
          <w:tcPr>
            <w:tcW w:type="dxa" w:w="4176"/>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Approximate buyer-initiated minus seller-initiated volume.</w:t>
            </w:r>
          </w:p>
        </w:tc>
        <w:tc>
          <w:tcPr>
            <w:tcW w:type="dxa" w:w="410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Aggressor side is inferred and uncertain with IEX-only quotes.</w:t>
            </w:r>
          </w:p>
        </w:tc>
      </w:tr>
      <w:tr>
        <w:trPr>
          <w:cantSplit/>
        </w:trPr>
        <w:tc>
          <w:tcPr>
            <w:tcW w:type="dxa" w:w="1944"/>
            <w:vAlign w:val="center"/>
            <w:shd w:fill="F0F5F8"/>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Activity rate</w:t>
            </w:r>
          </w:p>
        </w:tc>
        <w:tc>
          <w:tcPr>
            <w:tcW w:type="dxa" w:w="4176"/>
            <w:vAlign w:val="center"/>
            <w:shd w:fill="F0F5F8"/>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Eligible quote or trade events per fixed interval.</w:t>
            </w:r>
          </w:p>
        </w:tc>
        <w:tc>
          <w:tcPr>
            <w:tcW w:type="dxa" w:w="4104"/>
            <w:vAlign w:val="center"/>
            <w:shd w:fill="F0F5F8"/>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Missing messages and reconnects can mimic low activity.</w:t>
            </w:r>
          </w:p>
        </w:tc>
      </w:tr>
      <w:tr>
        <w:trPr>
          <w:cantSplit/>
        </w:trPr>
        <w:tc>
          <w:tcPr>
            <w:tcW w:type="dxa" w:w="194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Short return and volatility</w:t>
            </w:r>
          </w:p>
        </w:tc>
        <w:tc>
          <w:tcPr>
            <w:tcW w:type="dxa" w:w="4176"/>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Past midpoint return and its fluctuation scale.</w:t>
            </w:r>
          </w:p>
        </w:tc>
        <w:tc>
          <w:tcPr>
            <w:tcW w:type="dxa" w:w="4104"/>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Use fixed sampling and avoid counting repeated mids as new evidence.</w:t>
            </w:r>
          </w:p>
        </w:tc>
      </w:tr>
      <w:tr>
        <w:trPr>
          <w:cantSplit/>
        </w:trPr>
        <w:tc>
          <w:tcPr>
            <w:tcW w:type="dxa" w:w="1944"/>
            <w:vAlign w:val="center"/>
            <w:shd w:fill="F0F5F8"/>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Observation age</w:t>
            </w:r>
          </w:p>
        </w:tc>
        <w:tc>
          <w:tcPr>
            <w:tcW w:type="dxa" w:w="4176"/>
            <w:vAlign w:val="center"/>
            <w:shd w:fill="F0F5F8"/>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Receipt-time age and provider-time alignment.</w:t>
            </w:r>
          </w:p>
        </w:tc>
        <w:tc>
          <w:tcPr>
            <w:tcW w:type="dxa" w:w="4104"/>
            <w:vAlign w:val="center"/>
            <w:shd w:fill="F0F5F8"/>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Clock differences and timestamp precision affect interpretation.</w:t>
            </w:r>
          </w:p>
        </w:tc>
      </w:tr>
    </w:tbl>
    <w:p>
      <w:pPr>
        <w:spacing w:after="20"/>
      </w:pPr>
    </w:p>
    <w:p>
      <w:pPr>
        <w:pStyle w:val="Heading2"/>
      </w:pPr>
      <w:r>
        <w:t>A best quote order flow imbalance definition</w:t>
      </w:r>
    </w:p>
    <w:p>
      <w:r>
        <w:t>For consecutive valid quotes, build an event contribution as follows. On the bid side, add the new bid size when the new bid price is at least the prior bid; subtract the prior bid size when the new bid is at most the prior bid. On the ask side, subtract the new ask size when the new ask is at most the prior ask; add the prior ask size when the new ask is at least the prior ask. Both comparisons apply at equal prices, producing a size difference. Sum contributions over a fixed interval. [U1]</w:t>
      </w:r>
    </w:p>
    <w:p>
      <w:r>
        <w:t>This captures price and size changes; it is not simply current imbalance. The original research establishes a contemporaneous relationship with price changes. A forecasting experiment must use past flow to predict a strictly subsequent outcome. [U1]</w:t>
      </w:r>
    </w:p>
    <w:p>
      <w:pPr>
        <w:pStyle w:val="Heading2"/>
      </w:pPr>
      <w:r>
        <w:t>Trade signing requires a documented approximation</w:t>
      </w:r>
    </w:p>
    <w:p>
      <w:r>
        <w:t>One teaching rule compares a trade with a usable quote midpoint observed before the trade: above suggests buyer initiation, below suggests seller initiation, equal remains unknown. Do not pair a trade with a future quote. Single-venue observations, timing and reporting conditions can make this classification wrong; retain an unknown category.</w:t>
      </w:r>
    </w:p>
    <w:p>
      <w:pPr>
        <w:pStyle w:val="Heading1"/>
        <w:pageBreakBefore/>
      </w:pPr>
      <w:r>
        <w:t>5  Basic algorithm one imbalance forecasting</w:t>
      </w:r>
    </w:p>
    <w:p>
      <w:r>
        <w:t>Start with a logistic regression or a simple binned imbalance model. Logistic regression maps features to a probability between zero and one. Queue-imbalance research demonstrates predictive relationships for the next midpoint movement in its Nasdaq sample; the IEX experiment below is a different dataset and horizon. [U2]</w:t>
      </w:r>
    </w:p>
    <w:p>
      <w:pPr>
        <w:ind w:left="288" w:hanging="288"/>
      </w:pPr>
      <w:r>
        <w:rPr>
          <w:b/>
        </w:rPr>
        <w:t xml:space="preserve">1. </w:t>
      </w:r>
      <w:r>
        <w:t>Record valid quotes. At a fixed decision grid, such as each second, select the most recent quote actually received by that time. Require a maximum age, positive spread and a positive sum of displayed sizes.</w:t>
      </w:r>
    </w:p>
    <w:p>
      <w:pPr>
        <w:ind w:left="288" w:hanging="288"/>
      </w:pPr>
      <w:r>
        <w:rPr>
          <w:b/>
        </w:rPr>
        <w:t xml:space="preserve">2. </w:t>
      </w:r>
      <w:r>
        <w:t>Save features: displayed imbalance, spread in basis points and recent midpoint return. Do not use later quotes to repair the current decision retrospectively.</w:t>
      </w:r>
    </w:p>
    <w:p>
      <w:pPr>
        <w:ind w:left="288" w:hanging="288"/>
      </w:pPr>
      <w:r>
        <w:rPr>
          <w:b/>
        </w:rPr>
        <w:t xml:space="preserve">3. </w:t>
      </w:r>
      <w:r>
        <w:t>For a first supervised experiment, label the midpoint change over the next 60 seconds as up, down or unchanged. Define a small neutral band if used, and keep its meaning fixed. Missing usable future observations create missing labels, not unchanged prices.</w:t>
      </w:r>
    </w:p>
    <w:p>
      <w:pPr>
        <w:ind w:left="288" w:hanging="288"/>
      </w:pPr>
      <w:r>
        <w:rPr>
          <w:b/>
        </w:rPr>
        <w:t xml:space="preserve">4. </w:t>
      </w:r>
      <w:r>
        <w:t>Fit the model on earlier days and validate on later days. If using a binary model on non-neutral outcomes, report its conditional population and the share excluded. It does not directly predict the unconditional probability of profit.</w:t>
      </w:r>
    </w:p>
    <w:p>
      <w:pPr>
        <w:ind w:left="288" w:hanging="288"/>
      </w:pPr>
      <w:r>
        <w:rPr>
          <w:b/>
        </w:rPr>
        <w:t xml:space="preserve">5. </w:t>
      </w:r>
      <w:r>
        <w:t>Translate predictions into trades only with a separately estimated move-size or expected executable P&amp;L model. A high probability of a tiny price increase can still be unprofitable.</w:t>
      </w:r>
    </w:p>
    <w:p>
      <w:pPr>
        <w:ind w:left="288" w:hanging="288"/>
      </w:pPr>
      <w:r>
        <w:rPr>
          <w:b/>
        </w:rPr>
        <w:t xml:space="preserve">6. </w:t>
      </w:r>
      <w:r>
        <w:t>Allow one position per symbol. Exit at the specified horizon, a risk limit or the session cutoff. Use actual orders and fills to track the position.</w:t>
      </w:r>
    </w:p>
    <w:p>
      <w:pPr>
        <w:pStyle w:val="Heading2"/>
      </w:pPr>
      <w:r>
        <w:t>A numerical cost check</w:t>
      </w:r>
    </w:p>
    <w:p>
      <w:r>
        <w:t>Suppose the bid is $100.00 and ask $100.02. A model predicts that after 60 seconds the midpoint will be $100.04 and the spread will remain $0.02. A marketable long enters at $100.02 and could exit near the future bid of $100.03: one cent per share before other costs. If the future midpoint is only $100.02, the exit bid is $100.01 and the trade loses one cent.</w:t>
      </w:r>
    </w:p>
    <w:p>
      <w:r>
        <w:t>This calculation illustrates the distinction between predicting a midpoint and predicting a profitable executable round trip. Validate predicted magnitudes, probabilities and trading outcomes separately.</w:t>
      </w:r>
    </w:p>
    <w:p>
      <w:pPr>
        <w:pStyle w:val="Heading1"/>
        <w:pageBreakBefore/>
      </w:pPr>
      <w:r>
        <w:t>6  Two other basic algorithms to compare</w:t>
      </w:r>
    </w:p>
    <w:p>
      <w:pPr>
        <w:pStyle w:val="Heading2"/>
      </w:pPr>
      <w:r>
        <w:t>Algorithm two lagged order flow prediction</w:t>
      </w:r>
    </w:p>
    <w:p>
      <w:r>
        <w:t>Aggregate best-quote order flow imbalance over the prior ten seconds. Normalize by a trailing depth measure with a positive floor. Fit a small linear regression to the midpoint return over the next 60 seconds, optionally adding current spread and recent return.</w:t>
      </w:r>
    </w:p>
    <w:p>
      <w:pPr>
        <w:ind w:left="288" w:hanging="288"/>
      </w:pPr>
      <w:r>
        <w:rPr>
          <w:b/>
        </w:rPr>
        <w:t xml:space="preserve">1. </w:t>
      </w:r>
      <w:r>
        <w:t>Compare the flow model with a past-return-only model on the same decisions and chronological folds.</w:t>
      </w:r>
    </w:p>
    <w:p>
      <w:pPr>
        <w:ind w:left="288" w:hanging="288"/>
      </w:pPr>
      <w:r>
        <w:rPr>
          <w:b/>
        </w:rPr>
        <w:t xml:space="preserve">2. </w:t>
      </w:r>
      <w:r>
        <w:t>Trade only when the predicted executable gain exceeds the modeled cost and risk buffer. Use a fixed horizon and bounded exposure.</w:t>
      </w:r>
    </w:p>
    <w:p>
      <w:pPr>
        <w:ind w:left="288" w:hanging="288"/>
      </w:pPr>
      <w:r>
        <w:rPr>
          <w:b/>
        </w:rPr>
        <w:t xml:space="preserve">3. </w:t>
      </w:r>
      <w:r>
        <w:t>Repeat at a small predefined set of horizons to measure signal decay. Report the unsuccessful horizons too.</w:t>
      </w:r>
    </w:p>
    <w:p>
      <w:r>
        <w:t>For an elementary teaching calculation, positive predicted movement favors a candidate long and negative movement a candidate short. The sign and persistence of the relationship must be learned or tested; do not assume positive observed flow guarantees future continuation.</w:t>
      </w:r>
    </w:p>
    <w:p>
      <w:pPr>
        <w:pStyle w:val="Heading2"/>
      </w:pPr>
      <w:r>
        <w:t>Algorithm three temporary pressure reversal</w:t>
      </w:r>
    </w:p>
    <w:p>
      <w:r>
        <w:t>Measure an unusually large recent midpoint move. Test whether reversal is more likely when measured trade pressure weakens and spreads return toward normal. Start with a simple rule using trailing thresholds and a fixed short exit horizon.</w:t>
      </w:r>
    </w:p>
    <w:p>
      <w:pPr>
        <w:ind w:left="288" w:hanging="288"/>
      </w:pPr>
      <w:r>
        <w:rPr>
          <w:b/>
        </w:rPr>
        <w:t xml:space="preserve">1. </w:t>
      </w:r>
      <w:r>
        <w:t>Define the price move and pressure-weakening condition before evaluation. A weakening condition must be observable before entry.</w:t>
      </w:r>
    </w:p>
    <w:p>
      <w:pPr>
        <w:ind w:left="288" w:hanging="288"/>
      </w:pPr>
      <w:r>
        <w:rPr>
          <w:b/>
        </w:rPr>
        <w:t xml:space="preserve">2. </w:t>
      </w:r>
      <w:r>
        <w:t>For an extreme rise with weakening pressure, test a bounded candidate short; reverse the directions for an extreme fall. Skip unreliable or stale observations.</w:t>
      </w:r>
    </w:p>
    <w:p>
      <w:pPr>
        <w:ind w:left="288" w:hanging="288"/>
      </w:pPr>
      <w:r>
        <w:rPr>
          <w:b/>
        </w:rPr>
        <w:t xml:space="preserve">3. </w:t>
      </w:r>
      <w:r>
        <w:t>Compare with a price-move-only reversal baseline. Check whether the pressure feature improves net results or merely reduces the number of trades.</w:t>
      </w:r>
    </w:p>
    <w:p>
      <w:r>
        <w:t>This is a proposed hypothesis, not a verified consequence of every large move. Information-driven movements can persist. Transaction-price bid-ask bounce can create apparent reversals without an executable opportunity; examine midpoint outcomes and entry/exit prices. [U3]</w:t>
      </w:r>
    </w:p>
    <w:p>
      <w:pPr>
        <w:pStyle w:val="Heading2"/>
      </w:pPr>
      <w:r>
        <w:t>Keep market making as a later branch</w:t>
      </w:r>
    </w:p>
    <w:p>
      <w:r>
        <w:t>Posting both bids and asks introduces inventory risk, queue uncertainty, cancel/replace races and adverse selection. It is a substantial research program. Begin with directional signal evaluation so the team can isolate prediction quality before relying on passive fills. [U4]</w:t>
      </w:r>
    </w:p>
    <w:p>
      <w:pPr>
        <w:pStyle w:val="Heading1"/>
        <w:pageBreakBefore/>
      </w:pPr>
      <w:r>
        <w:t>7  Volatility regimes lead lag and execution</w:t>
      </w:r>
    </w:p>
    <w:p>
      <w:pPr>
        <w:pStyle w:val="Heading2"/>
      </w:pPr>
      <w:r>
        <w:t>Volatility and liquidity forecasts</w:t>
      </w:r>
    </w:p>
    <w:p>
      <w:r>
        <w:t>Forecast the next interval’s midpoint volatility or spread using past returns, activity and clock time. Compare a rolling baseline with EWMA, then a small predictive model. Use the forecast to cap exposure or filter periods in which expected costs overwhelm the signal. Improved forecast accuracy needs a separate trading test. [VOL]</w:t>
      </w:r>
    </w:p>
    <w:p>
      <w:r>
        <w:t>Use a fixed sampling interval for volatility estimates. Event time and clock time answer different questions: ten quote updates might take milliseconds in a busy period and seconds in a quiet period. A per-event variance cannot be substituted for per-second variance without a model.</w:t>
      </w:r>
    </w:p>
    <w:p>
      <w:pPr>
        <w:pStyle w:val="Heading2"/>
      </w:pPr>
      <w:r>
        <w:t>Observable liquidity regimes</w:t>
      </w:r>
    </w:p>
    <w:p>
      <w:pPr>
        <w:pStyle w:val="ListBullet"/>
      </w:pPr>
      <w:r>
        <w:t>Define normal versus wide spreads relative to prior comparable clock times.</w:t>
      </w:r>
    </w:p>
    <w:p>
      <w:pPr>
        <w:pStyle w:val="ListBullet"/>
      </w:pPr>
      <w:r>
        <w:t>Track fresh-data activity, volatility and quote stability. A disconnected feed is a data failure, not a quiet market regime.</w:t>
      </w:r>
    </w:p>
    <w:p>
      <w:pPr>
        <w:pStyle w:val="ListBullet"/>
      </w:pPr>
      <w:r>
        <w:t>Test one rule that blocks entries during unfavorable liquidity conditions. Keep the exit and emergency procedures active.</w:t>
      </w:r>
    </w:p>
    <w:p>
      <w:pPr>
        <w:pStyle w:val="ListBullet"/>
      </w:pPr>
      <w:r>
        <w:t>If using a hidden-state model, fit on earlier data and evaluate with filtered states available at each decision.</w:t>
      </w:r>
    </w:p>
    <w:p>
      <w:pPr>
        <w:pStyle w:val="Heading2"/>
      </w:pPr>
      <w:r>
        <w:t>Cross asset information</w:t>
      </w:r>
    </w:p>
    <w:p>
      <w:r>
        <w:t>With the relative-value team, compare own-stock features against the same model with lagged sector ETF returns or order flow. Cross-asset research finds rapidly decaying predictive effects in richer order-book data. Your IEX features are a limited adaptation. Preserve cross-symbol alignment and staleness diagnostics. [U5]</w:t>
      </w:r>
    </w:p>
    <w:p>
      <w:pPr>
        <w:pStyle w:val="Heading2"/>
      </w:pPr>
      <w:r>
        <w:t>Decide whether latency work matters</w:t>
      </w:r>
    </w:p>
    <w:p>
      <w:pPr>
        <w:ind w:left="288" w:hanging="288"/>
      </w:pPr>
      <w:r>
        <w:rPr>
          <w:b/>
        </w:rPr>
        <w:t xml:space="preserve">1. </w:t>
      </w:r>
      <w:r>
        <w:t>Measure provider-to-receipt age when clock quality permits, local processing time, decision-to-submit time and broker acknowledgment or fill intervals separately.</w:t>
      </w:r>
    </w:p>
    <w:p>
      <w:pPr>
        <w:ind w:left="288" w:hanging="288"/>
      </w:pPr>
      <w:r>
        <w:rPr>
          <w:b/>
        </w:rPr>
        <w:t xml:space="preserve">2. </w:t>
      </w:r>
      <w:r>
        <w:t>Replay the same signals under measured and clearly labeled hypothetical delays. Test whether prediction value and net P&amp;L deteriorate.</w:t>
      </w:r>
    </w:p>
    <w:p>
      <w:pPr>
        <w:ind w:left="288" w:hanging="288"/>
      </w:pPr>
      <w:r>
        <w:rPr>
          <w:b/>
        </w:rPr>
        <w:t xml:space="preserve">3. </w:t>
      </w:r>
      <w:r>
        <w:t>Optimize only the component shown to affect the decision or execution outcome. Use docs/guides/LATENCY_BENCHMARK_AGENT_GUIDE.md for the platform benchmark.</w:t>
      </w:r>
    </w:p>
    <w:p>
      <w:r>
        <w:t>On the planned 2 vCPU and 8 GB AWS server, begin with bounded windows and lightweight inference. Train larger models elsewhere. A future Python service should have versioned features, timeout behavior and stale-response handling; the current synchronous evaluate method cannot wait for a network request. Coordinate an asynchronous integration with the platform team.</w:t>
      </w:r>
    </w:p>
    <w:p>
      <w:pPr>
        <w:pStyle w:val="Heading1"/>
        <w:pageBreakBefore/>
      </w:pPr>
      <w:r>
        <w:t>8  Backtesting and research evaluation</w:t>
      </w:r>
    </w:p>
    <w:p>
      <w:r>
        <w:t>Write the hypothesis, information available at decision time, entry rule, exit rule and failure condition before looking for favorable parameters. The first goal is a reproducible experiment whose outcome you can explain.</w:t>
      </w:r>
    </w:p>
    <w:p>
      <w:pPr>
        <w:pStyle w:val="Heading2"/>
      </w:pPr>
      <w:r>
        <w:t>Use time ordered evaluation</w:t>
      </w:r>
    </w:p>
    <w:p>
      <w:pPr>
        <w:ind w:left="288" w:hanging="288"/>
      </w:pPr>
      <w:r>
        <w:rPr>
          <w:b/>
        </w:rPr>
        <w:t xml:space="preserve">1. </w:t>
      </w:r>
      <w:r>
        <w:t>Reserve an earlier training period to estimate relationships, scaling and model coefficients. Use a later validation period to choose a small number of predefined alternatives.</w:t>
      </w:r>
    </w:p>
    <w:p>
      <w:pPr>
        <w:ind w:left="288" w:hanging="288"/>
      </w:pPr>
      <w:r>
        <w:rPr>
          <w:b/>
        </w:rPr>
        <w:t xml:space="preserve">2. </w:t>
      </w:r>
      <w:r>
        <w:t>Lock the strategy and evaluate it once on a later untouched test period. Use rolling or expanding walk-forward evaluation when sufficient history exists.</w:t>
      </w:r>
    </w:p>
    <w:p>
      <w:pPr>
        <w:ind w:left="288" w:hanging="288"/>
      </w:pPr>
      <w:r>
        <w:rPr>
          <w:b/>
        </w:rPr>
        <w:t xml:space="preserve">3. </w:t>
      </w:r>
      <w:r>
        <w:t>If labels use future returns, remove training observations whose outcome intervals cross a validation or test boundary. Keep all stocks from the same time period in the same time fold.</w:t>
      </w:r>
    </w:p>
    <w:p>
      <w:pPr>
        <w:ind w:left="288" w:hanging="288"/>
      </w:pPr>
      <w:r>
        <w:rPr>
          <w:b/>
        </w:rPr>
        <w:t xml:space="preserve">4. </w:t>
      </w:r>
      <w:r>
        <w:t>Record every attempted variant, including failed experiments. Repeatedly viewing the test period turns it into development data. Backtest selection can produce false discoveries. [RISK]</w:t>
      </w:r>
    </w:p>
    <w:p>
      <w:pPr>
        <w:pStyle w:val="Heading2"/>
      </w:pPr>
      <w:r>
        <w:t>Simulate what could actually be traded</w:t>
      </w:r>
    </w:p>
    <w:p>
      <w:r>
        <w:t>For a marketable long, buy near the available ask and sell near the available bid, plus separately justified fees and slippage. Reverse the sides for a short. If bid and ask fills already account for the spread, do not add the spread again. Bar-only tests require explicit cost assumptions and cannot validate second-by-second execution.</w:t>
      </w:r>
    </w:p>
    <w:p>
      <w:r>
        <w:t>Never assume a limit order fills because a bar touches its price. Account for order submission time, waiting, cancellation, partial fills and missed trades. If a stop and target both fall within one bar, their order is unknown; use a conservative documented policy or finer observations.</w:t>
      </w:r>
    </w:p>
    <w:p>
      <w:pPr>
        <w:pStyle w:val="Heading2"/>
      </w:pPr>
      <w:r>
        <w:t>Report performance and uncertainty</w:t>
      </w:r>
    </w:p>
    <w:p>
      <w:r>
        <w:t>Drawdown is the decline from a prior equity peak. Turnover measures how much you trade relative to capital. Sharpe compares average excess return with return variability; it is sensitive to sampling and dependence. Win rate alone ignores the size of gains and losses.</w:t>
      </w:r>
    </w:p>
    <w:p>
      <w:pPr>
        <w:pStyle w:val="ListBullet"/>
      </w:pPr>
      <w:r>
        <w:t>Report net P&amp;L, return on allocated capital, maximum drawdown, gross exposure, turnover, completed round trips, holding time and cost per trade. Include unrealized exposure at the end.</w:t>
      </w:r>
    </w:p>
    <w:p>
      <w:pPr>
        <w:pStyle w:val="ListBullet"/>
      </w:pPr>
      <w:r>
        <w:t>Calculate comparable daily returns from the full equity ledger. Use the same trading-session sampling and capital denominator across teams. A high annualized Sharpe from a short sample is unstable.</w:t>
      </w:r>
    </w:p>
    <w:p>
      <w:pPr>
        <w:pStyle w:val="ListBullet"/>
      </w:pPr>
      <w:r>
        <w:t>Show results by day, symbol and time of day. Include losing periods, rejected signals, missing data and parameter sensitivity.</w:t>
      </w:r>
    </w:p>
    <w:p>
      <w:pPr>
        <w:pStyle w:val="ListBullet"/>
      </w:pPr>
      <w:r>
        <w:t>Stress costs and execution delays using measurements or clearly labeled scenarios. Report the point at which the apparent advantage disappears.</w:t>
      </w:r>
    </w:p>
    <w:p>
      <w:r>
        <w:t>Team-specific checks: evaluate directional accuracy against a majority-class baseline, probability calibration and log loss when relevant, magnitude prediction error, unchanged-outcome frequency and net P&amp;L. Group uncertainty estimates by day or another justified dependence block. Report performance versus delay, spread and quote age. Prediction samples every second are not independent observations.</w:t>
      </w:r>
    </w:p>
    <w:p>
      <w:pPr>
        <w:pStyle w:val="Heading1"/>
        <w:pageBreakBefore/>
      </w:pPr>
      <w:r>
        <w:t>9  Risk controls and tests that matter</w:t>
      </w:r>
    </w:p>
    <w:p>
      <w:pPr>
        <w:pStyle w:val="Heading2"/>
      </w:pPr>
      <w:r>
        <w:t>Risk rules to specify</w:t>
      </w:r>
    </w:p>
    <w:p>
      <w:pPr>
        <w:pStyle w:val="ListBullet"/>
      </w:pPr>
      <w:r>
        <w:t>Reject invalid or stale quotes and skip zero-size denominators. Define behavior for locked or crossed quotes instead of silently repairing them.</w:t>
      </w:r>
    </w:p>
    <w:p>
      <w:pPr>
        <w:pStyle w:val="ListBullet"/>
      </w:pPr>
      <w:r>
        <w:t>Cap position size, gross exposure, order rate and working orders. Pending buys and sells affect potential exposure.</w:t>
      </w:r>
    </w:p>
    <w:p>
      <w:pPr>
        <w:pStyle w:val="ListBullet"/>
      </w:pPr>
      <w:r>
        <w:t>Set maximum holding time, loss limits and session cutoffs. Cancel working orders and verify the resulting inventory.</w:t>
      </w:r>
    </w:p>
    <w:p>
      <w:pPr>
        <w:pStyle w:val="ListBullet"/>
      </w:pPr>
      <w:r>
        <w:t>After a reconnect, rebuild or invalidate feature windows and reconcile positions before new entries.</w:t>
      </w:r>
    </w:p>
    <w:p>
      <w:pPr>
        <w:pStyle w:val="ListBullet"/>
      </w:pPr>
      <w:r>
        <w:t>For passive orders, define timeout, cancellation acknowledgment and late-fill behavior. Never treat cancellation requested as cancellation completed.</w:t>
      </w:r>
    </w:p>
    <w:p>
      <w:pPr>
        <w:pStyle w:val="ListBullet"/>
      </w:pPr>
      <w:r>
        <w:t>Model adverse selection: inspect midpoint movement after fills, especially when a passive order fills just before the market moves against it.</w:t>
      </w:r>
    </w:p>
    <w:p>
      <w:pPr>
        <w:pStyle w:val="Heading2"/>
      </w:pPr>
      <w:r>
        <w:t>Small deterministic tests</w:t>
      </w:r>
    </w:p>
    <w:tbl>
      <w:tblPr>
        <w:tblW w:type="auto" w:w="0"/>
        <w:jc w:val="center"/>
        <w:tblLayout w:type="fixed"/>
        <w:tblLook w:firstColumn="1" w:firstRow="1" w:lastColumn="0" w:lastRow="0" w:noHBand="0" w:noVBand="1" w:val="04A0"/>
      </w:tblPr>
      <w:tblGrid>
        <w:gridCol w:w="3168"/>
        <w:gridCol w:w="7056"/>
      </w:tblGrid>
      <w:tr>
        <w:trPr>
          <w:cantSplit/>
          <w:tblHeader/>
        </w:trPr>
        <w:tc>
          <w:tcPr>
            <w:tcW w:type="dxa" w:w="3168"/>
            <w:vAlign w:val="center"/>
            <w:shd w:fill="004D73"/>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color w:val="FFFFFF"/>
                <w:sz w:val="20"/>
              </w:rPr>
              <w:t>Scenario</w:t>
            </w:r>
          </w:p>
        </w:tc>
        <w:tc>
          <w:tcPr>
            <w:tcW w:type="dxa" w:w="7056"/>
            <w:vAlign w:val="center"/>
            <w:shd w:fill="004D73"/>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color w:val="FFFFFF"/>
                <w:sz w:val="20"/>
              </w:rPr>
              <w:t>Expected behavior</w:t>
            </w:r>
          </w:p>
        </w:tc>
      </w:tr>
      <w:tr>
        <w:trPr>
          <w:cantSplit/>
        </w:trPr>
        <w:tc>
          <w:tcPr>
            <w:tcW w:type="dxa" w:w="3168"/>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Bid size 300 ask size 100</w:t>
            </w:r>
          </w:p>
        </w:tc>
        <w:tc>
          <w:tcPr>
            <w:tcW w:type="dxa" w:w="7056"/>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Imbalance is 0.5; weighted midpoint is toward the ask.</w:t>
            </w:r>
          </w:p>
        </w:tc>
      </w:tr>
      <w:tr>
        <w:trPr>
          <w:cantSplit/>
        </w:trPr>
        <w:tc>
          <w:tcPr>
            <w:tcW w:type="dxa" w:w="3168"/>
            <w:vAlign w:val="center"/>
            <w:shd w:fill="F0F5F8"/>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Same latest quote on a trade event</w:t>
            </w:r>
          </w:p>
        </w:tc>
        <w:tc>
          <w:tcPr>
            <w:tcW w:type="dxa" w:w="7056"/>
            <w:vAlign w:val="center"/>
            <w:shd w:fill="F0F5F8"/>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Do not ingest the quote a second time.</w:t>
            </w:r>
          </w:p>
        </w:tc>
      </w:tr>
      <w:tr>
        <w:trPr>
          <w:cantSplit/>
        </w:trPr>
        <w:tc>
          <w:tcPr>
            <w:tcW w:type="dxa" w:w="3168"/>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Identical millisecond timestamps</w:t>
            </w:r>
          </w:p>
        </w:tc>
        <w:tc>
          <w:tcPr>
            <w:tcW w:type="dxa" w:w="7056"/>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Preserve source identity or ordering; do not assume all events are duplicates.</w:t>
            </w:r>
          </w:p>
        </w:tc>
      </w:tr>
      <w:tr>
        <w:trPr>
          <w:cantSplit/>
        </w:trPr>
        <w:tc>
          <w:tcPr>
            <w:tcW w:type="dxa" w:w="3168"/>
            <w:vAlign w:val="center"/>
            <w:shd w:fill="F0F5F8"/>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Future quote available offline</w:t>
            </w:r>
          </w:p>
        </w:tc>
        <w:tc>
          <w:tcPr>
            <w:tcW w:type="dxa" w:w="7056"/>
            <w:vAlign w:val="center"/>
            <w:shd w:fill="F0F5F8"/>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It cannot become a feature or trade-sign reference for an earlier decision.</w:t>
            </w:r>
          </w:p>
        </w:tc>
      </w:tr>
      <w:tr>
        <w:trPr>
          <w:cantSplit/>
        </w:trPr>
        <w:tc>
          <w:tcPr>
            <w:tcW w:type="dxa" w:w="3168"/>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Missing future observation</w:t>
            </w:r>
          </w:p>
        </w:tc>
        <w:tc>
          <w:tcPr>
            <w:tcW w:type="dxa" w:w="7056"/>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The supervised outcome remains missing.</w:t>
            </w:r>
          </w:p>
        </w:tc>
      </w:tr>
      <w:tr>
        <w:trPr>
          <w:cantSplit/>
        </w:trPr>
        <w:tc>
          <w:tcPr>
            <w:tcW w:type="dxa" w:w="3168"/>
            <w:vAlign w:val="center"/>
            <w:shd w:fill="F0F5F8"/>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Price change below costs</w:t>
            </w:r>
          </w:p>
        </w:tc>
        <w:tc>
          <w:tcPr>
            <w:tcW w:type="dxa" w:w="7056"/>
            <w:vAlign w:val="center"/>
            <w:shd w:fill="F0F5F8"/>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A directional prediction alone does not force an entry.</w:t>
            </w:r>
          </w:p>
        </w:tc>
      </w:tr>
      <w:tr>
        <w:trPr>
          <w:cantSplit/>
        </w:trPr>
        <w:tc>
          <w:tcPr>
            <w:tcW w:type="dxa" w:w="3168"/>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Cancel request then late fill</w:t>
            </w:r>
          </w:p>
        </w:tc>
        <w:tc>
          <w:tcPr>
            <w:tcW w:type="dxa" w:w="7056"/>
            <w:vAlign w:val="center"/>
            <w:shd w:fill="FFFFFF"/>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Reconcile actual exposure; do not create a duplicate replacement.</w:t>
            </w:r>
          </w:p>
        </w:tc>
      </w:tr>
      <w:tr>
        <w:trPr>
          <w:cantSplit/>
        </w:trPr>
        <w:tc>
          <w:tcPr>
            <w:tcW w:type="dxa" w:w="3168"/>
            <w:vAlign w:val="center"/>
            <w:shd w:fill="F0F5F8"/>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Session exit or service timeout</w:t>
            </w:r>
          </w:p>
        </w:tc>
        <w:tc>
          <w:tcPr>
            <w:tcW w:type="dxa" w:w="7056"/>
            <w:vAlign w:val="center"/>
            <w:shd w:fill="F0F5F8"/>
            <w:tcBorders>
              <w:top w:val="single" w:sz="4" w:color="D9D9D9"/>
              <w:left w:val="single" w:sz="4" w:color="D9D9D9"/>
              <w:bottom w:val="single" w:sz="4" w:color="D9D9D9"/>
              <w:right w:val="single" w:sz="4" w:color="D9D9D9"/>
              <w:insideH w:val="single" w:sz="4" w:color="D9D9D9"/>
              <w:insideV w:val="single" w:sz="4" w:color="D9D9D9"/>
            </w:tcBorders>
            <w:tcMar>
              <w:top w:w="85" w:type="dxa"/>
              <w:left w:w="110" w:type="dxa"/>
              <w:bottom w:w="85" w:type="dxa"/>
              <w:right w:w="110" w:type="dxa"/>
            </w:tcMar>
          </w:tcPr>
          <w:p>
            <w:pPr>
              <w:spacing w:after="20" w:line="250" w:lineRule="auto"/>
            </w:pPr>
            <w:r>
              <w:rPr>
                <w:b w:val="0"/>
                <w:color w:val="000000"/>
                <w:sz w:val="20"/>
              </w:rPr>
              <w:t>Apply the specified exit or stale-prediction policy.</w:t>
            </w:r>
          </w:p>
        </w:tc>
      </w:tr>
    </w:tbl>
    <w:p>
      <w:pPr>
        <w:spacing w:after="20"/>
      </w:pPr>
    </w:p>
    <w:p>
      <w:pPr>
        <w:pStyle w:val="Heading2"/>
      </w:pPr>
      <w:r>
        <w:t>Audit features before training</w:t>
      </w:r>
    </w:p>
    <w:p>
      <w:r>
        <w:t>Hand-calculate imbalance, weighted midpoint and order flow contributions on a tiny quote sequence. Check an equal-price size change, bid improvement, ask deterioration and zero size. Then replay the same sequence twice and compare decisions. These tests establish calculation and timing correctness, not profitability.</w:t>
      </w:r>
    </w:p>
    <w:p>
      <w:pPr>
        <w:pStyle w:val="Heading1"/>
        <w:pageBreakBefore/>
      </w:pPr>
      <w:r>
        <w:t>10  Building on the trading platform</w:t>
      </w:r>
    </w:p>
    <w:p>
      <w:r>
        <w:t>Repository snapshot checked on October 13 2026. Recheck these files when implementing because registrations and interfaces can change. Current application code takes precedence over historical documentation.</w:t>
      </w:r>
    </w:p>
    <w:p>
      <w:pPr>
        <w:pStyle w:val="Heading2"/>
      </w:pPr>
      <w:r>
        <w:t>Start with the shared local environment</w:t>
      </w:r>
    </w:p>
    <w:p>
      <w:r>
        <w:t>Install Node.js 22 or newer and Docker Desktop. From the repository root, use the following sequence. Keep Docker running. Consult docs/guides/local-development.md for credentials, cached data and troubleshooting.</w:t>
      </w:r>
    </w:p>
    <w:p>
      <w:pPr>
        <w:pStyle w:val="Code"/>
        <w:keepLines/>
      </w:pPr>
      <w:r>
        <w:t>npm install</w:t>
        <w:br/>
        <w:t>npm run setup</w:t>
        <w:br/>
        <w:t>npm run dev:stack</w:t>
        <w:br/>
        <w:t>npm run doctor</w:t>
      </w:r>
    </w:p>
    <w:p>
      <w:r>
        <w:t>The local runner defaults to EXECUTION_TARGET=sim. This is local simulation, not orders sent to Alpaca paper. Cached bars still have to be available; setup alone does not provide historical datasets. The platform team should distribute a small, versioned teaching dataset before the first workshop.</w:t>
      </w:r>
    </w:p>
    <w:p>
      <w:r>
        <w:t>Live data and Alpaca paper testing use each developer's own keys through the documented setup. LOCAL_STREAM_DATA=1 enables the local IEX stream. EXECUTION_TARGET=alpaca-paper uses a personal paper account when configured. Keep secrets out of Git and preserve the protected club-account checks.</w:t>
      </w:r>
    </w:p>
    <w:p>
      <w:pPr>
        <w:pStyle w:val="Heading2"/>
      </w:pPr>
      <w:r>
        <w:t>Use the strategy contract</w:t>
      </w:r>
    </w:p>
    <w:p>
      <w:r>
        <w:t>backend/src/strategies/base/strategy.ts defines IStrategy and BaseStrategy. evaluate(context) is synchronous and returns StrategySignal or null. It reads symbolState, portfolioState and orderState; it must be fast and must not call external APIs, open WebSockets, or write directly to the database.</w:t>
      </w:r>
    </w:p>
    <w:p>
      <w:r>
        <w:t>Keep indicator windows and strategy memory in the strategy or reusable indicator services. Emit a signal and let the orchestrator, risk layer and execution layer handle orders. A signal is an intention; order acknowledgment and actual fills determine exposure.</w:t>
      </w:r>
    </w:p>
    <w:p>
      <w:r>
        <w:t>evaluate can run on quotes, trades and bars. Process each new observation only once. Bar strategies need an explicit new-completed-bar guard. A quote model must not count the same latest quote again when a trade triggers evaluation.</w:t>
      </w:r>
    </w:p>
    <w:p>
      <w:r>
        <w:t>Existing helpers are in backend/src/services/indicators, including SMA, EMA, RSI, volatility, z-score, OLS and cointegration modules. Read their formulas, units and edge-case behavior before reusing them. A helper's presence does not establish that it matches your research definition.</w:t>
      </w:r>
    </w:p>
    <w:p>
      <w:r>
        <w:t>backend/src/adapters/alpaca/normalizer.ts already computes imbalance and microPrice. However, quote sizes are copied without a unit conversion, the quote schema uses a single exchange field, and numeric timestamps are milliseconds. Audit raw bid/ask exchange fields, size units and ordering before research. SymbolState.onBar overwrites latestMid with the bar close; use a validated latestQuote for a quote model.</w:t>
      </w:r>
    </w:p>
    <w:p>
      <w:pPr>
        <w:pStyle w:val="Heading1"/>
        <w:pageBreakBefore/>
      </w:pPr>
      <w:r>
        <w:t>11  Implementation sequence and team deliverables</w:t>
      </w:r>
    </w:p>
    <w:p>
      <w:pPr>
        <w:pStyle w:val="Heading2"/>
      </w:pPr>
      <w:r>
        <w:t>Confirm the missing infrastructure first</w:t>
      </w:r>
    </w:p>
    <w:p>
      <w:r>
        <w:t>The inspected backtest factory enables only pairs_trading, and the historical loader shown in the platform loads bars. A bar fallback is not a valid quote-level backtest. Coordinate quote/trade recording, deterministic replay, event ordering and a suitable fill model before making short-horizon performance claims.</w:t>
      </w:r>
    </w:p>
    <w:p>
      <w:r>
        <w:t>The market-making class exists, but the inspected runtime STRATEGY_FACTORY does not register it. Its code also flags a known volatility-units issue. Treat it as material to review, not a production-ready strategy or a substitute for directional forecasting. See docs/strategies/avellaneda-stoikov.md and the current class comments.</w:t>
      </w:r>
    </w:p>
    <w:p>
      <w:pPr>
        <w:pStyle w:val="Heading2"/>
      </w:pPr>
      <w:r>
        <w:t>Build in this order</w:t>
      </w:r>
    </w:p>
    <w:p>
      <w:pPr>
        <w:ind w:left="288" w:hanging="288"/>
      </w:pPr>
      <w:r>
        <w:rPr>
          <w:b/>
        </w:rPr>
        <w:t xml:space="preserve">1. </w:t>
      </w:r>
      <w:r>
        <w:t>Specify one symbol, one horizon and one feature set. Record raw events and receipt times, then audit coverage, units, precision and quote validity.</w:t>
      </w:r>
    </w:p>
    <w:p>
      <w:pPr>
        <w:ind w:left="288" w:hanging="288"/>
      </w:pPr>
      <w:r>
        <w:rPr>
          <w:b/>
        </w:rPr>
        <w:t xml:space="preserve">2. </w:t>
      </w:r>
      <w:r>
        <w:t>Create a small hand-checked quote sequence and feature calculations. Add guards against repeated observations and mixed bar/quote state.</w:t>
      </w:r>
    </w:p>
    <w:p>
      <w:pPr>
        <w:ind w:left="288" w:hanging="288"/>
      </w:pPr>
      <w:r>
        <w:rPr>
          <w:b/>
        </w:rPr>
        <w:t xml:space="preserve">3. </w:t>
      </w:r>
      <w:r>
        <w:t>Produce a chronological feature-and-label dataset. Fit the simple baseline offline and save model coefficients, feature definitions and training dates.</w:t>
      </w:r>
    </w:p>
    <w:p>
      <w:pPr>
        <w:ind w:left="288" w:hanging="288"/>
      </w:pPr>
      <w:r>
        <w:rPr>
          <w:b/>
        </w:rPr>
        <w:t xml:space="preserve">4. </w:t>
      </w:r>
      <w:r>
        <w:t>Replay predictions with no orders, then simulate cost-aware orders using the same feature logic and realistic timing. Keep missing and skipped observations visible.</w:t>
      </w:r>
    </w:p>
    <w:p>
      <w:pPr>
        <w:ind w:left="288" w:hanging="288"/>
      </w:pPr>
      <w:r>
        <w:rPr>
          <w:b/>
        </w:rPr>
        <w:t xml:space="preserve">5. </w:t>
      </w:r>
      <w:r>
        <w:t>Register the reviewed strategy and configuration in runtime and backtest paths. Add meaningful tests and satisfy the platform’s versioning and review workflow.</w:t>
      </w:r>
    </w:p>
    <w:p>
      <w:pPr>
        <w:ind w:left="288" w:hanging="288"/>
      </w:pPr>
      <w:r>
        <w:rPr>
          <w:b/>
        </w:rPr>
        <w:t xml:space="preserve">6. </w:t>
      </w:r>
      <w:r>
        <w:t>Run locally in simulation, then a personal Alpaca paper account, and finally the reviewed shared deployment. Assign monitoring and session-exit responsibilities.</w:t>
      </w:r>
    </w:p>
    <w:p>
      <w:pPr>
        <w:pStyle w:val="Heading2"/>
      </w:pPr>
      <w:r>
        <w:t>Minimum experiment record</w:t>
      </w:r>
    </w:p>
    <w:p>
      <w:r>
        <w:t>Save code and model versions, data checksums, feed, symbols, horizons, chronological folds, feature definitions, all attempted variants, prediction metrics, cost assumptions, orders, fills and delay measurements. The platform team owns reusable recording and execution infrastructure; your team owns the signal hypothesis and evaluation.</w:t>
      </w:r>
    </w:p>
    <w:p>
      <w:r>
        <w:t>For the final presentation, separate what the data predicts, what the simulator assumes and what paper execution demonstrates. Three weeks of paper observations can reveal operational problems and describe outcomes; it is insufficient to establish a persistent market advantage.</w:t>
      </w:r>
    </w:p>
    <w:p>
      <w:pPr>
        <w:pStyle w:val="Heading1"/>
        <w:pageBreakBefore/>
      </w:pPr>
      <w:r>
        <w:t>12  Research papers and reference material</w:t>
      </w:r>
    </w:p>
    <w:p>
      <w:r>
        <w:t>Read the first two sources together to distinguish explaining current price changes from predicting subsequent changes. Record the exchange, book depth, sampling, target and execution assumptions for every study.</w:t>
      </w:r>
    </w:p>
    <w:p>
      <w:pPr>
        <w:keepNext/>
        <w:spacing w:after="40"/>
      </w:pPr>
      <w:r>
        <w:rPr>
          <w:b/>
        </w:rPr>
        <w:t xml:space="preserve">[U1] </w:t>
      </w:r>
      <w:hyperlink r:id="rId11">
        <w:r>
          <w:rPr>
            <w:color w:val="004D73"/>
            <w:u w:val="single"/>
          </w:rPr>
          <w:t>Cont Kukanov and Stoikov 2014 The Price Impact of Order Book Events</w:t>
        </w:r>
      </w:hyperlink>
    </w:p>
    <w:p>
      <w:pPr>
        <w:spacing w:after="120"/>
      </w:pPr>
      <w:r>
        <w:rPr>
          <w:sz w:val="20"/>
        </w:rPr>
        <w:t>Core reading. Defines best-quote order flow imbalance and studies contemporaneous price impact. It is not by itself a forward trading result.</w:t>
      </w:r>
    </w:p>
    <w:p>
      <w:pPr>
        <w:keepNext/>
        <w:spacing w:after="40"/>
      </w:pPr>
      <w:r>
        <w:rPr>
          <w:b/>
        </w:rPr>
        <w:t xml:space="preserve">[U2] </w:t>
      </w:r>
      <w:hyperlink r:id="rId12">
        <w:r>
          <w:rPr>
            <w:color w:val="004D73"/>
            <w:u w:val="single"/>
          </w:rPr>
          <w:t>Gould and Bonart 2016 Queue Imbalance as a One Tick Ahead Price Predictor</w:t>
        </w:r>
      </w:hyperlink>
    </w:p>
    <w:p>
      <w:pPr>
        <w:spacing w:after="120"/>
      </w:pPr>
      <w:r>
        <w:rPr>
          <w:sz w:val="20"/>
        </w:rPr>
        <w:t>Core reading. Logistic prediction of the next midpoint move for ten Nasdaq stocks. Different from IEX-only fixed-second forecasts; does not establish net profitability.</w:t>
      </w:r>
    </w:p>
    <w:p>
      <w:pPr>
        <w:keepNext/>
        <w:spacing w:after="40"/>
      </w:pPr>
      <w:r>
        <w:rPr>
          <w:b/>
        </w:rPr>
        <w:t xml:space="preserve">[U3] </w:t>
      </w:r>
      <w:hyperlink r:id="rId13">
        <w:r>
          <w:rPr>
            <w:color w:val="004D73"/>
            <w:u w:val="single"/>
          </w:rPr>
          <w:t>Heston Korajczyk and Sadka 2010 Intraday Patterns in the Cross Section of Stock Returns</w:t>
        </w:r>
      </w:hyperlink>
    </w:p>
    <w:p>
      <w:pPr>
        <w:spacing w:after="120"/>
      </w:pPr>
      <w:r>
        <w:rPr>
          <w:sz w:val="20"/>
        </w:rPr>
        <w:t>Extension. Short-term reversals, liquidity imbalances and bid-ask bounce. Useful for separating observed return patterns from executable opportunities.</w:t>
      </w:r>
    </w:p>
    <w:p>
      <w:pPr>
        <w:keepNext/>
        <w:spacing w:after="40"/>
      </w:pPr>
      <w:r>
        <w:rPr>
          <w:b/>
        </w:rPr>
        <w:t xml:space="preserve">[U4] </w:t>
      </w:r>
      <w:hyperlink r:id="rId14">
        <w:r>
          <w:rPr>
            <w:color w:val="004D73"/>
            <w:u w:val="single"/>
          </w:rPr>
          <w:t>Avellaneda and Stoikov 2008 High Frequency Trading in a Limit Order Book</w:t>
        </w:r>
      </w:hyperlink>
    </w:p>
    <w:p>
      <w:pPr>
        <w:spacing w:after="120"/>
      </w:pPr>
      <w:r>
        <w:rPr>
          <w:sz w:val="20"/>
        </w:rPr>
        <w:t>Later branch. Inventory-aware market making under a model of prices and fills. Study assumptions and units before using the platform implementation.</w:t>
      </w:r>
    </w:p>
    <w:p>
      <w:pPr>
        <w:keepNext/>
        <w:spacing w:after="40"/>
      </w:pPr>
      <w:r>
        <w:rPr>
          <w:b/>
        </w:rPr>
        <w:t xml:space="preserve">[U5] </w:t>
      </w:r>
      <w:hyperlink r:id="rId15">
        <w:r>
          <w:rPr>
            <w:color w:val="004D73"/>
            <w:u w:val="single"/>
          </w:rPr>
          <w:t>Cont Cucuringu and Zhang 2023 Cross Impact of Order Flow Imbalance</w:t>
        </w:r>
      </w:hyperlink>
    </w:p>
    <w:p>
      <w:pPr>
        <w:spacing w:after="120"/>
      </w:pPr>
      <w:r>
        <w:rPr>
          <w:sz w:val="20"/>
        </w:rPr>
        <w:t>Extension. Lagged cross-asset flow predicts short-lived movements in the study; richer book information limits direct replication.</w:t>
      </w:r>
    </w:p>
    <w:p>
      <w:pPr>
        <w:keepNext/>
        <w:spacing w:after="40"/>
      </w:pPr>
      <w:r>
        <w:rPr>
          <w:b/>
        </w:rPr>
        <w:t xml:space="preserve">[VOL] </w:t>
      </w:r>
      <w:hyperlink r:id="rId16">
        <w:r>
          <w:rPr>
            <w:color w:val="004D73"/>
            <w:u w:val="single"/>
          </w:rPr>
          <w:t>Zhang and coauthors 2024 Volatility Forecasting with Machine Learning and Intraday Commonality</w:t>
        </w:r>
      </w:hyperlink>
    </w:p>
    <w:p>
      <w:pPr>
        <w:spacing w:after="120"/>
      </w:pPr>
      <w:r>
        <w:rPr>
          <w:sz w:val="20"/>
        </w:rPr>
        <w:t>Extension. Intraday risk forecasts and pooled cross-stock information.</w:t>
      </w:r>
    </w:p>
    <w:p>
      <w:pPr>
        <w:keepNext/>
        <w:spacing w:after="40"/>
      </w:pPr>
      <w:r>
        <w:rPr>
          <w:b/>
        </w:rPr>
        <w:t xml:space="preserve">[D1] </w:t>
      </w:r>
      <w:hyperlink r:id="rId17">
        <w:r>
          <w:rPr>
            <w:color w:val="004D73"/>
            <w:u w:val="single"/>
          </w:rPr>
          <w:t>Alpaca Market Data FAQ</w:t>
        </w:r>
      </w:hyperlink>
    </w:p>
    <w:p>
      <w:pPr>
        <w:spacing w:after="120"/>
      </w:pPr>
      <w:r>
        <w:rPr>
          <w:sz w:val="20"/>
        </w:rPr>
        <w:t>Official reference for IEX, SIP and feed selection.</w:t>
      </w:r>
    </w:p>
    <w:p>
      <w:pPr>
        <w:keepNext/>
        <w:spacing w:after="40"/>
      </w:pPr>
      <w:r>
        <w:rPr>
          <w:b/>
        </w:rPr>
        <w:t xml:space="preserve">[D2] </w:t>
      </w:r>
      <w:hyperlink r:id="rId18">
        <w:r>
          <w:rPr>
            <w:color w:val="004D73"/>
            <w:u w:val="single"/>
          </w:rPr>
          <w:t>Alpaca Real Time Stock Data</w:t>
        </w:r>
      </w:hyperlink>
    </w:p>
    <w:p>
      <w:pPr>
        <w:spacing w:after="120"/>
      </w:pPr>
      <w:r>
        <w:rPr>
          <w:sz w:val="20"/>
        </w:rPr>
        <w:t>Official message schemas, timestamps, size units and bar updates.</w:t>
      </w:r>
    </w:p>
    <w:p>
      <w:pPr>
        <w:keepNext/>
        <w:spacing w:after="40"/>
      </w:pPr>
      <w:r>
        <w:rPr>
          <w:b/>
        </w:rPr>
        <w:t xml:space="preserve">[D3] </w:t>
      </w:r>
      <w:hyperlink r:id="rId19">
        <w:r>
          <w:rPr>
            <w:color w:val="004D73"/>
            <w:u w:val="single"/>
          </w:rPr>
          <w:t>Alpaca Paper Trading</w:t>
        </w:r>
      </w:hyperlink>
    </w:p>
    <w:p>
      <w:pPr>
        <w:spacing w:after="120"/>
      </w:pPr>
      <w:r>
        <w:rPr>
          <w:sz w:val="20"/>
        </w:rPr>
        <w:t>Official reference for simulated execution and its limitations.</w:t>
      </w:r>
    </w:p>
    <w:p>
      <w:pPr>
        <w:keepNext/>
        <w:spacing w:after="40"/>
      </w:pPr>
      <w:r>
        <w:rPr>
          <w:b/>
        </w:rPr>
        <w:t xml:space="preserve">[RISK] </w:t>
      </w:r>
      <w:hyperlink r:id="rId20">
        <w:r>
          <w:rPr>
            <w:color w:val="004D73"/>
            <w:u w:val="single"/>
          </w:rPr>
          <w:t>Bailey and coauthors The Probability of Backtest Overfitting</w:t>
        </w:r>
      </w:hyperlink>
    </w:p>
    <w:p>
      <w:pPr>
        <w:spacing w:after="120"/>
      </w:pPr>
      <w:r>
        <w:rPr>
          <w:sz w:val="20"/>
        </w:rPr>
        <w:t>Explains why selecting the best historical result from many trials can mislead. Use an experiment register and untouched evaluation data.</w:t>
      </w:r>
    </w:p>
    <w:p>
      <w:r>
        <w:t>Platform reading: strategies/base/strategy.ts, adapters/alpaca/normalizer.ts, core/state/symbolState.ts and core/backtest/strategyFactory.ts under backend/src; docs/guides/LATENCY_BENCHMARK_AGENT_GUIDE.md. Paths are relative to the project root.</w:t>
      </w:r>
    </w:p>
    <w:sectPr w:rsidR="00FC693F" w:rsidRPr="0006063C" w:rsidSect="00034616">
      <w:headerReference w:type="default" r:id="rId9"/>
      <w:footerReference w:type="default" r:id="rId10"/>
      <w:pgSz w:w="12240" w:h="15840"/>
      <w:pgMar w:top="936" w:right="1008" w:bottom="893"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sz w:val="16"/>
      </w:rPr>
      <w:t>SHPE Capital   Algorithm research team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16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widowControl/>
      <w:spacing w:before="200" w:after="16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40" w:lineRule="auto" w:before="0"/>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20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line="254" w:lineRule="auto" w:after="100"/>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line="254" w:lineRule="auto" w:after="100"/>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pPr>
    <w:rPr>
      <w:rFonts w:ascii="Arial" w:hAnsi="Arial"/>
      <w:b/>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160" w:line="252" w:lineRule="auto"/>
    </w:pPr>
    <w:rPr>
      <w:rFonts w:ascii="Consolas" w:hAnsi="Consola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xiv.org/abs/1011.6402" TargetMode="External"/><Relationship Id="rId12" Type="http://schemas.openxmlformats.org/officeDocument/2006/relationships/hyperlink" Target="https://arxiv.org/abs/1512.03492" TargetMode="External"/><Relationship Id="rId13" Type="http://schemas.openxmlformats.org/officeDocument/2006/relationships/hyperlink" Target="https://arxiv.org/abs/1005.3535" TargetMode="External"/><Relationship Id="rId14" Type="http://schemas.openxmlformats.org/officeDocument/2006/relationships/hyperlink" Target="https://math.nyu.edu/inmemoriam/avellaneda/HighFrequencyTrading.pdf" TargetMode="External"/><Relationship Id="rId15" Type="http://schemas.openxmlformats.org/officeDocument/2006/relationships/hyperlink" Target="https://arxiv.org/abs/2112.13213" TargetMode="External"/><Relationship Id="rId16" Type="http://schemas.openxmlformats.org/officeDocument/2006/relationships/hyperlink" Target="https://academic.oup.com/jfec/article/22/2/492/7081291" TargetMode="External"/><Relationship Id="rId17" Type="http://schemas.openxmlformats.org/officeDocument/2006/relationships/hyperlink" Target="https://docs.alpaca.markets/us/docs/market-data-faq" TargetMode="External"/><Relationship Id="rId18" Type="http://schemas.openxmlformats.org/officeDocument/2006/relationships/hyperlink" Target="https://docs.alpaca.markets/us/docs/real-time-stock-pricing-data" TargetMode="External"/><Relationship Id="rId19" Type="http://schemas.openxmlformats.org/officeDocument/2006/relationships/hyperlink" Target="https://docs.alpaca.markets/us/docs/paper-trading" TargetMode="External"/><Relationship Id="rId20" Type="http://schemas.openxmlformats.org/officeDocument/2006/relationships/hyperlink" Target="https://www.davidhbailey.com/dhbpapers/backtest-prob.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 Microstructure and Short Horizon Signals</dc:title>
  <dc:subject>Team 3   Beginner foundations and implementation guide</dc:subject>
  <dc:creator>SHPE Capital</dc:creator>
  <cp:keywords>intraday trading, research, beginner guide, Alpaca IEX</cp:keywords>
  <dc:description>generated by python-docx</dc:description>
  <cp:lastModifiedBy/>
  <cp:revision>1</cp:revision>
  <dcterms:created xsi:type="dcterms:W3CDTF">2013-12-23T23:15:00Z</dcterms:created>
  <dcterms:modified xsi:type="dcterms:W3CDTF">2013-12-23T23:15:00Z</dcterms:modified>
  <cp:category/>
</cp:coreProperties>
</file>